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BD535" w14:textId="322AA85F" w:rsidR="00645169" w:rsidRPr="00212A95" w:rsidRDefault="003E255D" w:rsidP="00212A95">
      <w:pPr>
        <w:autoSpaceDE w:val="0"/>
        <w:autoSpaceDN w:val="0"/>
        <w:adjustRightInd w:val="0"/>
        <w:spacing w:before="560"/>
        <w:jc w:val="both"/>
        <w:rPr>
          <w:b/>
          <w:bCs/>
          <w:sz w:val="22"/>
          <w:szCs w:val="22"/>
        </w:rPr>
      </w:pPr>
      <w:r w:rsidRPr="00667E3A">
        <w:rPr>
          <w:b/>
          <w:bCs/>
          <w:sz w:val="22"/>
          <w:szCs w:val="22"/>
        </w:rPr>
        <w:t>HONAKO HAU BERRETSIKO DUEN FORU ARAUAREN PROIEKTUA: EUSKAL AUTONOMIA ERKIDEGOKO ADMINISTRAZIO OROKORRAREN ETA ARABAKO FORU ALDUNDIAREN ARTEKO HITZARMENA ARABAKO LURRALDE HISTORIKOAN GARRAIOAREN ARLOKO DATU AURRERATUAK SORTZEKO EUROPAR BATASUNAK FINANTZATZEN DUEN BERRESKURATZE, ERALDATZE ETA ERRESILIENTZIA PLANAREN ESPARRUAN (NEXT GENERATION EU).</w:t>
      </w:r>
    </w:p>
    <w:p w14:paraId="77DE4A32" w14:textId="155C8CA2" w:rsidR="00AD3440" w:rsidRDefault="003E255D" w:rsidP="00212A95">
      <w:pPr>
        <w:autoSpaceDE w:val="0"/>
        <w:autoSpaceDN w:val="0"/>
        <w:adjustRightInd w:val="0"/>
        <w:spacing w:before="560"/>
        <w:jc w:val="both"/>
        <w:rPr>
          <w:sz w:val="22"/>
          <w:szCs w:val="22"/>
        </w:rPr>
      </w:pPr>
      <w:r w:rsidRPr="00667E3A">
        <w:rPr>
          <w:sz w:val="22"/>
          <w:szCs w:val="22"/>
        </w:rPr>
        <w:t>Autonomia Estatutuaren 10.32 artikuluan xedatutakoaren arabera, Euskal Autonomia Erkidegoak eskumen esklusiboa dauka honako arlo hauetan, besteak beste: trenbideak; lehorreko, itsasoko, ibaietako eta kable bidezko garraioak; portuak, heliportuak, eta aireportuak; Euskal Autonomia Erkidegoko Meteorologia Zerbitzua (Konstituzioaren 149.1.20 artikuluan xedatutakoa eragotzi gabe); garraioaren arloko kontratazio zentroak eta karga terminalak.</w:t>
      </w:r>
    </w:p>
    <w:p w14:paraId="7D983B78" w14:textId="77777777" w:rsidR="00AD3440" w:rsidRPr="00AD3440" w:rsidRDefault="00AD3440" w:rsidP="00645169">
      <w:pPr>
        <w:autoSpaceDE w:val="0"/>
        <w:autoSpaceDN w:val="0"/>
        <w:adjustRightInd w:val="0"/>
        <w:jc w:val="both"/>
        <w:rPr>
          <w:sz w:val="22"/>
          <w:szCs w:val="22"/>
        </w:rPr>
      </w:pPr>
    </w:p>
    <w:p w14:paraId="028BB2B3" w14:textId="542E6F24" w:rsidR="003E255D" w:rsidRDefault="003E255D" w:rsidP="003E255D">
      <w:pPr>
        <w:autoSpaceDE w:val="0"/>
        <w:autoSpaceDN w:val="0"/>
        <w:adjustRightInd w:val="0"/>
        <w:jc w:val="both"/>
        <w:rPr>
          <w:sz w:val="22"/>
          <w:szCs w:val="22"/>
        </w:rPr>
      </w:pPr>
      <w:r w:rsidRPr="00667E3A">
        <w:rPr>
          <w:sz w:val="22"/>
          <w:szCs w:val="22"/>
        </w:rPr>
        <w:t>Euskal Autonomia Erkidegoaren eskumeneko arlo horietako egitekoak Eusko Jaurlaritzako Lurralde Plangintza, Etxebizitza eta Garraio Sailari esleitu zaizkio Lehendakariaren 18/2020 Dekretuaren 11. artikuluaren bidez (18/2020 Dekretua, irailaren 6koa, Euskal Autonomia Erkidegoko Administrazioko Sailak sortu, ezabatu eta aldatzen dituen eta sail bakoitzaren eginkizunak eta jardun arloak zehazten dituena) eta 11/2021 Dekretuaren bidez (11/2021 Dekretua, urtarrilaren 19koa, Lurralde Plangintza, Etxebizitza eta Garraio Sailaren egitura organikoa eta funtzionala ezartzekoa).</w:t>
      </w:r>
      <w:bookmarkStart w:id="0" w:name="_Hlk103067692"/>
    </w:p>
    <w:p w14:paraId="146A9E5C" w14:textId="5C574E8D" w:rsidR="00AD3440" w:rsidRPr="00667E3A" w:rsidRDefault="00AD3440" w:rsidP="003E255D">
      <w:pPr>
        <w:autoSpaceDE w:val="0"/>
        <w:autoSpaceDN w:val="0"/>
        <w:adjustRightInd w:val="0"/>
        <w:jc w:val="both"/>
        <w:rPr>
          <w:rFonts w:cs="Times New Roman"/>
          <w:bCs/>
          <w:sz w:val="22"/>
          <w:szCs w:val="22"/>
        </w:rPr>
      </w:pPr>
    </w:p>
    <w:bookmarkEnd w:id="0"/>
    <w:p w14:paraId="44533CA4" w14:textId="5949E093" w:rsidR="003E255D" w:rsidRDefault="003E255D" w:rsidP="003E255D">
      <w:pPr>
        <w:autoSpaceDE w:val="0"/>
        <w:autoSpaceDN w:val="0"/>
        <w:adjustRightInd w:val="0"/>
        <w:jc w:val="both"/>
        <w:rPr>
          <w:sz w:val="22"/>
          <w:szCs w:val="22"/>
        </w:rPr>
      </w:pPr>
      <w:r w:rsidRPr="00667E3A">
        <w:rPr>
          <w:sz w:val="22"/>
          <w:szCs w:val="22"/>
        </w:rPr>
        <w:t>Lurralde Plangintza, Etxebizitza eta Garraio Sailaren egitekoetako bat bere eskumeneko arloekin lotutako sektoreei laguntzeko politika gauzatzea da, eta esleituta dauzkan ahalmenetako bat Euskal Autonomia Erkidegoan bidaiarien garraioa antolatzea eta horren plangintza egitea da, 11/2021 Dekretuak 15.2 artikuluaren d) apartatuan ezartzen den bezala.</w:t>
      </w:r>
    </w:p>
    <w:p w14:paraId="0239473D" w14:textId="77777777" w:rsidR="00AD3440" w:rsidRPr="00667E3A" w:rsidRDefault="00AD3440" w:rsidP="003E255D">
      <w:pPr>
        <w:autoSpaceDE w:val="0"/>
        <w:autoSpaceDN w:val="0"/>
        <w:adjustRightInd w:val="0"/>
        <w:jc w:val="both"/>
        <w:rPr>
          <w:rFonts w:cs="Times New Roman"/>
          <w:bCs/>
          <w:sz w:val="22"/>
          <w:szCs w:val="22"/>
        </w:rPr>
      </w:pPr>
    </w:p>
    <w:p w14:paraId="484A4196" w14:textId="6C7A87C6" w:rsidR="003E255D" w:rsidRDefault="003E255D" w:rsidP="003E255D">
      <w:pPr>
        <w:autoSpaceDE w:val="0"/>
        <w:autoSpaceDN w:val="0"/>
        <w:adjustRightInd w:val="0"/>
        <w:jc w:val="both"/>
        <w:rPr>
          <w:sz w:val="22"/>
          <w:szCs w:val="22"/>
        </w:rPr>
      </w:pPr>
      <w:r w:rsidRPr="00667E3A">
        <w:rPr>
          <w:sz w:val="22"/>
          <w:szCs w:val="22"/>
        </w:rPr>
        <w:t xml:space="preserve">Azaroaren 25eko 27/1983 Legeak, Autonomia Elkarte Osorako Erakundeen eta bertako Kondaira Lurraldeetako Foruzko </w:t>
      </w:r>
      <w:proofErr w:type="spellStart"/>
      <w:r w:rsidRPr="00667E3A">
        <w:rPr>
          <w:sz w:val="22"/>
          <w:szCs w:val="22"/>
        </w:rPr>
        <w:t>Ihardutze</w:t>
      </w:r>
      <w:proofErr w:type="spellEnd"/>
      <w:r w:rsidRPr="00667E3A">
        <w:rPr>
          <w:sz w:val="22"/>
          <w:szCs w:val="22"/>
        </w:rPr>
        <w:t xml:space="preserve"> Erakundeen arteko harremanei buruzkoak (LHL), honako hau ezartzen du 10. artikuluan; “Euskal Autonomia Erkidegoko erakunde erkideei dagozkie errepideko garraio mekanikoen arloko legeria, arau-garapena, goi-ikuskapena, plangintza eta koordinazioa, lurralde historikoek oraingo Arabak bere lurraldean dituen ahalmen eta izaera berarekin, Estatuarekin indarrean dauden hitzarmenen arabera”. Halaber, Arabako Foru Aldundiak eskumenak dauzka bere lurraldearen barruan errepidetik doazen garraio mekanikoen alorrean, honako hauek kontuan izanik: </w:t>
      </w:r>
      <w:proofErr w:type="spellStart"/>
      <w:r w:rsidRPr="00667E3A">
        <w:rPr>
          <w:sz w:val="22"/>
          <w:szCs w:val="22"/>
        </w:rPr>
        <w:t>LHLaren</w:t>
      </w:r>
      <w:proofErr w:type="spellEnd"/>
      <w:r w:rsidRPr="00667E3A">
        <w:rPr>
          <w:sz w:val="22"/>
          <w:szCs w:val="22"/>
        </w:rPr>
        <w:t xml:space="preserve"> 10. artikuluan xedatutakoa; uztailaren 30eko 5/1987 Lege Organikoa, Estatuak errepidezko eta kablezko garraioen ahalmenak autonomia erkidegoei eskuordetzeari buruzkoa; martxoaren 5eko 36/1985 Dekretua, errepidezko garraioaren gaian autonomia erkidegoaren erakunde erkideen eta Arabako Lurralde Historikoaren artean eskumenak mugatzen dituena; Diputatu nagusiaren martxoaren 5eko 881/1985 Foru Dekretua, gai berari buruzkoa.</w:t>
      </w:r>
    </w:p>
    <w:p w14:paraId="33B79EC8" w14:textId="298A0C72" w:rsidR="000910D2" w:rsidRDefault="000910D2" w:rsidP="003E255D">
      <w:pPr>
        <w:autoSpaceDE w:val="0"/>
        <w:autoSpaceDN w:val="0"/>
        <w:adjustRightInd w:val="0"/>
        <w:jc w:val="both"/>
        <w:rPr>
          <w:rFonts w:cs="Times New Roman"/>
          <w:bCs/>
          <w:sz w:val="22"/>
          <w:szCs w:val="22"/>
        </w:rPr>
      </w:pPr>
    </w:p>
    <w:p w14:paraId="300C3347" w14:textId="5F17F7AB" w:rsidR="00212A95" w:rsidRDefault="00212A95" w:rsidP="003E255D">
      <w:pPr>
        <w:autoSpaceDE w:val="0"/>
        <w:autoSpaceDN w:val="0"/>
        <w:adjustRightInd w:val="0"/>
        <w:jc w:val="both"/>
        <w:rPr>
          <w:rFonts w:cs="Times New Roman"/>
          <w:bCs/>
          <w:sz w:val="22"/>
          <w:szCs w:val="22"/>
        </w:rPr>
      </w:pPr>
    </w:p>
    <w:p w14:paraId="358542E6" w14:textId="77777777" w:rsidR="00212A95" w:rsidRPr="00667E3A" w:rsidRDefault="00212A95" w:rsidP="003E255D">
      <w:pPr>
        <w:autoSpaceDE w:val="0"/>
        <w:autoSpaceDN w:val="0"/>
        <w:adjustRightInd w:val="0"/>
        <w:jc w:val="both"/>
        <w:rPr>
          <w:rFonts w:cs="Times New Roman"/>
          <w:bCs/>
          <w:sz w:val="22"/>
          <w:szCs w:val="22"/>
        </w:rPr>
      </w:pPr>
    </w:p>
    <w:p w14:paraId="63C2F873" w14:textId="6A6EAED9" w:rsidR="003E255D" w:rsidRDefault="003E255D" w:rsidP="003E255D">
      <w:pPr>
        <w:autoSpaceDE w:val="0"/>
        <w:autoSpaceDN w:val="0"/>
        <w:adjustRightInd w:val="0"/>
        <w:jc w:val="both"/>
        <w:rPr>
          <w:sz w:val="22"/>
          <w:szCs w:val="22"/>
        </w:rPr>
      </w:pPr>
      <w:r w:rsidRPr="00667E3A">
        <w:rPr>
          <w:sz w:val="22"/>
          <w:szCs w:val="22"/>
        </w:rPr>
        <w:lastRenderedPageBreak/>
        <w:t>2020ko abenduaren 31n 36/2020 Errege Lege Dekretua argitaratu zen: 36/2020 Errege Lege Dekretua, abenduaren 30ekoa, zeinaren bidez presako neurriak onesten baitira Administrazio Publikoa modernizatzeko eta Berreskuratze, Eraldatze eta Erresilientzia Plana betearazteko.</w:t>
      </w:r>
    </w:p>
    <w:p w14:paraId="21AC5D0D" w14:textId="77777777" w:rsidR="000910D2" w:rsidRPr="00667E3A" w:rsidRDefault="000910D2" w:rsidP="003E255D">
      <w:pPr>
        <w:autoSpaceDE w:val="0"/>
        <w:autoSpaceDN w:val="0"/>
        <w:adjustRightInd w:val="0"/>
        <w:jc w:val="both"/>
        <w:rPr>
          <w:rFonts w:cs="Times New Roman"/>
          <w:bCs/>
          <w:sz w:val="22"/>
          <w:szCs w:val="22"/>
        </w:rPr>
      </w:pPr>
    </w:p>
    <w:p w14:paraId="49C22F44" w14:textId="52371909" w:rsidR="003E255D" w:rsidRDefault="003E255D" w:rsidP="003E255D">
      <w:pPr>
        <w:autoSpaceDE w:val="0"/>
        <w:autoSpaceDN w:val="0"/>
        <w:adjustRightInd w:val="0"/>
        <w:jc w:val="both"/>
        <w:rPr>
          <w:sz w:val="22"/>
          <w:szCs w:val="22"/>
        </w:rPr>
      </w:pPr>
      <w:r w:rsidRPr="00667E3A">
        <w:rPr>
          <w:sz w:val="22"/>
          <w:szCs w:val="22"/>
        </w:rPr>
        <w:t>Europako Parlamentuarena eta Kontseiluaren 241/2021 (EB) Erregelamendua betetzeko (241/2021 Erregelamendua, 2021eko otsailaren 12koa, Berreskuratze eta Erresilientzia Mekanismoa -BEM- ezartzen duena), Ministroen Kontseiluak 2021eko apirilaren 27ko bileran Espainiako Berreskuratze, Eraldaketa eta Erresilientzia Plana (BEEP) onetsi zuen. Plan horren ardatza 2021-2024 aldian ekonomia azkar suspertzeko eta eraldatzeko proiektuak abiaraztea da. Planak Europako Batzordearen ebaluazio positiboa jaso zuen 2021eko ekainaren 16an, eta Europako Kontseiluak 2021eko uztailaren 13an onetsi zuen.</w:t>
      </w:r>
    </w:p>
    <w:p w14:paraId="26C84A22" w14:textId="77777777" w:rsidR="00AD3440" w:rsidRPr="00667E3A" w:rsidRDefault="00AD3440" w:rsidP="003E255D">
      <w:pPr>
        <w:autoSpaceDE w:val="0"/>
        <w:autoSpaceDN w:val="0"/>
        <w:adjustRightInd w:val="0"/>
        <w:jc w:val="both"/>
        <w:rPr>
          <w:rFonts w:cs="Times New Roman"/>
          <w:bCs/>
          <w:sz w:val="22"/>
          <w:szCs w:val="22"/>
        </w:rPr>
      </w:pPr>
    </w:p>
    <w:p w14:paraId="399C153A" w14:textId="6CD0C859" w:rsidR="003E255D" w:rsidRDefault="003E255D" w:rsidP="003E255D">
      <w:pPr>
        <w:autoSpaceDE w:val="0"/>
        <w:autoSpaceDN w:val="0"/>
        <w:adjustRightInd w:val="0"/>
        <w:jc w:val="both"/>
        <w:rPr>
          <w:sz w:val="22"/>
          <w:szCs w:val="22"/>
        </w:rPr>
      </w:pPr>
      <w:proofErr w:type="spellStart"/>
      <w:r w:rsidRPr="00667E3A">
        <w:rPr>
          <w:sz w:val="22"/>
          <w:szCs w:val="22"/>
        </w:rPr>
        <w:t>BEMen</w:t>
      </w:r>
      <w:proofErr w:type="spellEnd"/>
      <w:r w:rsidRPr="00667E3A">
        <w:rPr>
          <w:sz w:val="22"/>
          <w:szCs w:val="22"/>
        </w:rPr>
        <w:t xml:space="preserve"> gidalerroen ildotik, </w:t>
      </w:r>
      <w:proofErr w:type="spellStart"/>
      <w:r w:rsidRPr="00667E3A">
        <w:rPr>
          <w:sz w:val="22"/>
          <w:szCs w:val="22"/>
        </w:rPr>
        <w:t>BEEP</w:t>
      </w:r>
      <w:r w:rsidR="00891F75" w:rsidRPr="00667E3A">
        <w:rPr>
          <w:sz w:val="22"/>
          <w:szCs w:val="22"/>
        </w:rPr>
        <w:t>e</w:t>
      </w:r>
      <w:r w:rsidRPr="00667E3A">
        <w:rPr>
          <w:sz w:val="22"/>
          <w:szCs w:val="22"/>
        </w:rPr>
        <w:t>k</w:t>
      </w:r>
      <w:proofErr w:type="spellEnd"/>
      <w:r w:rsidRPr="00667E3A">
        <w:rPr>
          <w:sz w:val="22"/>
          <w:szCs w:val="22"/>
        </w:rPr>
        <w:t xml:space="preserve"> honako osagai hauek dauzka, besteak beste: 1 “Hiri inguruneetan eta metropoli-aldeetan mugikortasun iraunkor, seguru eta konektatuaren talka plana”; 6 “Mugikortasun iraunkor, seguru eta konektatua”. Horren ildotik, Garraioaren Nazioko Biltzarrak 2021eko azaroaren 5ean egindako bilkuran onetsi zuen erabaki baten bidez </w:t>
      </w:r>
      <w:proofErr w:type="spellStart"/>
      <w:r w:rsidR="00891F75" w:rsidRPr="00667E3A">
        <w:rPr>
          <w:sz w:val="22"/>
          <w:szCs w:val="22"/>
        </w:rPr>
        <w:t>BEEPeko</w:t>
      </w:r>
      <w:proofErr w:type="spellEnd"/>
      <w:r w:rsidRPr="00667E3A">
        <w:rPr>
          <w:sz w:val="22"/>
          <w:szCs w:val="22"/>
        </w:rPr>
        <w:t xml:space="preserve"> 1. eta 6. osagaien arloetako inbertsio jarduerak finantzatzeko 2021 eta 2022ko ekitaldietako aurrekontu kredituak lurraldeen artean banatzeko irizpideak finkatzen dira.</w:t>
      </w:r>
    </w:p>
    <w:p w14:paraId="20A301E9" w14:textId="77777777" w:rsidR="00AD3440" w:rsidRPr="00667E3A" w:rsidRDefault="00AD3440" w:rsidP="003E255D">
      <w:pPr>
        <w:autoSpaceDE w:val="0"/>
        <w:autoSpaceDN w:val="0"/>
        <w:adjustRightInd w:val="0"/>
        <w:jc w:val="both"/>
        <w:rPr>
          <w:rFonts w:cs="Times New Roman"/>
          <w:bCs/>
          <w:sz w:val="22"/>
          <w:szCs w:val="22"/>
        </w:rPr>
      </w:pPr>
    </w:p>
    <w:p w14:paraId="33E71D86" w14:textId="288CF9A0" w:rsidR="003E255D" w:rsidRDefault="003E255D" w:rsidP="003E255D">
      <w:pPr>
        <w:autoSpaceDE w:val="0"/>
        <w:autoSpaceDN w:val="0"/>
        <w:adjustRightInd w:val="0"/>
        <w:jc w:val="both"/>
        <w:rPr>
          <w:sz w:val="22"/>
          <w:szCs w:val="22"/>
        </w:rPr>
      </w:pPr>
      <w:r w:rsidRPr="00667E3A">
        <w:rPr>
          <w:sz w:val="22"/>
          <w:szCs w:val="22"/>
        </w:rPr>
        <w:t>Erabaki horren II. eranskinaren 5. apartatuan honako hau xedatzen da: “finantza lerro hauen onuradunak autonomia erkidegoak eta Ceuta eta Melilla hiriak dira, erabaki honen II. eranskinean azaltzen den bezala; hala ere, azken hartzaileak erakunde publikoak edo beste administrazio batzuk izan daitezke, hitzarmen bidez edo bestelako tresna juridiko baten bidez formalizatuz gero. Nolanahi ere, mekanismo egokiak ezarri beharko dira ziurtatzeko azken onuradunek, hirugarrenak izanez gero, aurreikusitako helburuak lortzen laguntzea eta adierazleen balioak zehazteko behar den informazioa ematea. Hirugarrenei finantzabideak ematea ezarritako helburuak lortzearekin lotu behar da.”</w:t>
      </w:r>
    </w:p>
    <w:p w14:paraId="43512885" w14:textId="77777777" w:rsidR="00AD3440" w:rsidRPr="00667E3A" w:rsidRDefault="00AD3440" w:rsidP="003E255D">
      <w:pPr>
        <w:autoSpaceDE w:val="0"/>
        <w:autoSpaceDN w:val="0"/>
        <w:adjustRightInd w:val="0"/>
        <w:jc w:val="both"/>
        <w:rPr>
          <w:rFonts w:cs="Times New Roman"/>
          <w:bCs/>
          <w:sz w:val="22"/>
          <w:szCs w:val="22"/>
        </w:rPr>
      </w:pPr>
    </w:p>
    <w:p w14:paraId="44647426" w14:textId="1B8C5567" w:rsidR="003E255D" w:rsidRDefault="003E255D" w:rsidP="003E255D">
      <w:pPr>
        <w:autoSpaceDE w:val="0"/>
        <w:autoSpaceDN w:val="0"/>
        <w:adjustRightInd w:val="0"/>
        <w:jc w:val="both"/>
        <w:rPr>
          <w:sz w:val="22"/>
          <w:szCs w:val="22"/>
        </w:rPr>
      </w:pPr>
      <w:r w:rsidRPr="00667E3A">
        <w:rPr>
          <w:sz w:val="22"/>
          <w:szCs w:val="22"/>
        </w:rPr>
        <w:t xml:space="preserve">Horrez gainera, erabaki horretan C6I4-CCAA inbertsio lerroa dago. Horren helburua da autonomia erkidegoetan eta toki erakundeetan bidaiarien eta salgaien garraio zerbitzuak eta autonomia erkidegoek eta Ceuta eta Melilla hiriek beren eskumeneko salgaien eta bidaiarien errepideko edo trenbideko garraioaren arloan egiten dituzten administrazio zerbitzuak digitalizatzeko jarduketak egitea. Helburu hau </w:t>
      </w:r>
      <w:proofErr w:type="spellStart"/>
      <w:r w:rsidR="00891F75" w:rsidRPr="00667E3A">
        <w:rPr>
          <w:sz w:val="22"/>
          <w:szCs w:val="22"/>
        </w:rPr>
        <w:t>BEEPeko</w:t>
      </w:r>
      <w:proofErr w:type="spellEnd"/>
      <w:r w:rsidRPr="00667E3A">
        <w:rPr>
          <w:sz w:val="22"/>
          <w:szCs w:val="22"/>
        </w:rPr>
        <w:t xml:space="preserve"> 6. osagaiko (Mugikortasun iraunkor, seguru eta konektatua) 4. inbertsioko (Garraio iraunkor eta digitala sustatzeko programa) 15. neurrian garatzen da.</w:t>
      </w:r>
    </w:p>
    <w:p w14:paraId="71B51726" w14:textId="77777777" w:rsidR="00AD3440" w:rsidRPr="00667E3A" w:rsidRDefault="00AD3440" w:rsidP="003E255D">
      <w:pPr>
        <w:autoSpaceDE w:val="0"/>
        <w:autoSpaceDN w:val="0"/>
        <w:adjustRightInd w:val="0"/>
        <w:jc w:val="both"/>
        <w:rPr>
          <w:rFonts w:cs="Times New Roman"/>
          <w:bCs/>
          <w:sz w:val="22"/>
          <w:szCs w:val="22"/>
        </w:rPr>
      </w:pPr>
    </w:p>
    <w:p w14:paraId="5CC8A0CE" w14:textId="4B45F8A0" w:rsidR="003E255D" w:rsidRDefault="003E255D" w:rsidP="003E255D">
      <w:pPr>
        <w:autoSpaceDE w:val="0"/>
        <w:autoSpaceDN w:val="0"/>
        <w:adjustRightInd w:val="0"/>
        <w:jc w:val="both"/>
        <w:rPr>
          <w:sz w:val="22"/>
          <w:szCs w:val="22"/>
        </w:rPr>
      </w:pPr>
      <w:r w:rsidRPr="00667E3A">
        <w:rPr>
          <w:sz w:val="22"/>
          <w:szCs w:val="22"/>
        </w:rPr>
        <w:t xml:space="preserve">Erabakiaren III. eranskinean ezartzen denez, C6I4-CCAA inbertsio lerroaren kargura EAEn finantzatuko den jarduketa honako hau da: “Euskadiko garraio publikoa digitalizatzea”. Hitzarmen honen xedea horren barruan sartzen da, eta horrela </w:t>
      </w:r>
      <w:proofErr w:type="spellStart"/>
      <w:r w:rsidR="00891F75" w:rsidRPr="00667E3A">
        <w:rPr>
          <w:sz w:val="22"/>
          <w:szCs w:val="22"/>
        </w:rPr>
        <w:t>BEEPeko</w:t>
      </w:r>
      <w:proofErr w:type="spellEnd"/>
      <w:r w:rsidRPr="00667E3A">
        <w:rPr>
          <w:sz w:val="22"/>
          <w:szCs w:val="22"/>
        </w:rPr>
        <w:t xml:space="preserve"> eraldaketa digitala bultzatuko da.</w:t>
      </w:r>
    </w:p>
    <w:p w14:paraId="565FFAA6" w14:textId="77777777" w:rsidR="00AD3440" w:rsidRPr="00667E3A" w:rsidRDefault="00AD3440" w:rsidP="003E255D">
      <w:pPr>
        <w:autoSpaceDE w:val="0"/>
        <w:autoSpaceDN w:val="0"/>
        <w:adjustRightInd w:val="0"/>
        <w:jc w:val="both"/>
        <w:rPr>
          <w:rFonts w:cs="Times New Roman"/>
          <w:bCs/>
          <w:sz w:val="22"/>
          <w:szCs w:val="22"/>
        </w:rPr>
      </w:pPr>
    </w:p>
    <w:p w14:paraId="17CDF839" w14:textId="0C25E657" w:rsidR="003E255D" w:rsidRDefault="003E255D" w:rsidP="003E255D">
      <w:pPr>
        <w:autoSpaceDE w:val="0"/>
        <w:autoSpaceDN w:val="0"/>
        <w:adjustRightInd w:val="0"/>
        <w:jc w:val="both"/>
        <w:rPr>
          <w:sz w:val="22"/>
          <w:szCs w:val="22"/>
        </w:rPr>
      </w:pPr>
      <w:r w:rsidRPr="00667E3A">
        <w:rPr>
          <w:sz w:val="22"/>
          <w:szCs w:val="22"/>
        </w:rPr>
        <w:t>Hitzarmenean honako hauetan arautzen dena aplikatuko da: HFP 1030/2021 Agindua, irailaren 29koa, zeinaren bidez Berreskuratze, Eraldatze eta Erresilientzia Plana kudeatzeko sistema eratzen baita; HFP 1031/2021 Agindua, irailaren 29koa, zeinaren bidez ezartzen baitira Berreskuratze, Eraldatze eta Erresilientzia Planaren osagaietako neurrien zedarri eta helburuak betetzearen eta aurrekontu eta kontabilitate exekuzioaren jarraipenerako estatu, autonomia eta toki sektore publikoko erakundeek eman beharreko informazioaren prozedura eta formatua.</w:t>
      </w:r>
    </w:p>
    <w:p w14:paraId="250256EC" w14:textId="77777777" w:rsidR="00AD3440" w:rsidRPr="00667E3A" w:rsidRDefault="00AD3440" w:rsidP="003E255D">
      <w:pPr>
        <w:autoSpaceDE w:val="0"/>
        <w:autoSpaceDN w:val="0"/>
        <w:adjustRightInd w:val="0"/>
        <w:jc w:val="both"/>
        <w:rPr>
          <w:rFonts w:cs="Times New Roman"/>
          <w:bCs/>
          <w:sz w:val="22"/>
          <w:szCs w:val="22"/>
        </w:rPr>
      </w:pPr>
    </w:p>
    <w:p w14:paraId="53B86013" w14:textId="0D68372C" w:rsidR="003E255D" w:rsidRDefault="003E255D" w:rsidP="003E255D">
      <w:pPr>
        <w:autoSpaceDE w:val="0"/>
        <w:autoSpaceDN w:val="0"/>
        <w:adjustRightInd w:val="0"/>
        <w:jc w:val="both"/>
        <w:rPr>
          <w:sz w:val="22"/>
          <w:szCs w:val="22"/>
        </w:rPr>
      </w:pPr>
      <w:r w:rsidRPr="00667E3A">
        <w:rPr>
          <w:sz w:val="22"/>
          <w:szCs w:val="22"/>
        </w:rPr>
        <w:t xml:space="preserve">HFP/1030/2021 Aginduaren 6. artikuluan xedatzen dena betetzeko, 2022ko martxoaren 29an Eusko Jaurlaritzaren Iruzurraren kontrako Neurrien Plana onetsi zen; plan hori Eusko Jaurlaritzaren bitartez Berreskuratze eta Erresilientzia Mekanismoaren finantzabide funtsak jasotzen dituzten Euskal Autonomia Erkidegoko sektore publikoko erakundeetan eta foru eta toki </w:t>
      </w:r>
      <w:r w:rsidRPr="00667E3A">
        <w:rPr>
          <w:sz w:val="22"/>
          <w:szCs w:val="22"/>
        </w:rPr>
        <w:lastRenderedPageBreak/>
        <w:t>sektore publikoko administrazio eta erakundeetan aplikatuko da. Gainera, plan hori, zuzenean edo egokituta, funts horiek erabiltzen edota kudeatzen dituzten beste erakunde batzuetan ere aplika liteke, beren borondatez erabakiz gero.</w:t>
      </w:r>
    </w:p>
    <w:p w14:paraId="721938AC" w14:textId="77777777" w:rsidR="00AD3440" w:rsidRPr="00667E3A" w:rsidRDefault="00AD3440" w:rsidP="003E255D">
      <w:pPr>
        <w:autoSpaceDE w:val="0"/>
        <w:autoSpaceDN w:val="0"/>
        <w:adjustRightInd w:val="0"/>
        <w:jc w:val="both"/>
        <w:rPr>
          <w:rFonts w:cs="Times New Roman"/>
          <w:bCs/>
          <w:sz w:val="22"/>
          <w:szCs w:val="22"/>
        </w:rPr>
      </w:pPr>
    </w:p>
    <w:p w14:paraId="634A89AC" w14:textId="77777777" w:rsidR="003E255D" w:rsidRPr="00667E3A" w:rsidRDefault="003E255D" w:rsidP="003E255D">
      <w:pPr>
        <w:autoSpaceDE w:val="0"/>
        <w:autoSpaceDN w:val="0"/>
        <w:adjustRightInd w:val="0"/>
        <w:jc w:val="both"/>
        <w:rPr>
          <w:rFonts w:cs="Times New Roman"/>
          <w:bCs/>
          <w:sz w:val="22"/>
          <w:szCs w:val="22"/>
        </w:rPr>
      </w:pPr>
      <w:r w:rsidRPr="00667E3A">
        <w:rPr>
          <w:sz w:val="22"/>
          <w:szCs w:val="22"/>
        </w:rPr>
        <w:t>Halaber, Euskal Autonomia Erkidegoko 2022ko Aurrekontu Orokorrak onetsi dituen abenduaren 23ko 11/2021 Legeak xedatzen duena ere aplikatuko da, hain zuzen ere II. tituluko V. kapituluan (Berreskuratze, Eraldatze eta Erresilientzia Planarekin lotutako funtsen kudeaketa) ezartzen dena, eta Gobernu Kontseiluaren 2022ko otsailaren 8ko Erabakian (aurrekontua eta kontabilitatea gauzatzeko, eta Berreskuratze, Eraldatze eta Erresilientzia Planarekin lotutako jarduketak kudeatzeko eta horien jarraipena egiteko erabakia) ezartzen dena ere bai.</w:t>
      </w:r>
    </w:p>
    <w:p w14:paraId="3D908458" w14:textId="77777777" w:rsidR="003E255D" w:rsidRPr="00667E3A" w:rsidRDefault="003E255D" w:rsidP="003E255D">
      <w:pPr>
        <w:autoSpaceDE w:val="0"/>
        <w:autoSpaceDN w:val="0"/>
        <w:adjustRightInd w:val="0"/>
        <w:jc w:val="both"/>
        <w:rPr>
          <w:rFonts w:cs="Times New Roman"/>
          <w:bCs/>
          <w:sz w:val="22"/>
          <w:szCs w:val="22"/>
        </w:rPr>
      </w:pPr>
    </w:p>
    <w:p w14:paraId="6C31FD48" w14:textId="77777777" w:rsidR="003E255D" w:rsidRPr="00667E3A" w:rsidRDefault="003E255D" w:rsidP="003E255D">
      <w:pPr>
        <w:autoSpaceDE w:val="0"/>
        <w:autoSpaceDN w:val="0"/>
        <w:adjustRightInd w:val="0"/>
        <w:jc w:val="both"/>
        <w:rPr>
          <w:rFonts w:cs="Times New Roman"/>
          <w:bCs/>
          <w:sz w:val="22"/>
          <w:szCs w:val="22"/>
        </w:rPr>
      </w:pPr>
      <w:r w:rsidRPr="00667E3A">
        <w:rPr>
          <w:sz w:val="22"/>
          <w:szCs w:val="22"/>
        </w:rPr>
        <w:t>Horiek horrela, lankidetza hitzarmena izenpetu beharra dago, klausuletan ezarritakoaren arabera, aldeek beren gain hartutako konpromisoak bete ditzaten, hitzarmeneko xedeak gauzatzeko.</w:t>
      </w:r>
    </w:p>
    <w:p w14:paraId="54CEA0C7" w14:textId="77777777" w:rsidR="003E255D" w:rsidRPr="00667E3A" w:rsidRDefault="003E255D" w:rsidP="003E255D">
      <w:pPr>
        <w:autoSpaceDE w:val="0"/>
        <w:autoSpaceDN w:val="0"/>
        <w:adjustRightInd w:val="0"/>
        <w:jc w:val="both"/>
        <w:rPr>
          <w:rFonts w:cs="Times New Roman"/>
          <w:bCs/>
          <w:sz w:val="22"/>
          <w:szCs w:val="22"/>
        </w:rPr>
      </w:pPr>
    </w:p>
    <w:p w14:paraId="15FAC23F" w14:textId="77777777" w:rsidR="003E255D" w:rsidRPr="00667E3A" w:rsidRDefault="003E255D" w:rsidP="003E255D">
      <w:pPr>
        <w:autoSpaceDE w:val="0"/>
        <w:autoSpaceDN w:val="0"/>
        <w:adjustRightInd w:val="0"/>
        <w:jc w:val="both"/>
        <w:rPr>
          <w:rFonts w:cs="Times New Roman"/>
          <w:bCs/>
          <w:sz w:val="22"/>
          <w:szCs w:val="22"/>
        </w:rPr>
      </w:pPr>
      <w:r w:rsidRPr="00667E3A">
        <w:rPr>
          <w:sz w:val="22"/>
          <w:szCs w:val="22"/>
        </w:rPr>
        <w:t xml:space="preserve">Foru Gobernu Kontseiluak onetsi du lankidetza hitzarmena izenpetzea, bat etorriz Arabako Foru Aldundiaren antolaketa, funtzionamendu eta araubide juridikoari buruzko abenduaren 18ko 52/1992 Foru Arauak 8.7. artikuluan ezarritakoarekin, eta bat etorriz aipatutako araudiaren 6.1.2. artikuluak ezarritakoarekin, beharrezkoa da Arabako Batzar Nagusiek erabaki hori berrestea. </w:t>
      </w:r>
    </w:p>
    <w:p w14:paraId="4FFA9718" w14:textId="77777777" w:rsidR="003E255D" w:rsidRPr="00667E3A" w:rsidRDefault="003E255D" w:rsidP="003E255D">
      <w:pPr>
        <w:autoSpaceDE w:val="0"/>
        <w:autoSpaceDN w:val="0"/>
        <w:adjustRightInd w:val="0"/>
        <w:jc w:val="both"/>
        <w:rPr>
          <w:rFonts w:cs="Times New Roman"/>
          <w:bCs/>
          <w:sz w:val="22"/>
          <w:szCs w:val="22"/>
        </w:rPr>
      </w:pPr>
    </w:p>
    <w:p w14:paraId="5B835400" w14:textId="77777777" w:rsidR="003E255D" w:rsidRPr="00667E3A" w:rsidRDefault="003E255D" w:rsidP="003E255D">
      <w:pPr>
        <w:autoSpaceDE w:val="0"/>
        <w:autoSpaceDN w:val="0"/>
        <w:adjustRightInd w:val="0"/>
        <w:jc w:val="both"/>
        <w:rPr>
          <w:rFonts w:cs="Times New Roman"/>
          <w:bCs/>
          <w:sz w:val="22"/>
          <w:szCs w:val="22"/>
        </w:rPr>
      </w:pPr>
      <w:r w:rsidRPr="00667E3A">
        <w:rPr>
          <w:sz w:val="22"/>
          <w:szCs w:val="22"/>
        </w:rPr>
        <w:t>Xedapen orokorrak egiteko prozedurari, arau eraginari eta genero eraginari buruzko txostenak egiteko gidei eta araugintza teknikei buruzko jarraibideen Foru Gobernu Kontseiluaren maiatzaren 23ko 29/2017 Foru Dekretuko I. eranskineko 9. artikuluan xedatutakoari jarraituz egin da izapidetzea.</w:t>
      </w:r>
    </w:p>
    <w:p w14:paraId="583A6D7F" w14:textId="77777777" w:rsidR="003E255D" w:rsidRPr="00667E3A" w:rsidRDefault="003E255D" w:rsidP="003E255D">
      <w:pPr>
        <w:spacing w:after="240"/>
        <w:jc w:val="both"/>
        <w:rPr>
          <w:rFonts w:cs="Times New Roman"/>
          <w:sz w:val="22"/>
          <w:szCs w:val="22"/>
        </w:rPr>
      </w:pPr>
    </w:p>
    <w:p w14:paraId="70D568D4" w14:textId="77777777" w:rsidR="003E255D" w:rsidRPr="00667E3A" w:rsidRDefault="003E255D" w:rsidP="003E255D">
      <w:pPr>
        <w:rPr>
          <w:rFonts w:cs="Times New Roman"/>
          <w:sz w:val="22"/>
          <w:szCs w:val="22"/>
        </w:rPr>
      </w:pPr>
    </w:p>
    <w:p w14:paraId="4623832D" w14:textId="77777777" w:rsidR="003E255D" w:rsidRPr="00667E3A" w:rsidRDefault="003E255D" w:rsidP="003E255D">
      <w:pPr>
        <w:autoSpaceDE w:val="0"/>
        <w:autoSpaceDN w:val="0"/>
        <w:adjustRightInd w:val="0"/>
        <w:jc w:val="center"/>
        <w:rPr>
          <w:rFonts w:cs="Times New Roman"/>
          <w:b/>
          <w:bCs/>
          <w:sz w:val="22"/>
          <w:szCs w:val="22"/>
        </w:rPr>
      </w:pPr>
      <w:r w:rsidRPr="00667E3A">
        <w:rPr>
          <w:b/>
          <w:sz w:val="22"/>
          <w:szCs w:val="22"/>
        </w:rPr>
        <w:t>ARTIKULU BAKARRA</w:t>
      </w:r>
    </w:p>
    <w:p w14:paraId="5B6C406B" w14:textId="77777777" w:rsidR="003E255D" w:rsidRPr="00667E3A" w:rsidRDefault="003E255D" w:rsidP="003E255D">
      <w:pPr>
        <w:autoSpaceDE w:val="0"/>
        <w:autoSpaceDN w:val="0"/>
        <w:adjustRightInd w:val="0"/>
        <w:jc w:val="both"/>
        <w:rPr>
          <w:rFonts w:cs="Times New Roman"/>
          <w:sz w:val="22"/>
          <w:szCs w:val="22"/>
        </w:rPr>
      </w:pPr>
    </w:p>
    <w:p w14:paraId="62F0385D" w14:textId="57911498" w:rsidR="003E255D" w:rsidRPr="00667E3A" w:rsidRDefault="003E255D" w:rsidP="003E255D">
      <w:pPr>
        <w:autoSpaceDE w:val="0"/>
        <w:autoSpaceDN w:val="0"/>
        <w:adjustRightInd w:val="0"/>
        <w:jc w:val="both"/>
        <w:rPr>
          <w:rFonts w:cs="Times New Roman"/>
          <w:bCs/>
          <w:sz w:val="22"/>
          <w:szCs w:val="22"/>
        </w:rPr>
      </w:pPr>
      <w:r w:rsidRPr="00667E3A">
        <w:rPr>
          <w:sz w:val="22"/>
          <w:szCs w:val="22"/>
        </w:rPr>
        <w:t>Hona</w:t>
      </w:r>
      <w:r w:rsidR="00B748E2" w:rsidRPr="00667E3A">
        <w:rPr>
          <w:sz w:val="22"/>
          <w:szCs w:val="22"/>
        </w:rPr>
        <w:t>ko</w:t>
      </w:r>
      <w:r w:rsidRPr="00667E3A">
        <w:rPr>
          <w:sz w:val="22"/>
          <w:szCs w:val="22"/>
        </w:rPr>
        <w:t xml:space="preserve"> hau berresten da: Euskal Autonomia Erkidegoko administrazio orokorraren eta Arabako Foru Aldundiaren arteko hitzarmena Arabako Lurralde Historikoan garraioaren arloko datu aurreratuak sortzeko Europar Batasunak finantzatzen duen Berreskuratze, Eraldatze eta Erresilientzia Planaren esparruan (</w:t>
      </w:r>
      <w:proofErr w:type="spellStart"/>
      <w:r w:rsidRPr="00667E3A">
        <w:rPr>
          <w:sz w:val="22"/>
          <w:szCs w:val="22"/>
        </w:rPr>
        <w:t>next</w:t>
      </w:r>
      <w:proofErr w:type="spellEnd"/>
      <w:r w:rsidRPr="00667E3A">
        <w:rPr>
          <w:sz w:val="22"/>
          <w:szCs w:val="22"/>
        </w:rPr>
        <w:t xml:space="preserve"> </w:t>
      </w:r>
      <w:proofErr w:type="spellStart"/>
      <w:r w:rsidRPr="00667E3A">
        <w:rPr>
          <w:sz w:val="22"/>
          <w:szCs w:val="22"/>
        </w:rPr>
        <w:t>generation</w:t>
      </w:r>
      <w:proofErr w:type="spellEnd"/>
      <w:r w:rsidRPr="00667E3A">
        <w:rPr>
          <w:sz w:val="22"/>
          <w:szCs w:val="22"/>
        </w:rPr>
        <w:t xml:space="preserve"> eu).</w:t>
      </w:r>
    </w:p>
    <w:p w14:paraId="4FA5B151" w14:textId="77777777" w:rsidR="003E255D" w:rsidRPr="00667E3A" w:rsidRDefault="003E255D" w:rsidP="00EB281C">
      <w:pPr>
        <w:widowControl w:val="0"/>
        <w:spacing w:after="120"/>
        <w:jc w:val="both"/>
        <w:rPr>
          <w:strike/>
          <w:sz w:val="22"/>
          <w:szCs w:val="22"/>
        </w:rPr>
      </w:pPr>
    </w:p>
    <w:sectPr w:rsidR="003E255D" w:rsidRPr="00667E3A" w:rsidSect="00CD31F0">
      <w:headerReference w:type="default" r:id="rId8"/>
      <w:footerReference w:type="default" r:id="rId9"/>
      <w:headerReference w:type="first" r:id="rId10"/>
      <w:footerReference w:type="first" r:id="rId11"/>
      <w:pgSz w:w="11907" w:h="16840" w:code="9"/>
      <w:pgMar w:top="2381" w:right="1701" w:bottom="1134" w:left="1701"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B429C" w14:textId="77777777" w:rsidR="00F159BB" w:rsidRDefault="00F159BB">
      <w:r>
        <w:separator/>
      </w:r>
    </w:p>
  </w:endnote>
  <w:endnote w:type="continuationSeparator" w:id="0">
    <w:p w14:paraId="2F875005" w14:textId="77777777" w:rsidR="00F159BB" w:rsidRDefault="00F15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3FE99" w14:textId="77777777" w:rsidR="00E26FFB" w:rsidRDefault="00E26FFB">
    <w:pPr>
      <w:pStyle w:val="Piedepgina"/>
      <w:tabs>
        <w:tab w:val="clear" w:pos="4252"/>
        <w:tab w:val="clear" w:pos="8504"/>
      </w:tabs>
      <w:jc w:val="right"/>
      <w:rPr>
        <w:sz w:val="18"/>
      </w:rPr>
    </w:pPr>
    <w:r>
      <w:rPr>
        <w:rStyle w:val="Nmerodepgina"/>
        <w:sz w:val="18"/>
      </w:rPr>
      <w:fldChar w:fldCharType="begin"/>
    </w:r>
    <w:r>
      <w:rPr>
        <w:rStyle w:val="Nmerodepgina"/>
        <w:sz w:val="18"/>
      </w:rPr>
      <w:instrText xml:space="preserve"> PAGE </w:instrText>
    </w:r>
    <w:r>
      <w:rPr>
        <w:rStyle w:val="Nmerodepgina"/>
        <w:sz w:val="18"/>
      </w:rPr>
      <w:fldChar w:fldCharType="separate"/>
    </w:r>
    <w:r w:rsidR="00B748E2">
      <w:rPr>
        <w:rStyle w:val="Nmerodepgina"/>
        <w:noProof/>
        <w:sz w:val="18"/>
      </w:rPr>
      <w:t>15</w:t>
    </w:r>
    <w:r>
      <w:rPr>
        <w:rStyle w:val="Nmerodepgina"/>
        <w:sz w:val="18"/>
      </w:rPr>
      <w:fldChar w:fldCharType="end"/>
    </w:r>
    <w:r>
      <w:rPr>
        <w:rStyle w:val="Nmerodepgina"/>
        <w:sz w:val="18"/>
      </w:rPr>
      <w:t>/</w:t>
    </w:r>
    <w:r>
      <w:rPr>
        <w:rStyle w:val="Nmerodepgina"/>
        <w:sz w:val="18"/>
      </w:rPr>
      <w:fldChar w:fldCharType="begin"/>
    </w:r>
    <w:r>
      <w:rPr>
        <w:rStyle w:val="Nmerodepgina"/>
        <w:sz w:val="18"/>
      </w:rPr>
      <w:instrText xml:space="preserve"> NUMPAGES </w:instrText>
    </w:r>
    <w:r>
      <w:rPr>
        <w:rStyle w:val="Nmerodepgina"/>
        <w:sz w:val="18"/>
      </w:rPr>
      <w:fldChar w:fldCharType="separate"/>
    </w:r>
    <w:r w:rsidR="00B748E2">
      <w:rPr>
        <w:rStyle w:val="Nmerodepgina"/>
        <w:noProof/>
        <w:sz w:val="18"/>
      </w:rPr>
      <w:t>16</w:t>
    </w:r>
    <w:r>
      <w:rPr>
        <w:rStyle w:val="Nmerodepgina"/>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388C8" w14:textId="77777777" w:rsidR="00E26FFB" w:rsidRDefault="00E26FFB">
    <w:pPr>
      <w:pStyle w:val="Piedepgina"/>
      <w:tabs>
        <w:tab w:val="clear" w:pos="4252"/>
        <w:tab w:val="clear" w:pos="8504"/>
        <w:tab w:val="right" w:pos="9072"/>
      </w:tabs>
      <w:rPr>
        <w:sz w:val="18"/>
      </w:rPr>
    </w:pPr>
    <w:r>
      <w:tab/>
    </w:r>
    <w:r>
      <w:rPr>
        <w:rStyle w:val="Nmerodepgina"/>
        <w:sz w:val="18"/>
      </w:rPr>
      <w:fldChar w:fldCharType="begin"/>
    </w:r>
    <w:r>
      <w:rPr>
        <w:rStyle w:val="Nmerodepgina"/>
        <w:sz w:val="18"/>
      </w:rPr>
      <w:instrText xml:space="preserve"> PAGE </w:instrText>
    </w:r>
    <w:r>
      <w:rPr>
        <w:rStyle w:val="Nmerodepgina"/>
        <w:sz w:val="18"/>
      </w:rPr>
      <w:fldChar w:fldCharType="separate"/>
    </w:r>
    <w:r w:rsidR="00B748E2">
      <w:rPr>
        <w:rStyle w:val="Nmerodepgina"/>
        <w:noProof/>
        <w:sz w:val="18"/>
      </w:rPr>
      <w:t>1</w:t>
    </w:r>
    <w:r>
      <w:rPr>
        <w:rStyle w:val="Nmerodepgina"/>
        <w:sz w:val="18"/>
      </w:rPr>
      <w:fldChar w:fldCharType="end"/>
    </w:r>
    <w:r>
      <w:rPr>
        <w:sz w:val="18"/>
      </w:rPr>
      <w:t>/</w:t>
    </w:r>
    <w:r>
      <w:rPr>
        <w:rStyle w:val="Nmerodepgina"/>
        <w:sz w:val="18"/>
      </w:rPr>
      <w:fldChar w:fldCharType="begin"/>
    </w:r>
    <w:r>
      <w:rPr>
        <w:rStyle w:val="Nmerodepgina"/>
        <w:sz w:val="18"/>
      </w:rPr>
      <w:instrText xml:space="preserve"> NUMPAGES </w:instrText>
    </w:r>
    <w:r>
      <w:rPr>
        <w:rStyle w:val="Nmerodepgina"/>
        <w:sz w:val="18"/>
      </w:rPr>
      <w:fldChar w:fldCharType="separate"/>
    </w:r>
    <w:r w:rsidR="00B748E2">
      <w:rPr>
        <w:rStyle w:val="Nmerodepgina"/>
        <w:noProof/>
        <w:sz w:val="18"/>
      </w:rPr>
      <w:t>3</w:t>
    </w:r>
    <w:r>
      <w:rPr>
        <w:rStyle w:val="Nmerodepgina"/>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67851" w14:textId="77777777" w:rsidR="00F159BB" w:rsidRDefault="00F159BB">
      <w:r>
        <w:separator/>
      </w:r>
    </w:p>
  </w:footnote>
  <w:footnote w:type="continuationSeparator" w:id="0">
    <w:p w14:paraId="5BFACE4F" w14:textId="77777777" w:rsidR="00F159BB" w:rsidRDefault="00F15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3856"/>
      <w:gridCol w:w="1361"/>
      <w:gridCol w:w="3856"/>
    </w:tblGrid>
    <w:tr w:rsidR="00E26FFB" w14:paraId="5A7AA1B0" w14:textId="77777777">
      <w:trPr>
        <w:cantSplit/>
        <w:trHeight w:val="338"/>
      </w:trPr>
      <w:tc>
        <w:tcPr>
          <w:tcW w:w="3856" w:type="dxa"/>
        </w:tcPr>
        <w:p w14:paraId="5AF22583" w14:textId="77777777" w:rsidR="00E26FFB" w:rsidRDefault="00E26FFB">
          <w:pPr>
            <w:pStyle w:val="Encabezado"/>
          </w:pPr>
        </w:p>
      </w:tc>
      <w:tc>
        <w:tcPr>
          <w:tcW w:w="1361" w:type="dxa"/>
          <w:vMerge w:val="restart"/>
        </w:tcPr>
        <w:p w14:paraId="1695FF50" w14:textId="77777777" w:rsidR="00E26FFB" w:rsidRDefault="00067BD8">
          <w:pPr>
            <w:pStyle w:val="Encabezado"/>
            <w:jc w:val="center"/>
          </w:pPr>
          <w:r>
            <w:rPr>
              <w:noProof/>
              <w:lang w:val="es-ES" w:bidi="ar-SA"/>
            </w:rPr>
            <w:drawing>
              <wp:inline distT="0" distB="0" distL="0" distR="0" wp14:anchorId="05D5A545" wp14:editId="7032074E">
                <wp:extent cx="428625" cy="428625"/>
                <wp:effectExtent l="0" t="0" r="9525" b="9525"/>
                <wp:docPr id="1" name="Imagen 1" descr="S MBOLO 12 X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MBOLO 12 X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3856" w:type="dxa"/>
        </w:tcPr>
        <w:p w14:paraId="1370690C" w14:textId="77777777" w:rsidR="00E26FFB" w:rsidRDefault="00E26FFB">
          <w:pPr>
            <w:pStyle w:val="Encabezado"/>
          </w:pPr>
        </w:p>
      </w:tc>
    </w:tr>
    <w:tr w:rsidR="00E26FFB" w14:paraId="5623A60F" w14:textId="77777777">
      <w:trPr>
        <w:cantSplit/>
        <w:trHeight w:val="337"/>
      </w:trPr>
      <w:tc>
        <w:tcPr>
          <w:tcW w:w="3856" w:type="dxa"/>
        </w:tcPr>
        <w:p w14:paraId="2D99BCD9" w14:textId="77777777" w:rsidR="00E26FFB" w:rsidRDefault="00E26FFB">
          <w:pPr>
            <w:pStyle w:val="Encabezado"/>
          </w:pPr>
        </w:p>
      </w:tc>
      <w:tc>
        <w:tcPr>
          <w:tcW w:w="1361" w:type="dxa"/>
          <w:vMerge/>
        </w:tcPr>
        <w:p w14:paraId="7DEE977C" w14:textId="77777777" w:rsidR="00E26FFB" w:rsidRDefault="00E26FFB">
          <w:pPr>
            <w:pStyle w:val="Encabezado"/>
            <w:jc w:val="center"/>
          </w:pPr>
        </w:p>
      </w:tc>
      <w:tc>
        <w:tcPr>
          <w:tcW w:w="3856" w:type="dxa"/>
        </w:tcPr>
        <w:p w14:paraId="45367B43" w14:textId="77777777" w:rsidR="00E26FFB" w:rsidRDefault="00E26FFB">
          <w:pPr>
            <w:pStyle w:val="Encabezado"/>
          </w:pPr>
        </w:p>
      </w:tc>
    </w:tr>
  </w:tbl>
  <w:p w14:paraId="30A67CCB" w14:textId="77777777" w:rsidR="00E26FFB" w:rsidRDefault="00E26FFB" w:rsidP="000D06E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26" w:type="dxa"/>
      <w:tblLayout w:type="fixed"/>
      <w:tblCellMar>
        <w:left w:w="70" w:type="dxa"/>
        <w:right w:w="70" w:type="dxa"/>
      </w:tblCellMar>
      <w:tblLook w:val="0000" w:firstRow="0" w:lastRow="0" w:firstColumn="0" w:lastColumn="0" w:noHBand="0" w:noVBand="0"/>
    </w:tblPr>
    <w:tblGrid>
      <w:gridCol w:w="6804"/>
      <w:gridCol w:w="3402"/>
    </w:tblGrid>
    <w:tr w:rsidR="00E26FFB" w14:paraId="51CAF040" w14:textId="77777777" w:rsidTr="00667E3A">
      <w:tc>
        <w:tcPr>
          <w:tcW w:w="6804" w:type="dxa"/>
        </w:tcPr>
        <w:p w14:paraId="384EDB04" w14:textId="77777777" w:rsidR="00E26FFB" w:rsidRDefault="00E26FFB">
          <w:pPr>
            <w:pStyle w:val="Encabezado"/>
            <w:tabs>
              <w:tab w:val="clear" w:pos="4252"/>
              <w:tab w:val="clear" w:pos="8504"/>
            </w:tabs>
            <w:spacing w:after="1200"/>
            <w:ind w:left="74"/>
            <w:rPr>
              <w:rFonts w:ascii="Arial" w:hAnsi="Arial"/>
              <w:noProof/>
              <w:sz w:val="16"/>
            </w:rPr>
          </w:pPr>
          <w:r>
            <w:rPr>
              <w:rFonts w:ascii="Arial" w:hAnsi="Arial"/>
              <w:sz w:val="16"/>
            </w:rPr>
            <w:object w:dxaOrig="3301" w:dyaOrig="1126" w14:anchorId="4A4F20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75pt;height:56.25pt" fillcolor="window">
                <v:imagedata r:id="rId1" o:title=""/>
              </v:shape>
              <o:OLEObject Type="Embed" ProgID="Word.Picture.8" ShapeID="_x0000_i1025" DrawAspect="Content" ObjectID="_1713680759" r:id="rId2"/>
            </w:object>
          </w:r>
        </w:p>
        <w:p w14:paraId="4434EEA9" w14:textId="77777777" w:rsidR="00E26FFB" w:rsidRDefault="00E26FFB">
          <w:pPr>
            <w:pStyle w:val="Encabezado"/>
            <w:ind w:left="1064"/>
            <w:rPr>
              <w:rFonts w:ascii="Arial" w:hAnsi="Arial"/>
              <w:noProof/>
              <w:sz w:val="16"/>
            </w:rPr>
          </w:pPr>
        </w:p>
      </w:tc>
      <w:tc>
        <w:tcPr>
          <w:tcW w:w="3402" w:type="dxa"/>
        </w:tcPr>
        <w:p w14:paraId="3DB4AACD" w14:textId="77777777" w:rsidR="00A5599B" w:rsidRDefault="00A5599B" w:rsidP="00A5599B">
          <w:pPr>
            <w:pStyle w:val="Encabezado"/>
            <w:tabs>
              <w:tab w:val="clear" w:pos="4252"/>
            </w:tabs>
            <w:spacing w:after="40" w:line="240" w:lineRule="exact"/>
            <w:ind w:left="-68"/>
            <w:rPr>
              <w:rFonts w:ascii="Arial" w:hAnsi="Arial"/>
              <w:b/>
              <w:noProof/>
              <w:sz w:val="18"/>
            </w:rPr>
          </w:pPr>
          <w:r>
            <w:rPr>
              <w:rFonts w:ascii="Arial" w:hAnsi="Arial"/>
              <w:b/>
              <w:sz w:val="18"/>
            </w:rPr>
            <w:t>Foru Gobernu Kontseilua</w:t>
          </w:r>
        </w:p>
        <w:p w14:paraId="57095968" w14:textId="77777777" w:rsidR="00E26FFB" w:rsidRDefault="00A5599B" w:rsidP="00A5599B">
          <w:pPr>
            <w:pStyle w:val="Encabezado"/>
            <w:tabs>
              <w:tab w:val="clear" w:pos="4252"/>
            </w:tabs>
            <w:spacing w:after="240" w:line="240" w:lineRule="exact"/>
            <w:ind w:left="-68"/>
            <w:rPr>
              <w:rFonts w:ascii="Arial" w:hAnsi="Arial"/>
              <w:b/>
              <w:noProof/>
              <w:sz w:val="18"/>
            </w:rPr>
          </w:pPr>
          <w:r>
            <w:rPr>
              <w:rFonts w:ascii="Arial" w:hAnsi="Arial"/>
              <w:b/>
              <w:sz w:val="18"/>
            </w:rPr>
            <w:t>Consejo de Gobierno Foral</w:t>
          </w:r>
        </w:p>
        <w:p w14:paraId="1CB7C9F1" w14:textId="77777777" w:rsidR="00E26FFB" w:rsidRDefault="00E26FFB">
          <w:pPr>
            <w:pStyle w:val="Encabezado"/>
            <w:tabs>
              <w:tab w:val="clear" w:pos="4252"/>
            </w:tabs>
            <w:ind w:left="-70"/>
            <w:rPr>
              <w:rFonts w:ascii="Arial" w:hAnsi="Arial"/>
              <w:noProof/>
              <w:sz w:val="18"/>
            </w:rPr>
          </w:pPr>
        </w:p>
      </w:tc>
    </w:tr>
  </w:tbl>
  <w:p w14:paraId="716FAEF3" w14:textId="77777777" w:rsidR="00E26FFB" w:rsidRDefault="00E26FFB">
    <w:pPr>
      <w:pStyle w:val="Encabezado"/>
      <w:pBdr>
        <w:top w:val="single" w:sz="4" w:space="1" w:color="auto"/>
      </w:pBdr>
      <w:tabs>
        <w:tab w:val="clear" w:pos="4252"/>
        <w:tab w:val="clear" w:pos="8504"/>
      </w:tabs>
      <w:ind w:left="11" w:right="28"/>
      <w:rPr>
        <w:rFonts w:ascii="Arial" w:hAnsi="Arial"/>
        <w:noProo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17542"/>
    <w:multiLevelType w:val="singleLevel"/>
    <w:tmpl w:val="0C0A000F"/>
    <w:lvl w:ilvl="0">
      <w:start w:val="1"/>
      <w:numFmt w:val="decimal"/>
      <w:lvlText w:val="%1."/>
      <w:lvlJc w:val="left"/>
      <w:pPr>
        <w:tabs>
          <w:tab w:val="num" w:pos="360"/>
        </w:tabs>
        <w:ind w:left="360" w:hanging="360"/>
      </w:pPr>
      <w:rPr>
        <w:rFonts w:hint="default"/>
      </w:rPr>
    </w:lvl>
  </w:abstractNum>
  <w:abstractNum w:abstractNumId="1" w15:restartNumberingAfterBreak="0">
    <w:nsid w:val="1FCC054E"/>
    <w:multiLevelType w:val="hybridMultilevel"/>
    <w:tmpl w:val="C7C45F0A"/>
    <w:lvl w:ilvl="0" w:tplc="042D0001">
      <w:start w:val="1"/>
      <w:numFmt w:val="bullet"/>
      <w:lvlText w:val=""/>
      <w:lvlJc w:val="left"/>
      <w:pPr>
        <w:ind w:left="720" w:hanging="360"/>
      </w:pPr>
      <w:rPr>
        <w:rFonts w:ascii="Symbol" w:hAnsi="Symbol" w:hint="default"/>
      </w:rPr>
    </w:lvl>
    <w:lvl w:ilvl="1" w:tplc="042D0003">
      <w:start w:val="1"/>
      <w:numFmt w:val="bullet"/>
      <w:lvlText w:val="o"/>
      <w:lvlJc w:val="left"/>
      <w:pPr>
        <w:ind w:left="1440" w:hanging="360"/>
      </w:pPr>
      <w:rPr>
        <w:rFonts w:ascii="Courier New" w:hAnsi="Courier New" w:cs="Courier New" w:hint="default"/>
      </w:rPr>
    </w:lvl>
    <w:lvl w:ilvl="2" w:tplc="042D0005">
      <w:start w:val="1"/>
      <w:numFmt w:val="bullet"/>
      <w:lvlText w:val=""/>
      <w:lvlJc w:val="left"/>
      <w:pPr>
        <w:ind w:left="2160" w:hanging="360"/>
      </w:pPr>
      <w:rPr>
        <w:rFonts w:ascii="Wingdings" w:hAnsi="Wingdings" w:hint="default"/>
      </w:rPr>
    </w:lvl>
    <w:lvl w:ilvl="3" w:tplc="042D000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 w15:restartNumberingAfterBreak="0">
    <w:nsid w:val="2E1C2457"/>
    <w:multiLevelType w:val="singleLevel"/>
    <w:tmpl w:val="0C0A0017"/>
    <w:lvl w:ilvl="0">
      <w:start w:val="1"/>
      <w:numFmt w:val="lowerLetter"/>
      <w:lvlText w:val="%1)"/>
      <w:lvlJc w:val="left"/>
      <w:pPr>
        <w:tabs>
          <w:tab w:val="num" w:pos="360"/>
        </w:tabs>
        <w:ind w:left="360" w:hanging="360"/>
      </w:pPr>
      <w:rPr>
        <w:rFonts w:hint="default"/>
      </w:rPr>
    </w:lvl>
  </w:abstractNum>
  <w:abstractNum w:abstractNumId="3" w15:restartNumberingAfterBreak="0">
    <w:nsid w:val="4704296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FC3299B"/>
    <w:multiLevelType w:val="hybridMultilevel"/>
    <w:tmpl w:val="CDC80C8E"/>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5" w15:restartNumberingAfterBreak="0">
    <w:nsid w:val="507B3802"/>
    <w:multiLevelType w:val="hybridMultilevel"/>
    <w:tmpl w:val="CDC80C8E"/>
    <w:lvl w:ilvl="0" w:tplc="042D0017">
      <w:start w:val="1"/>
      <w:numFmt w:val="lowerLetter"/>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6" w15:restartNumberingAfterBreak="0">
    <w:nsid w:val="5194583E"/>
    <w:multiLevelType w:val="hybridMultilevel"/>
    <w:tmpl w:val="DF762F20"/>
    <w:lvl w:ilvl="0" w:tplc="33941772">
      <w:start w:val="1"/>
      <w:numFmt w:val="bullet"/>
      <w:lvlText w:val="₋"/>
      <w:lvlJc w:val="left"/>
      <w:pPr>
        <w:ind w:left="737" w:hanging="377"/>
      </w:pPr>
      <w:rPr>
        <w:rFonts w:ascii="Times New Roman" w:hAnsi="Times New Roman" w:cs="Times New Roman"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6"/>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_tradnl" w:vendorID="9" w:dllVersion="512" w:checkStyle="1"/>
  <w:proofState w:spelling="clean"/>
  <w:attachedTemplate r:id="rId1"/>
  <w:defaultTabStop w:val="708"/>
  <w:hyphenationZone w:val="425"/>
  <w:displayHorizontalDrawingGridEvery w:val="0"/>
  <w:displayVerticalDrawingGridEvery w:val="0"/>
  <w:doNotUseMarginsForDrawingGridOrigin/>
  <w:doNotShadeFormData/>
  <w:noPunctuationKerning/>
  <w:characterSpacingControl w:val="doNotCompress"/>
  <w:hdrShapeDefaults>
    <o:shapedefaults v:ext="edit" spidmax="491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D18"/>
    <w:rsid w:val="00053553"/>
    <w:rsid w:val="00067BD8"/>
    <w:rsid w:val="0008729B"/>
    <w:rsid w:val="000910D2"/>
    <w:rsid w:val="000B3DC7"/>
    <w:rsid w:val="000D06E5"/>
    <w:rsid w:val="000E5D8F"/>
    <w:rsid w:val="00100F38"/>
    <w:rsid w:val="00114506"/>
    <w:rsid w:val="00120AED"/>
    <w:rsid w:val="00131092"/>
    <w:rsid w:val="0013234F"/>
    <w:rsid w:val="00144B1F"/>
    <w:rsid w:val="00147071"/>
    <w:rsid w:val="00157E5E"/>
    <w:rsid w:val="0016335E"/>
    <w:rsid w:val="001721B2"/>
    <w:rsid w:val="001738C0"/>
    <w:rsid w:val="00183614"/>
    <w:rsid w:val="001B037A"/>
    <w:rsid w:val="001D00CD"/>
    <w:rsid w:val="001E4500"/>
    <w:rsid w:val="002031EA"/>
    <w:rsid w:val="00203852"/>
    <w:rsid w:val="00206123"/>
    <w:rsid w:val="00212A95"/>
    <w:rsid w:val="00243697"/>
    <w:rsid w:val="00246981"/>
    <w:rsid w:val="002641D1"/>
    <w:rsid w:val="002E610F"/>
    <w:rsid w:val="00306816"/>
    <w:rsid w:val="003176C9"/>
    <w:rsid w:val="00363A15"/>
    <w:rsid w:val="003A5C62"/>
    <w:rsid w:val="003E255D"/>
    <w:rsid w:val="003E6B13"/>
    <w:rsid w:val="00405E73"/>
    <w:rsid w:val="004073AA"/>
    <w:rsid w:val="00437B11"/>
    <w:rsid w:val="0044519B"/>
    <w:rsid w:val="00452792"/>
    <w:rsid w:val="004833A7"/>
    <w:rsid w:val="004B66B7"/>
    <w:rsid w:val="004B6E83"/>
    <w:rsid w:val="004E733C"/>
    <w:rsid w:val="005367A6"/>
    <w:rsid w:val="005552D3"/>
    <w:rsid w:val="005938F4"/>
    <w:rsid w:val="00594017"/>
    <w:rsid w:val="005D5F8A"/>
    <w:rsid w:val="005E3999"/>
    <w:rsid w:val="00600510"/>
    <w:rsid w:val="00613ED7"/>
    <w:rsid w:val="00645169"/>
    <w:rsid w:val="00646E0D"/>
    <w:rsid w:val="00651965"/>
    <w:rsid w:val="00660348"/>
    <w:rsid w:val="00667E3A"/>
    <w:rsid w:val="00684185"/>
    <w:rsid w:val="006E7923"/>
    <w:rsid w:val="006F3C36"/>
    <w:rsid w:val="00705ED5"/>
    <w:rsid w:val="00712E1A"/>
    <w:rsid w:val="007459D6"/>
    <w:rsid w:val="00745B22"/>
    <w:rsid w:val="00752A0F"/>
    <w:rsid w:val="00753415"/>
    <w:rsid w:val="00761CA1"/>
    <w:rsid w:val="00774960"/>
    <w:rsid w:val="007A702A"/>
    <w:rsid w:val="007F5919"/>
    <w:rsid w:val="007F66F9"/>
    <w:rsid w:val="00806DBB"/>
    <w:rsid w:val="00820524"/>
    <w:rsid w:val="008207FD"/>
    <w:rsid w:val="008449CE"/>
    <w:rsid w:val="00866795"/>
    <w:rsid w:val="0087220B"/>
    <w:rsid w:val="00882B1C"/>
    <w:rsid w:val="00891F75"/>
    <w:rsid w:val="008A735F"/>
    <w:rsid w:val="008A7B5B"/>
    <w:rsid w:val="008B6FD6"/>
    <w:rsid w:val="008D3933"/>
    <w:rsid w:val="008E2673"/>
    <w:rsid w:val="008E6CB0"/>
    <w:rsid w:val="00912BD7"/>
    <w:rsid w:val="009454BD"/>
    <w:rsid w:val="00952537"/>
    <w:rsid w:val="00993A63"/>
    <w:rsid w:val="009B2C22"/>
    <w:rsid w:val="009C6C8E"/>
    <w:rsid w:val="009E18AA"/>
    <w:rsid w:val="009E46F9"/>
    <w:rsid w:val="009F5B52"/>
    <w:rsid w:val="00A01151"/>
    <w:rsid w:val="00A1268B"/>
    <w:rsid w:val="00A34987"/>
    <w:rsid w:val="00A42AF2"/>
    <w:rsid w:val="00A5599B"/>
    <w:rsid w:val="00A63591"/>
    <w:rsid w:val="00A966C8"/>
    <w:rsid w:val="00AA252C"/>
    <w:rsid w:val="00AA7DE5"/>
    <w:rsid w:val="00AB55A9"/>
    <w:rsid w:val="00AC0C2B"/>
    <w:rsid w:val="00AD3440"/>
    <w:rsid w:val="00B00BE8"/>
    <w:rsid w:val="00B419B1"/>
    <w:rsid w:val="00B4741D"/>
    <w:rsid w:val="00B643C9"/>
    <w:rsid w:val="00B748A1"/>
    <w:rsid w:val="00B748E2"/>
    <w:rsid w:val="00B919D1"/>
    <w:rsid w:val="00BB5DFD"/>
    <w:rsid w:val="00BB7E13"/>
    <w:rsid w:val="00BD07C1"/>
    <w:rsid w:val="00BF02AD"/>
    <w:rsid w:val="00C20D5B"/>
    <w:rsid w:val="00C6444B"/>
    <w:rsid w:val="00C71262"/>
    <w:rsid w:val="00C756C5"/>
    <w:rsid w:val="00CA53A3"/>
    <w:rsid w:val="00CB0209"/>
    <w:rsid w:val="00CD31F0"/>
    <w:rsid w:val="00CF59EB"/>
    <w:rsid w:val="00D00112"/>
    <w:rsid w:val="00D2050E"/>
    <w:rsid w:val="00D21EC8"/>
    <w:rsid w:val="00D24673"/>
    <w:rsid w:val="00D2713F"/>
    <w:rsid w:val="00D527A6"/>
    <w:rsid w:val="00D7404A"/>
    <w:rsid w:val="00D74FD7"/>
    <w:rsid w:val="00DA2AE6"/>
    <w:rsid w:val="00DD6C9A"/>
    <w:rsid w:val="00DE2D18"/>
    <w:rsid w:val="00DF455A"/>
    <w:rsid w:val="00E03773"/>
    <w:rsid w:val="00E04A0F"/>
    <w:rsid w:val="00E13CF3"/>
    <w:rsid w:val="00E26FFB"/>
    <w:rsid w:val="00E312F9"/>
    <w:rsid w:val="00E515A3"/>
    <w:rsid w:val="00E80C4B"/>
    <w:rsid w:val="00E8452E"/>
    <w:rsid w:val="00E96C7F"/>
    <w:rsid w:val="00EB281C"/>
    <w:rsid w:val="00EB7D51"/>
    <w:rsid w:val="00EC596F"/>
    <w:rsid w:val="00EE6A20"/>
    <w:rsid w:val="00F13AE4"/>
    <w:rsid w:val="00F159BB"/>
    <w:rsid w:val="00F43B6C"/>
    <w:rsid w:val="00F443EB"/>
    <w:rsid w:val="00F455B7"/>
    <w:rsid w:val="00F84A3D"/>
    <w:rsid w:val="00FB5687"/>
    <w:rsid w:val="00FC584C"/>
    <w:rsid w:val="00FC72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o:shapelayout v:ext="edit">
      <o:idmap v:ext="edit" data="1"/>
    </o:shapelayout>
  </w:shapeDefaults>
  <w:decimalSymbol w:val=","/>
  <w:listSeparator w:val=";"/>
  <w14:docId w14:val="710CCD04"/>
  <w15:docId w15:val="{B40E768B-1596-4615-BA96-52567B82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lang w:bidi="or-IN"/>
    </w:rPr>
  </w:style>
  <w:style w:type="paragraph" w:styleId="Ttulo1">
    <w:name w:val="heading 1"/>
    <w:basedOn w:val="Normal"/>
    <w:next w:val="Normal"/>
    <w:qFormat/>
    <w:pPr>
      <w:keepNext/>
      <w:spacing w:before="240" w:after="480"/>
      <w:jc w:val="center"/>
      <w:outlineLvl w:val="0"/>
    </w:pPr>
    <w:rPr>
      <w:rFonts w:ascii="Arial" w:hAnsi="Arial"/>
      <w:b/>
      <w:bCs/>
      <w:sz w:val="22"/>
      <w:szCs w:val="22"/>
    </w:rPr>
  </w:style>
  <w:style w:type="paragraph" w:styleId="Ttulo2">
    <w:name w:val="heading 2"/>
    <w:basedOn w:val="Normal"/>
    <w:next w:val="Normal"/>
    <w:link w:val="Ttulo2Car"/>
    <w:uiPriority w:val="9"/>
    <w:semiHidden/>
    <w:unhideWhenUsed/>
    <w:qFormat/>
    <w:rsid w:val="003E255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qFormat/>
    <w:pPr>
      <w:keepNext/>
      <w:keepLines/>
      <w:spacing w:after="600"/>
      <w:jc w:val="both"/>
      <w:outlineLvl w:val="2"/>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semiHidden/>
    <w:pPr>
      <w:tabs>
        <w:tab w:val="center" w:pos="4252"/>
        <w:tab w:val="right" w:pos="8504"/>
      </w:tabs>
    </w:pPr>
  </w:style>
  <w:style w:type="paragraph" w:styleId="Sangradetextonormal">
    <w:name w:val="Body Text Indent"/>
    <w:basedOn w:val="Normal"/>
    <w:semiHidden/>
    <w:pPr>
      <w:spacing w:after="240"/>
      <w:ind w:firstLine="1134"/>
      <w:jc w:val="both"/>
    </w:pPr>
    <w:rPr>
      <w:rFonts w:ascii="Arial" w:hAnsi="Arial"/>
      <w:b/>
      <w:bCs/>
      <w:color w:val="FF0000"/>
      <w:sz w:val="24"/>
      <w:szCs w:val="24"/>
    </w:rPr>
  </w:style>
  <w:style w:type="character" w:styleId="Nmerodepgina">
    <w:name w:val="page number"/>
    <w:basedOn w:val="Fuentedeprrafopredeter"/>
    <w:semiHidden/>
  </w:style>
  <w:style w:type="paragraph" w:styleId="Textoindependiente">
    <w:name w:val="Body Text"/>
    <w:basedOn w:val="Normal"/>
    <w:semiHidden/>
    <w:pPr>
      <w:widowControl w:val="0"/>
      <w:spacing w:after="120"/>
      <w:jc w:val="both"/>
    </w:pPr>
    <w:rPr>
      <w:sz w:val="22"/>
    </w:rPr>
  </w:style>
  <w:style w:type="paragraph" w:styleId="Textodeglobo">
    <w:name w:val="Balloon Text"/>
    <w:basedOn w:val="Normal"/>
    <w:link w:val="TextodegloboCar"/>
    <w:uiPriority w:val="99"/>
    <w:semiHidden/>
    <w:unhideWhenUsed/>
    <w:rsid w:val="002641D1"/>
    <w:rPr>
      <w:rFonts w:ascii="Tahoma" w:hAnsi="Tahoma" w:cs="Tahoma"/>
      <w:sz w:val="16"/>
      <w:szCs w:val="16"/>
    </w:rPr>
  </w:style>
  <w:style w:type="character" w:customStyle="1" w:styleId="TextodegloboCar">
    <w:name w:val="Texto de globo Car"/>
    <w:link w:val="Textodeglobo"/>
    <w:uiPriority w:val="99"/>
    <w:semiHidden/>
    <w:rsid w:val="002641D1"/>
    <w:rPr>
      <w:rFonts w:ascii="Tahoma" w:hAnsi="Tahoma" w:cs="Tahoma"/>
      <w:sz w:val="16"/>
      <w:szCs w:val="16"/>
      <w:lang w:val="eu-ES" w:bidi="or-IN"/>
    </w:rPr>
  </w:style>
  <w:style w:type="character" w:customStyle="1" w:styleId="EncabezadoCar">
    <w:name w:val="Encabezado Car"/>
    <w:link w:val="Encabezado"/>
    <w:uiPriority w:val="99"/>
    <w:rsid w:val="00A5599B"/>
    <w:rPr>
      <w:rFonts w:cs="Arial"/>
      <w:lang w:val="eu-ES" w:bidi="or-IN"/>
    </w:rPr>
  </w:style>
  <w:style w:type="table" w:styleId="Tablaconcuadrcula">
    <w:name w:val="Table Grid"/>
    <w:basedOn w:val="Tablanormal"/>
    <w:uiPriority w:val="59"/>
    <w:rsid w:val="00FC7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resolucin">
    <w:name w:val="Título_resolución"/>
    <w:basedOn w:val="Normal"/>
    <w:rsid w:val="00EB281C"/>
    <w:pPr>
      <w:tabs>
        <w:tab w:val="left" w:pos="4537"/>
      </w:tabs>
      <w:spacing w:after="600"/>
      <w:jc w:val="both"/>
    </w:pPr>
    <w:rPr>
      <w:rFonts w:ascii="Arial" w:hAnsi="Arial" w:cs="Times New Roman"/>
      <w:b/>
      <w:sz w:val="22"/>
      <w:lang w:bidi="ar-SA"/>
    </w:rPr>
  </w:style>
  <w:style w:type="character" w:customStyle="1" w:styleId="Ttulo2Car">
    <w:name w:val="Título 2 Car"/>
    <w:basedOn w:val="Fuentedeprrafopredeter"/>
    <w:link w:val="Ttulo2"/>
    <w:uiPriority w:val="9"/>
    <w:semiHidden/>
    <w:rsid w:val="003E255D"/>
    <w:rPr>
      <w:rFonts w:asciiTheme="majorHAnsi" w:eastAsiaTheme="majorEastAsia" w:hAnsiTheme="majorHAnsi" w:cstheme="majorBidi"/>
      <w:color w:val="365F91" w:themeColor="accent1" w:themeShade="BF"/>
      <w:sz w:val="26"/>
      <w:szCs w:val="26"/>
      <w:lang w:val="eu-ES" w:bidi="o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Plantilla%20de%20Acuerdo%20del%20Consejo%20de%20Diputado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5A3CE-2E28-4835-B928-8099C4C8E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de Acuerdo del Consejo de Diputados.dot</Template>
  <TotalTime>18</TotalTime>
  <Pages>3</Pages>
  <Words>996</Words>
  <Characters>7611</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Plantilla de Acuerdo del Consejo de Diputados</vt:lpstr>
    </vt:vector>
  </TitlesOfParts>
  <Company>DFA-AFA</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Acuerdo del Consejo de Diputados</dc:title>
  <dc:creator>OPITURRIAG_MJES</dc:creator>
  <cp:lastModifiedBy>Vea-Murguia Anda, Ana</cp:lastModifiedBy>
  <cp:revision>7</cp:revision>
  <cp:lastPrinted>2022-04-20T10:51:00Z</cp:lastPrinted>
  <dcterms:created xsi:type="dcterms:W3CDTF">2022-05-10T07:18:00Z</dcterms:created>
  <dcterms:modified xsi:type="dcterms:W3CDTF">2022-05-10T07:39:00Z</dcterms:modified>
</cp:coreProperties>
</file>