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A6BCA" w14:textId="3723ED18" w:rsidR="009172B8" w:rsidRPr="008C5402" w:rsidRDefault="009172B8" w:rsidP="009172B8">
      <w:pPr>
        <w:tabs>
          <w:tab w:val="left" w:pos="1418"/>
          <w:tab w:val="left" w:pos="4253"/>
        </w:tabs>
        <w:jc w:val="both"/>
        <w:rPr>
          <w:b/>
          <w:sz w:val="22"/>
          <w:szCs w:val="22"/>
        </w:rPr>
      </w:pPr>
      <w:r w:rsidRPr="008C5402">
        <w:rPr>
          <w:b/>
          <w:sz w:val="22"/>
          <w:szCs w:val="22"/>
        </w:rPr>
        <w:t xml:space="preserve">CONVENIO ENTRE LA ADMINISTRACIÓN GENERAL DE LA COMUNIDAD AUTÓNOMA DEL PAÍS VASCO Y </w:t>
      </w:r>
      <w:r w:rsidR="000979FD" w:rsidRPr="000979FD">
        <w:rPr>
          <w:b/>
          <w:sz w:val="22"/>
          <w:szCs w:val="22"/>
        </w:rPr>
        <w:t xml:space="preserve">LA </w:t>
      </w:r>
      <w:r w:rsidR="00956A4A">
        <w:rPr>
          <w:b/>
          <w:sz w:val="22"/>
          <w:szCs w:val="22"/>
        </w:rPr>
        <w:t>DIPUTACIÓN FORAL DE ÁLAVA</w:t>
      </w:r>
      <w:r w:rsidR="001A5854">
        <w:rPr>
          <w:b/>
          <w:sz w:val="22"/>
          <w:szCs w:val="22"/>
        </w:rPr>
        <w:t xml:space="preserve"> </w:t>
      </w:r>
      <w:r w:rsidRPr="008C5402">
        <w:rPr>
          <w:b/>
          <w:sz w:val="22"/>
          <w:szCs w:val="22"/>
        </w:rPr>
        <w:t xml:space="preserve">PARA LA GENERACIÓN DE DATOS DE TRANSPORTE AVANZADOS EN EL TERRITORIO HISTÓRICO DE </w:t>
      </w:r>
      <w:r w:rsidR="00956A4A">
        <w:rPr>
          <w:b/>
          <w:sz w:val="22"/>
          <w:szCs w:val="22"/>
        </w:rPr>
        <w:t>ÁLAVA</w:t>
      </w:r>
      <w:r w:rsidRPr="008C5402">
        <w:rPr>
          <w:b/>
          <w:sz w:val="22"/>
          <w:szCs w:val="22"/>
        </w:rPr>
        <w:t>, EN EL MARCO DEL PLAN DE RECUPERACIÓN, TRANSFORMACIÓN Y RESILIENCIA FINANCIADO POR LA UNIÓN EUROPEA – NEXT GENERATION EU.</w:t>
      </w:r>
    </w:p>
    <w:p w14:paraId="4AF60351" w14:textId="77777777" w:rsidR="009172B8" w:rsidRPr="008C5402" w:rsidRDefault="009172B8" w:rsidP="009172B8">
      <w:pPr>
        <w:tabs>
          <w:tab w:val="left" w:pos="1418"/>
          <w:tab w:val="left" w:pos="4253"/>
        </w:tabs>
        <w:jc w:val="both"/>
        <w:rPr>
          <w:sz w:val="22"/>
          <w:szCs w:val="22"/>
        </w:rPr>
      </w:pPr>
    </w:p>
    <w:p w14:paraId="5AEA1995" w14:textId="77777777" w:rsidR="009172B8" w:rsidRPr="008C5402" w:rsidRDefault="009172B8" w:rsidP="009172B8">
      <w:pPr>
        <w:pStyle w:val="Piedepgina"/>
        <w:tabs>
          <w:tab w:val="clear" w:pos="4819"/>
          <w:tab w:val="clear" w:pos="9071"/>
        </w:tabs>
        <w:jc w:val="right"/>
        <w:rPr>
          <w:sz w:val="22"/>
          <w:szCs w:val="22"/>
        </w:rPr>
      </w:pPr>
      <w:r w:rsidRPr="008C5402">
        <w:rPr>
          <w:sz w:val="22"/>
          <w:szCs w:val="22"/>
        </w:rPr>
        <w:t>En Vitoria-Gasteiz, a   de         de 2022</w:t>
      </w:r>
    </w:p>
    <w:p w14:paraId="61E45D31" w14:textId="77777777" w:rsidR="009172B8" w:rsidRPr="008C5402" w:rsidRDefault="009172B8" w:rsidP="009172B8">
      <w:pPr>
        <w:rPr>
          <w:sz w:val="22"/>
          <w:szCs w:val="22"/>
        </w:rPr>
      </w:pPr>
    </w:p>
    <w:p w14:paraId="10D80881" w14:textId="77777777" w:rsidR="009172B8" w:rsidRPr="008C5402" w:rsidRDefault="009172B8" w:rsidP="009172B8">
      <w:pPr>
        <w:jc w:val="center"/>
        <w:rPr>
          <w:b/>
          <w:caps/>
          <w:sz w:val="22"/>
          <w:szCs w:val="22"/>
          <w:lang w:eastAsia="es-ES"/>
        </w:rPr>
      </w:pPr>
    </w:p>
    <w:p w14:paraId="4ACAFF53" w14:textId="77777777" w:rsidR="009172B8" w:rsidRPr="008C5402" w:rsidRDefault="009172B8" w:rsidP="009172B8">
      <w:pPr>
        <w:jc w:val="center"/>
        <w:rPr>
          <w:b/>
          <w:caps/>
          <w:sz w:val="22"/>
          <w:szCs w:val="22"/>
          <w:lang w:eastAsia="es-ES"/>
        </w:rPr>
      </w:pPr>
    </w:p>
    <w:p w14:paraId="68B1F169" w14:textId="77777777" w:rsidR="009172B8" w:rsidRPr="008C5402" w:rsidRDefault="009172B8" w:rsidP="009172B8">
      <w:pPr>
        <w:jc w:val="center"/>
        <w:rPr>
          <w:b/>
          <w:caps/>
          <w:sz w:val="22"/>
          <w:szCs w:val="22"/>
          <w:lang w:eastAsia="es-ES"/>
        </w:rPr>
      </w:pPr>
      <w:r w:rsidRPr="008C5402">
        <w:rPr>
          <w:b/>
          <w:caps/>
          <w:sz w:val="22"/>
          <w:szCs w:val="22"/>
          <w:lang w:eastAsia="es-ES"/>
        </w:rPr>
        <w:t>REUNIDOS:</w:t>
      </w:r>
    </w:p>
    <w:p w14:paraId="0D873652" w14:textId="77777777" w:rsidR="009172B8" w:rsidRPr="008C5402" w:rsidRDefault="009172B8" w:rsidP="009172B8">
      <w:pPr>
        <w:rPr>
          <w:sz w:val="22"/>
          <w:szCs w:val="22"/>
          <w:lang w:eastAsia="es-ES"/>
        </w:rPr>
      </w:pPr>
    </w:p>
    <w:p w14:paraId="173B8DDB" w14:textId="77777777" w:rsidR="009172B8" w:rsidRPr="008C5402" w:rsidRDefault="009172B8" w:rsidP="009172B8">
      <w:pPr>
        <w:jc w:val="both"/>
        <w:rPr>
          <w:sz w:val="22"/>
          <w:szCs w:val="22"/>
          <w:lang w:eastAsia="es-ES"/>
        </w:rPr>
      </w:pPr>
      <w:r w:rsidRPr="008C5402">
        <w:rPr>
          <w:sz w:val="22"/>
          <w:szCs w:val="22"/>
          <w:lang w:eastAsia="es-ES"/>
        </w:rPr>
        <w:t>De una parte, D. Ignacio Maria Arriola Lopez, en su condición de Consejero de Planificación Territorial, Vivienda y Transportes, en representación de la Administración General de la Comunidad Autónoma del País Vasco, habiendo sido autorizado para suscribir este Convenio mediante Acuerdo de Consejo de Gobierno de fecha …… de …………de 2022</w:t>
      </w:r>
    </w:p>
    <w:p w14:paraId="62BDC886" w14:textId="77777777" w:rsidR="009172B8" w:rsidRPr="008C5402" w:rsidRDefault="009172B8" w:rsidP="009172B8">
      <w:pPr>
        <w:jc w:val="both"/>
        <w:rPr>
          <w:sz w:val="22"/>
          <w:szCs w:val="22"/>
          <w:lang w:eastAsia="es-ES"/>
        </w:rPr>
      </w:pPr>
    </w:p>
    <w:p w14:paraId="25C29ED6" w14:textId="77777777" w:rsidR="009172B8" w:rsidRPr="008C5402" w:rsidRDefault="009172B8" w:rsidP="009172B8">
      <w:pPr>
        <w:jc w:val="both"/>
        <w:rPr>
          <w:sz w:val="22"/>
          <w:szCs w:val="22"/>
        </w:rPr>
      </w:pPr>
      <w:r w:rsidRPr="008C5402">
        <w:rPr>
          <w:sz w:val="22"/>
          <w:szCs w:val="22"/>
        </w:rPr>
        <w:t>Y</w:t>
      </w:r>
      <w:r w:rsidR="00162386" w:rsidRPr="008C5402">
        <w:rPr>
          <w:sz w:val="22"/>
          <w:szCs w:val="22"/>
        </w:rPr>
        <w:t xml:space="preserve"> de otra, D. </w:t>
      </w:r>
      <w:r w:rsidR="001A5854" w:rsidRPr="001A5854">
        <w:rPr>
          <w:sz w:val="22"/>
          <w:szCs w:val="22"/>
        </w:rPr>
        <w:t>Carlos Ibarlucea Martínez</w:t>
      </w:r>
      <w:r w:rsidR="000979FD">
        <w:rPr>
          <w:sz w:val="22"/>
          <w:szCs w:val="22"/>
        </w:rPr>
        <w:t xml:space="preserve">, en su </w:t>
      </w:r>
      <w:r w:rsidR="001A5854">
        <w:rPr>
          <w:sz w:val="22"/>
          <w:szCs w:val="22"/>
        </w:rPr>
        <w:t xml:space="preserve">condición </w:t>
      </w:r>
      <w:r w:rsidR="000979FD">
        <w:rPr>
          <w:sz w:val="22"/>
          <w:szCs w:val="22"/>
        </w:rPr>
        <w:t xml:space="preserve">de </w:t>
      </w:r>
      <w:r w:rsidR="001A5854" w:rsidRPr="001A5854">
        <w:rPr>
          <w:sz w:val="22"/>
          <w:szCs w:val="22"/>
        </w:rPr>
        <w:t>Diputado Foral de Infraestructuras Viarias y Movilidad</w:t>
      </w:r>
      <w:r w:rsidR="001A5854">
        <w:rPr>
          <w:sz w:val="22"/>
          <w:szCs w:val="22"/>
        </w:rPr>
        <w:t xml:space="preserve"> de la</w:t>
      </w:r>
      <w:r w:rsidR="001A5854" w:rsidRPr="001A5854">
        <w:t xml:space="preserve"> </w:t>
      </w:r>
      <w:r w:rsidR="001A5854" w:rsidRPr="001A5854">
        <w:rPr>
          <w:sz w:val="22"/>
          <w:szCs w:val="22"/>
        </w:rPr>
        <w:t>Diputación Foral de Álava</w:t>
      </w:r>
    </w:p>
    <w:p w14:paraId="36544FA2" w14:textId="77777777" w:rsidR="009172B8" w:rsidRPr="008C5402" w:rsidRDefault="009172B8" w:rsidP="009172B8">
      <w:pPr>
        <w:ind w:firstLine="180"/>
        <w:jc w:val="both"/>
        <w:rPr>
          <w:sz w:val="22"/>
          <w:szCs w:val="22"/>
          <w:lang w:eastAsia="es-ES"/>
        </w:rPr>
      </w:pPr>
    </w:p>
    <w:p w14:paraId="5B7FD629" w14:textId="77777777" w:rsidR="009172B8" w:rsidRPr="008C5402" w:rsidRDefault="009172B8" w:rsidP="009172B8">
      <w:pPr>
        <w:pStyle w:val="Hitzarmena"/>
        <w:spacing w:line="240" w:lineRule="auto"/>
        <w:rPr>
          <w:sz w:val="22"/>
          <w:szCs w:val="22"/>
        </w:rPr>
      </w:pPr>
      <w:r w:rsidRPr="008C5402">
        <w:rPr>
          <w:noProof/>
          <w:sz w:val="22"/>
          <w:szCs w:val="22"/>
        </w:rPr>
        <w:t>Todos los intervinientes se reconocen mutuamente capacidad legal para celebrar el presente CONVENIO, y a tal efecto</w:t>
      </w:r>
    </w:p>
    <w:p w14:paraId="5247DAB4" w14:textId="77777777" w:rsidR="009172B8" w:rsidRPr="008C5402" w:rsidRDefault="009172B8" w:rsidP="009172B8">
      <w:pPr>
        <w:jc w:val="both"/>
        <w:rPr>
          <w:sz w:val="22"/>
          <w:szCs w:val="22"/>
          <w:lang w:val="eu-ES" w:eastAsia="es-ES"/>
        </w:rPr>
      </w:pPr>
    </w:p>
    <w:p w14:paraId="299E163D" w14:textId="77777777" w:rsidR="009172B8" w:rsidRPr="008C5402" w:rsidRDefault="009172B8" w:rsidP="009172B8">
      <w:pPr>
        <w:jc w:val="both"/>
        <w:rPr>
          <w:sz w:val="22"/>
          <w:szCs w:val="22"/>
          <w:lang w:val="eu-ES" w:eastAsia="es-ES"/>
        </w:rPr>
      </w:pPr>
    </w:p>
    <w:p w14:paraId="30C7FCC0" w14:textId="77777777" w:rsidR="009172B8" w:rsidRPr="008C5402" w:rsidRDefault="009172B8" w:rsidP="009172B8">
      <w:pPr>
        <w:jc w:val="center"/>
        <w:rPr>
          <w:b/>
          <w:sz w:val="22"/>
          <w:szCs w:val="22"/>
          <w:lang w:eastAsia="es-ES"/>
        </w:rPr>
      </w:pPr>
      <w:r w:rsidRPr="008C5402">
        <w:rPr>
          <w:b/>
          <w:caps/>
          <w:sz w:val="22"/>
          <w:szCs w:val="22"/>
          <w:lang w:eastAsia="es-ES"/>
        </w:rPr>
        <w:t>EXPONEN:</w:t>
      </w:r>
    </w:p>
    <w:p w14:paraId="03381C62" w14:textId="77777777" w:rsidR="009172B8" w:rsidRPr="008C5402" w:rsidRDefault="009172B8" w:rsidP="009172B8">
      <w:pPr>
        <w:jc w:val="both"/>
        <w:rPr>
          <w:sz w:val="22"/>
          <w:szCs w:val="22"/>
          <w:lang w:eastAsia="es-ES"/>
        </w:rPr>
      </w:pPr>
    </w:p>
    <w:p w14:paraId="1AA58BC8" w14:textId="77777777" w:rsidR="009172B8" w:rsidRPr="008C5402" w:rsidRDefault="009172B8" w:rsidP="009172B8">
      <w:pPr>
        <w:jc w:val="both"/>
        <w:rPr>
          <w:noProof/>
          <w:sz w:val="22"/>
          <w:szCs w:val="22"/>
        </w:rPr>
      </w:pPr>
      <w:r w:rsidRPr="008C5402">
        <w:rPr>
          <w:b/>
          <w:noProof/>
          <w:sz w:val="22"/>
          <w:szCs w:val="22"/>
        </w:rPr>
        <w:t>I.</w:t>
      </w:r>
      <w:r w:rsidRPr="008C5402">
        <w:rPr>
          <w:noProof/>
          <w:sz w:val="22"/>
          <w:szCs w:val="22"/>
        </w:rPr>
        <w:t xml:space="preserve"> En virtud de lo dispuesto por el artículo 10.32 del Estatuto de Autonomía, corresponde a la Comunidad Autónoma del País Vasco, entre otras, la competencia exclusiva en materia de ferrocarriles, transportes terrestres, marítimos, fluviales y por cable, puertos, helipuertos, aeropuertos y Servicio Meteorológico del País Vasco, sin perjuicio de lo dispuesto en el artículo 149.1.20ª de la Constitución. Centros de contratación y terminales de carga en materia de transportes.</w:t>
      </w:r>
    </w:p>
    <w:p w14:paraId="5BF049A1" w14:textId="77777777" w:rsidR="009172B8" w:rsidRPr="008C5402" w:rsidRDefault="009172B8" w:rsidP="009172B8">
      <w:pPr>
        <w:jc w:val="both"/>
        <w:rPr>
          <w:noProof/>
          <w:sz w:val="22"/>
          <w:szCs w:val="22"/>
        </w:rPr>
      </w:pPr>
    </w:p>
    <w:p w14:paraId="2C458B64" w14:textId="77777777" w:rsidR="009172B8" w:rsidRPr="008C5402" w:rsidRDefault="009172B8" w:rsidP="009172B8">
      <w:pPr>
        <w:jc w:val="both"/>
        <w:rPr>
          <w:noProof/>
          <w:sz w:val="22"/>
          <w:szCs w:val="22"/>
        </w:rPr>
      </w:pPr>
      <w:r w:rsidRPr="008C5402">
        <w:rPr>
          <w:noProof/>
          <w:sz w:val="22"/>
          <w:szCs w:val="22"/>
        </w:rPr>
        <w:t>La atribución de funciones competencia de la Comunidad Autónoma del País Vasco en las áreas descritas ha sido conferida al Departamento de Política Territorial, Vivienda y Transportes del Gobierno Vasco por el artículo 11 del 18/2020, de 6 de septiembre, del Lehendakari, de creación, supresión y modificación de los Departamentos de la Administración de la Comunidad Autónoma del País Vasco y de determinación de funciones y áreas de actuación de los mismos, y por el Decreto 11/2021, de 19 de enero, por el que se establece la estructura orgánica y funcional del Departamento de Planificación Territorial, Vivienda y Transportes.</w:t>
      </w:r>
    </w:p>
    <w:p w14:paraId="0301565F" w14:textId="77777777" w:rsidR="009172B8" w:rsidRPr="008C5402" w:rsidRDefault="009172B8" w:rsidP="009172B8">
      <w:pPr>
        <w:jc w:val="both"/>
        <w:rPr>
          <w:noProof/>
          <w:sz w:val="22"/>
          <w:szCs w:val="22"/>
        </w:rPr>
      </w:pPr>
    </w:p>
    <w:p w14:paraId="655B2239" w14:textId="77777777" w:rsidR="009172B8" w:rsidRDefault="009172B8" w:rsidP="009172B8">
      <w:pPr>
        <w:jc w:val="both"/>
        <w:rPr>
          <w:noProof/>
          <w:sz w:val="22"/>
          <w:szCs w:val="22"/>
        </w:rPr>
      </w:pPr>
      <w:r w:rsidRPr="008C5402">
        <w:rPr>
          <w:noProof/>
          <w:sz w:val="22"/>
          <w:szCs w:val="22"/>
        </w:rPr>
        <w:t>Entre las funciones del Departamento de Política Territorial, Vivienda y Transportes se incluye el de llevar a cabo una política de apoyo a los diferentes sectores relacionados con las áreas de su competencia, siendo una de las facultades atribuídas al citado Departamento el planificar y ordenar el transporte de personas viajeras en la Comunidad Autónoma del País Vasco, tal y como figura en el apartado d) del artículo 15.2 del indicado Decreto 11/2021.</w:t>
      </w:r>
    </w:p>
    <w:p w14:paraId="743CC8E3" w14:textId="77777777" w:rsidR="008C5402" w:rsidRPr="008C5402" w:rsidRDefault="008C5402" w:rsidP="009172B8">
      <w:pPr>
        <w:jc w:val="both"/>
        <w:rPr>
          <w:noProof/>
          <w:sz w:val="22"/>
          <w:szCs w:val="22"/>
        </w:rPr>
      </w:pPr>
    </w:p>
    <w:p w14:paraId="5AF397B0" w14:textId="77777777" w:rsidR="00956A4A" w:rsidRPr="00956A4A" w:rsidRDefault="009172B8" w:rsidP="00956A4A">
      <w:pPr>
        <w:jc w:val="both"/>
        <w:rPr>
          <w:noProof/>
          <w:sz w:val="22"/>
          <w:szCs w:val="22"/>
        </w:rPr>
      </w:pPr>
      <w:r w:rsidRPr="008C5402">
        <w:rPr>
          <w:b/>
          <w:noProof/>
          <w:sz w:val="22"/>
          <w:szCs w:val="22"/>
        </w:rPr>
        <w:t>II.</w:t>
      </w:r>
      <w:r w:rsidRPr="008C5402">
        <w:rPr>
          <w:noProof/>
          <w:sz w:val="22"/>
          <w:szCs w:val="22"/>
        </w:rPr>
        <w:t xml:space="preserve"> </w:t>
      </w:r>
      <w:r w:rsidR="00956A4A">
        <w:rPr>
          <w:noProof/>
          <w:sz w:val="22"/>
          <w:szCs w:val="22"/>
        </w:rPr>
        <w:t>La</w:t>
      </w:r>
      <w:r w:rsidR="00956A4A" w:rsidRPr="00956A4A">
        <w:rPr>
          <w:noProof/>
          <w:sz w:val="22"/>
          <w:szCs w:val="22"/>
        </w:rPr>
        <w:t xml:space="preserve"> Ley 27/1983, de 25 de noviembre, de Relaiones entr</w:t>
      </w:r>
      <w:r w:rsidR="00956A4A">
        <w:rPr>
          <w:noProof/>
          <w:sz w:val="22"/>
          <w:szCs w:val="22"/>
        </w:rPr>
        <w:t xml:space="preserve">e </w:t>
      </w:r>
      <w:r w:rsidR="00956A4A" w:rsidRPr="00956A4A">
        <w:rPr>
          <w:noProof/>
          <w:sz w:val="22"/>
          <w:szCs w:val="22"/>
        </w:rPr>
        <w:t xml:space="preserve">las Instituciones Comunes de la Comunidad </w:t>
      </w:r>
      <w:r w:rsidR="00956A4A">
        <w:rPr>
          <w:noProof/>
          <w:sz w:val="22"/>
          <w:szCs w:val="22"/>
        </w:rPr>
        <w:t>Autónoma y los Ó</w:t>
      </w:r>
      <w:r w:rsidR="00956A4A" w:rsidRPr="00956A4A">
        <w:rPr>
          <w:noProof/>
          <w:sz w:val="22"/>
          <w:szCs w:val="22"/>
        </w:rPr>
        <w:t xml:space="preserve">rganos Forales de sus Territorios Históricos (LTH), establece en </w:t>
      </w:r>
      <w:r w:rsidR="00956A4A" w:rsidRPr="00956A4A">
        <w:rPr>
          <w:noProof/>
          <w:sz w:val="22"/>
          <w:szCs w:val="22"/>
        </w:rPr>
        <w:lastRenderedPageBreak/>
        <w:t>su artículo 10 que “</w:t>
      </w:r>
      <w:r w:rsidR="00956A4A" w:rsidRPr="00956A4A">
        <w:rPr>
          <w:i/>
          <w:noProof/>
          <w:sz w:val="22"/>
          <w:szCs w:val="22"/>
        </w:rPr>
        <w:t>corresponden a las Instituciones Comunes de la Comunidad Autónoma las competencias de Legislación, Desarrollo normativo, Alta Inspección, Planificación y Coordinación en materia de T</w:t>
      </w:r>
      <w:r w:rsidR="00956A4A">
        <w:rPr>
          <w:i/>
          <w:noProof/>
          <w:sz w:val="22"/>
          <w:szCs w:val="22"/>
        </w:rPr>
        <w:t>ransportes Mecánicos por carretera, ejerciendo l</w:t>
      </w:r>
      <w:r w:rsidR="00956A4A" w:rsidRPr="00956A4A">
        <w:rPr>
          <w:i/>
          <w:noProof/>
          <w:sz w:val="22"/>
          <w:szCs w:val="22"/>
        </w:rPr>
        <w:t>os Territorios Históricos las mismas facultades y con el mismo carácter que en el presente ostenta Álava, dentro de su territorio, de acuerdo con los convenios vigentes con el Estado</w:t>
      </w:r>
      <w:r w:rsidR="00956A4A">
        <w:rPr>
          <w:i/>
          <w:noProof/>
          <w:sz w:val="22"/>
          <w:szCs w:val="22"/>
        </w:rPr>
        <w:t>”</w:t>
      </w:r>
      <w:r w:rsidR="00956A4A" w:rsidRPr="00956A4A">
        <w:rPr>
          <w:noProof/>
          <w:sz w:val="22"/>
          <w:szCs w:val="22"/>
        </w:rPr>
        <w:t>.</w:t>
      </w:r>
    </w:p>
    <w:p w14:paraId="4E0F1214" w14:textId="77777777" w:rsidR="00956A4A" w:rsidRPr="00956A4A" w:rsidRDefault="00956A4A" w:rsidP="00956A4A">
      <w:pPr>
        <w:jc w:val="both"/>
        <w:rPr>
          <w:noProof/>
          <w:sz w:val="22"/>
          <w:szCs w:val="22"/>
        </w:rPr>
      </w:pPr>
    </w:p>
    <w:p w14:paraId="33356C9F" w14:textId="77777777" w:rsidR="009172B8" w:rsidRDefault="00956A4A" w:rsidP="00956A4A">
      <w:pPr>
        <w:jc w:val="both"/>
        <w:rPr>
          <w:noProof/>
          <w:sz w:val="22"/>
          <w:szCs w:val="22"/>
        </w:rPr>
      </w:pPr>
      <w:r w:rsidRPr="00956A4A">
        <w:rPr>
          <w:noProof/>
          <w:sz w:val="22"/>
          <w:szCs w:val="22"/>
        </w:rPr>
        <w:t>Asimismo, de conformidad con lo dispues</w:t>
      </w:r>
      <w:r>
        <w:rPr>
          <w:noProof/>
          <w:sz w:val="22"/>
          <w:szCs w:val="22"/>
        </w:rPr>
        <w:t>to en el referido artículo 10 d</w:t>
      </w:r>
      <w:r w:rsidRPr="00956A4A">
        <w:rPr>
          <w:noProof/>
          <w:sz w:val="22"/>
          <w:szCs w:val="22"/>
        </w:rPr>
        <w:t>e</w:t>
      </w:r>
      <w:r>
        <w:rPr>
          <w:noProof/>
          <w:sz w:val="22"/>
          <w:szCs w:val="22"/>
        </w:rPr>
        <w:t xml:space="preserve"> </w:t>
      </w:r>
      <w:r w:rsidRPr="00956A4A">
        <w:rPr>
          <w:noProof/>
          <w:sz w:val="22"/>
          <w:szCs w:val="22"/>
        </w:rPr>
        <w:t>la LTH y de acuerdo con lo previsto en la Ley Orgánica 5/19</w:t>
      </w:r>
      <w:r>
        <w:rPr>
          <w:noProof/>
          <w:sz w:val="22"/>
          <w:szCs w:val="22"/>
        </w:rPr>
        <w:t>87, de 30 de julio, de delegació</w:t>
      </w:r>
      <w:r w:rsidRPr="00956A4A">
        <w:rPr>
          <w:noProof/>
          <w:sz w:val="22"/>
          <w:szCs w:val="22"/>
        </w:rPr>
        <w:t>n de facultades del Estado en las Comunidade</w:t>
      </w:r>
      <w:r>
        <w:rPr>
          <w:noProof/>
          <w:sz w:val="22"/>
          <w:szCs w:val="22"/>
        </w:rPr>
        <w:t xml:space="preserve">s Autónomas en relación con los </w:t>
      </w:r>
      <w:r w:rsidRPr="00956A4A">
        <w:rPr>
          <w:noProof/>
          <w:sz w:val="22"/>
          <w:szCs w:val="22"/>
        </w:rPr>
        <w:t>transportes por carretera y por cable, así como en virtud del decreto 36/1985, de 5 de marzo, de delimitación de competencias entre las Instituciones Comunes de la Comunidad Autónoma y el territorio Histórico de Álava en materia de Transportes por Carretrea, y del Decreto Foral del Diputado General 881/1985, de 5 de</w:t>
      </w:r>
      <w:r>
        <w:rPr>
          <w:noProof/>
          <w:sz w:val="22"/>
          <w:szCs w:val="22"/>
        </w:rPr>
        <w:t xml:space="preserve"> </w:t>
      </w:r>
      <w:r w:rsidRPr="00956A4A">
        <w:rPr>
          <w:noProof/>
          <w:sz w:val="22"/>
          <w:szCs w:val="22"/>
        </w:rPr>
        <w:t>marzo, sobre la misma materia, la Diputación Foral de Álava ostenta competencias en materia de transportes mecánicos por carretera dentro de su territorio.</w:t>
      </w:r>
    </w:p>
    <w:p w14:paraId="2394E40F" w14:textId="77777777" w:rsidR="00956A4A" w:rsidRPr="008C5402" w:rsidRDefault="00956A4A" w:rsidP="00956A4A">
      <w:pPr>
        <w:jc w:val="both"/>
        <w:rPr>
          <w:noProof/>
          <w:sz w:val="22"/>
          <w:szCs w:val="22"/>
        </w:rPr>
      </w:pPr>
    </w:p>
    <w:p w14:paraId="21FDD430" w14:textId="77777777" w:rsidR="009172B8" w:rsidRPr="008C5402" w:rsidRDefault="009172B8" w:rsidP="009172B8">
      <w:pPr>
        <w:pStyle w:val="EstiloJustificado"/>
        <w:rPr>
          <w:noProof/>
          <w:sz w:val="22"/>
          <w:szCs w:val="22"/>
        </w:rPr>
      </w:pPr>
      <w:r w:rsidRPr="008C5402">
        <w:rPr>
          <w:b/>
          <w:noProof/>
          <w:sz w:val="22"/>
          <w:szCs w:val="22"/>
        </w:rPr>
        <w:t>III.</w:t>
      </w:r>
      <w:r w:rsidRPr="008C5402">
        <w:rPr>
          <w:noProof/>
          <w:sz w:val="22"/>
          <w:szCs w:val="22"/>
        </w:rPr>
        <w:t xml:space="preserve"> Con fecha 31 de diciembre de 2020 se publica el Real Decreto-ley 36/2020, de 30 de diciembre, por el que se aprueban medidas urgentes para la modernización de la Administración Pública y para la ejecución del Plan de Recuperación, Transformación y Resiliencia</w:t>
      </w:r>
    </w:p>
    <w:p w14:paraId="21C20CE2" w14:textId="77777777" w:rsidR="009172B8" w:rsidRPr="008C5402" w:rsidRDefault="009172B8" w:rsidP="009172B8">
      <w:pPr>
        <w:pStyle w:val="EstiloJustificado"/>
        <w:rPr>
          <w:noProof/>
          <w:sz w:val="22"/>
          <w:szCs w:val="22"/>
        </w:rPr>
      </w:pPr>
    </w:p>
    <w:p w14:paraId="2C74EC9B" w14:textId="77777777" w:rsidR="009172B8" w:rsidRPr="008C5402" w:rsidRDefault="009172B8" w:rsidP="009172B8">
      <w:pPr>
        <w:pStyle w:val="EstiloJustificado"/>
        <w:rPr>
          <w:noProof/>
          <w:sz w:val="22"/>
          <w:szCs w:val="22"/>
        </w:rPr>
      </w:pPr>
      <w:r w:rsidRPr="008C5402">
        <w:rPr>
          <w:noProof/>
          <w:sz w:val="22"/>
          <w:szCs w:val="22"/>
        </w:rPr>
        <w:t>En cumplimiento del Reglamento (UE) 2021/241 del Parlamento Europeo y del Consejo, de 12 de febrero de 2021, por el que se establece el Mecanismo de Recuperación y Resiliencia (MRR), el Consejo de Ministros, en su reunión de 27 de abril de 2021, ha aprobado el Plan de Recuperación, Transformación y Resiliencia de España (PRTR) que se concentra en proyectos que se pondrán en marcha en el periodo 2021-2024 para maximizar su impacto sobre la recuperación y transformación rápida de la economía. El Plan ha sido objeto de evaluación positiva por la Comisión europea el 16 de junio de 2021 y aprobado por el Consejo europeo el 13 de julio de 2021.</w:t>
      </w:r>
    </w:p>
    <w:p w14:paraId="1CA5BA1F" w14:textId="77777777" w:rsidR="009172B8" w:rsidRPr="008C5402" w:rsidRDefault="009172B8" w:rsidP="009172B8">
      <w:pPr>
        <w:pStyle w:val="EstiloJustificado"/>
        <w:rPr>
          <w:noProof/>
          <w:sz w:val="22"/>
          <w:szCs w:val="22"/>
        </w:rPr>
      </w:pPr>
    </w:p>
    <w:p w14:paraId="1CE1F980" w14:textId="77777777" w:rsidR="009172B8" w:rsidRPr="008C5402" w:rsidRDefault="009172B8" w:rsidP="009172B8">
      <w:pPr>
        <w:pStyle w:val="EstiloJustificado"/>
        <w:rPr>
          <w:sz w:val="22"/>
          <w:szCs w:val="22"/>
        </w:rPr>
      </w:pPr>
      <w:r w:rsidRPr="008C5402">
        <w:rPr>
          <w:sz w:val="22"/>
          <w:szCs w:val="22"/>
        </w:rPr>
        <w:t>En línea con las directrices del MRR, el PRTR incluye, entre otros, el Componente 1 “Plan de choque de movilidad sostenible, segura y conectada en entornos urbanos y metropolitanos” y el Componente 6 “Movilidad sostenible, segura y conectada”. En este sentido, en la sesión de la Conferencia Nacional de Transportes celebrada en la fecha de 5 de noviembre de 2021, fue aprobado el Acuerdo de la Conferencia Nacional de Transportes por el que se fijan los criterios de distribución territorial de créditos presupuestarios de los ejercicios 2021 y 2022 para la financiación de actuaciones de inversión en el marco de los mencionados componentes 1 y 6 del PRTR.</w:t>
      </w:r>
    </w:p>
    <w:p w14:paraId="242D6CDB" w14:textId="77777777" w:rsidR="009172B8" w:rsidRPr="008C5402" w:rsidRDefault="009172B8" w:rsidP="009172B8">
      <w:pPr>
        <w:pStyle w:val="EstiloJustificado"/>
        <w:rPr>
          <w:sz w:val="22"/>
          <w:szCs w:val="22"/>
        </w:rPr>
      </w:pPr>
    </w:p>
    <w:p w14:paraId="7DB5E0BA" w14:textId="77777777" w:rsidR="009172B8" w:rsidRPr="008C5402" w:rsidRDefault="009172B8" w:rsidP="009172B8">
      <w:pPr>
        <w:pStyle w:val="EstiloJustificado"/>
        <w:rPr>
          <w:sz w:val="22"/>
          <w:szCs w:val="22"/>
        </w:rPr>
      </w:pPr>
      <w:r w:rsidRPr="008C5402">
        <w:rPr>
          <w:sz w:val="22"/>
          <w:szCs w:val="22"/>
        </w:rPr>
        <w:t xml:space="preserve">El apartado 5 del Anexo II de dicho Acuerdo dispone que </w:t>
      </w:r>
      <w:r w:rsidRPr="008C5402">
        <w:rPr>
          <w:i/>
          <w:sz w:val="22"/>
          <w:szCs w:val="22"/>
        </w:rPr>
        <w:t>“las beneficiarias de estas líneas de financiación son las Comunidades Autónomas y las ciudades de Ceuta y Melilla según lo reflejado en el anexo II del presente Acuerdo, si bien los destinatarios finales de las mismas podrán ser las entidades públicas u otras administraciones, si así se formalizase a través de los correspondientes convenios u otros instrumentos jurídicos. En todo caso deberán establecerse mecanismos que aseguren que las medidas a desarrollar por los beneficiarios finales en el caso que sean terceros contribuyen al logro de los objetivos previstos y que aportan la información que, en su caso, fuera necesaria para determinar el valor de los indicadores. La financiación a terceros debe vincularse al logro de los objetivos que se persiguen.”</w:t>
      </w:r>
    </w:p>
    <w:p w14:paraId="457B313D" w14:textId="77777777" w:rsidR="009172B8" w:rsidRPr="008C5402" w:rsidRDefault="009172B8" w:rsidP="009172B8">
      <w:pPr>
        <w:pStyle w:val="EstiloJustificado"/>
        <w:rPr>
          <w:sz w:val="22"/>
          <w:szCs w:val="22"/>
        </w:rPr>
      </w:pPr>
    </w:p>
    <w:p w14:paraId="221CB9C5" w14:textId="77777777" w:rsidR="009172B8" w:rsidRPr="008C5402" w:rsidRDefault="009172B8" w:rsidP="009172B8">
      <w:pPr>
        <w:pStyle w:val="EstiloJustificado"/>
        <w:rPr>
          <w:sz w:val="22"/>
          <w:szCs w:val="22"/>
        </w:rPr>
      </w:pPr>
      <w:r w:rsidRPr="008C5402">
        <w:rPr>
          <w:sz w:val="22"/>
          <w:szCs w:val="22"/>
        </w:rPr>
        <w:t xml:space="preserve">Asimismo, el referido Acuerdo incluye la línea de inversión C6I4-CCAA, cuyo objetivo es el desarrollo de actuaciones de digitalización de los servicios de transporte de personas viajeras y mercancías en el ámbito autonómico y local, y de los servicios administrativos que se prestan </w:t>
      </w:r>
      <w:r w:rsidRPr="008C5402">
        <w:rPr>
          <w:sz w:val="22"/>
          <w:szCs w:val="22"/>
        </w:rPr>
        <w:lastRenderedPageBreak/>
        <w:t>por parte de las Comunidades Autónomas y de las ciudades de Ceuta y Melilla, en relación con el transporte de mercancías y personas viajeras por carretera o ferrocarril de su competencia. Esta finalidad se realiza en desarrollo de parte de la medida 15 prevista en la inversión 4 “Programa de apoyo para un transporte sostenible y digital” del Componente 6 “Movilidad sostenible, segura y conectada” del PRTR.</w:t>
      </w:r>
    </w:p>
    <w:p w14:paraId="430F6E6B" w14:textId="77777777" w:rsidR="009172B8" w:rsidRPr="008C5402" w:rsidRDefault="009172B8" w:rsidP="009172B8">
      <w:pPr>
        <w:pStyle w:val="EstiloJustificado"/>
        <w:rPr>
          <w:sz w:val="22"/>
          <w:szCs w:val="22"/>
        </w:rPr>
      </w:pPr>
    </w:p>
    <w:p w14:paraId="420BCD06" w14:textId="77777777" w:rsidR="009172B8" w:rsidRPr="008C5402" w:rsidRDefault="009172B8" w:rsidP="009172B8">
      <w:pPr>
        <w:pStyle w:val="EstiloJustificado"/>
        <w:rPr>
          <w:sz w:val="22"/>
          <w:szCs w:val="22"/>
        </w:rPr>
      </w:pPr>
      <w:r w:rsidRPr="008C5402">
        <w:rPr>
          <w:sz w:val="22"/>
          <w:szCs w:val="22"/>
        </w:rPr>
        <w:t>Según establece el Anexo III del Acuerdo, la actuación objeto de financiación con cargo a la línea de inversión C6I4-CCAA correspondiente a la CAPV es la “Digitalización del transporte público de Euskadi”, dentro de la cual se incluye el objeto del presente Convenio, contribuyendo así a la consecución del objetivo de transformación digital del PRTR.</w:t>
      </w:r>
    </w:p>
    <w:p w14:paraId="59C523F6" w14:textId="77777777" w:rsidR="009172B8" w:rsidRPr="008C5402" w:rsidRDefault="009172B8" w:rsidP="009172B8">
      <w:pPr>
        <w:pStyle w:val="EstiloJustificado"/>
        <w:rPr>
          <w:sz w:val="22"/>
          <w:szCs w:val="22"/>
        </w:rPr>
      </w:pPr>
    </w:p>
    <w:p w14:paraId="7B018AD3" w14:textId="77777777" w:rsidR="0007473E" w:rsidRDefault="0007473E" w:rsidP="0007473E">
      <w:pPr>
        <w:pStyle w:val="EstiloJustificado"/>
        <w:rPr>
          <w:sz w:val="22"/>
          <w:szCs w:val="22"/>
        </w:rPr>
      </w:pPr>
      <w:r w:rsidRPr="008C5402">
        <w:rPr>
          <w:b/>
          <w:sz w:val="22"/>
          <w:szCs w:val="22"/>
        </w:rPr>
        <w:t>IV.</w:t>
      </w:r>
      <w:r w:rsidRPr="008C5402">
        <w:rPr>
          <w:sz w:val="22"/>
          <w:szCs w:val="22"/>
        </w:rPr>
        <w:t xml:space="preserve"> Este convenio se ajustará a lo regulado en la Orden HFP 1030/2021, de 29 de septiembre, por la que se configura el sistema de gestión del Plan de Recuperación, Transformación y Resiliencia y en la Orden HFP 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w:t>
      </w:r>
    </w:p>
    <w:p w14:paraId="0537C787" w14:textId="77777777" w:rsidR="0007473E" w:rsidRDefault="0007473E" w:rsidP="0007473E">
      <w:pPr>
        <w:pStyle w:val="EstiloJustificado"/>
        <w:rPr>
          <w:sz w:val="22"/>
          <w:szCs w:val="22"/>
        </w:rPr>
      </w:pPr>
    </w:p>
    <w:p w14:paraId="47EE37B8" w14:textId="77777777" w:rsidR="0007473E" w:rsidRDefault="0007473E" w:rsidP="0007473E">
      <w:pPr>
        <w:pStyle w:val="EstiloJustificado"/>
        <w:rPr>
          <w:rFonts w:ascii="Gotham" w:hAnsi="Gotham"/>
          <w:sz w:val="22"/>
          <w:szCs w:val="22"/>
        </w:rPr>
      </w:pPr>
      <w:r w:rsidRPr="00C14204">
        <w:rPr>
          <w:rFonts w:ascii="Gotham" w:hAnsi="Gotham"/>
          <w:b/>
          <w:sz w:val="22"/>
          <w:szCs w:val="22"/>
        </w:rPr>
        <w:t>V.</w:t>
      </w:r>
      <w:r w:rsidRPr="00C14204">
        <w:rPr>
          <w:rFonts w:ascii="Gotham" w:hAnsi="Gotham"/>
          <w:sz w:val="22"/>
          <w:szCs w:val="22"/>
        </w:rPr>
        <w:t xml:space="preserve"> En cumplimiento de lo dispuesto en el artículo 6 de la</w:t>
      </w:r>
      <w:r w:rsidRPr="00C14204">
        <w:rPr>
          <w:sz w:val="22"/>
          <w:szCs w:val="22"/>
        </w:rPr>
        <w:t xml:space="preserve"> Orden HFP/1030/2021, c</w:t>
      </w:r>
      <w:r w:rsidRPr="00C14204">
        <w:rPr>
          <w:rFonts w:ascii="Gotham" w:hAnsi="Gotham"/>
          <w:sz w:val="22"/>
          <w:szCs w:val="22"/>
        </w:rPr>
        <w:t xml:space="preserve">on fecha 29 de marzo de 2022 se aprueba el Plan de Medidas Antifraude del Gobierno Vasco </w:t>
      </w:r>
      <w:r w:rsidRPr="00C14204">
        <w:rPr>
          <w:sz w:val="22"/>
          <w:szCs w:val="22"/>
        </w:rPr>
        <w:t>aplicable al conjunto del sector público de la Comunidad Autónoma de Euskadi, así como a las administraciones y entidades del sector público foral y local que reciban fondos de financiación del Mecanismo de Recuperación y Resiliencia a través del Gobierno Vasco. Así mismo, dicho plan podrá extender su aplicabilidad directa o adaptada a cualquier entidad ejecutora y/o gestora que voluntariamente así lo acuerde.</w:t>
      </w:r>
      <w:r>
        <w:rPr>
          <w:sz w:val="22"/>
          <w:szCs w:val="22"/>
        </w:rPr>
        <w:t xml:space="preserve"> </w:t>
      </w:r>
      <w:r w:rsidRPr="002E06F7">
        <w:rPr>
          <w:rFonts w:ascii="Gotham" w:hAnsi="Gotham"/>
          <w:sz w:val="22"/>
          <w:szCs w:val="22"/>
        </w:rPr>
        <w:t xml:space="preserve"> </w:t>
      </w:r>
    </w:p>
    <w:p w14:paraId="18DC7818" w14:textId="77777777" w:rsidR="0007473E" w:rsidRPr="002E06F7" w:rsidRDefault="0007473E" w:rsidP="0007473E">
      <w:pPr>
        <w:pStyle w:val="EstiloJustificado"/>
        <w:rPr>
          <w:rFonts w:ascii="Gotham" w:hAnsi="Gotham"/>
          <w:sz w:val="22"/>
          <w:szCs w:val="22"/>
        </w:rPr>
      </w:pPr>
    </w:p>
    <w:p w14:paraId="5CF7F9EC" w14:textId="77777777" w:rsidR="0007473E" w:rsidRDefault="0007473E" w:rsidP="0007473E">
      <w:pPr>
        <w:pStyle w:val="EstiloJustificado"/>
        <w:rPr>
          <w:sz w:val="22"/>
          <w:szCs w:val="22"/>
        </w:rPr>
      </w:pPr>
      <w:r w:rsidRPr="00C14204">
        <w:rPr>
          <w:b/>
          <w:sz w:val="22"/>
          <w:szCs w:val="22"/>
        </w:rPr>
        <w:t>VI.</w:t>
      </w:r>
      <w:r>
        <w:rPr>
          <w:sz w:val="22"/>
          <w:szCs w:val="22"/>
        </w:rPr>
        <w:t xml:space="preserve"> </w:t>
      </w:r>
      <w:r w:rsidRPr="008C5402">
        <w:rPr>
          <w:sz w:val="22"/>
          <w:szCs w:val="22"/>
        </w:rPr>
        <w:t>Se atenderá asimismo a lo dispuesto en la Ley 11/2021, de 23 de diciembre, por la que se aprueban los Presupuestos Generales de la Comunidad Autónoma de Euskadi para el ejercicio 2022, en concreto a lo establecido en el Título II, Capítulo V Gestión de los fondos vinculados al Plan de Recuperación, Transformación y Resiliencia, así como al Acuerdo de Consejo de Gobierno, de 8 de febrero de 2022, en relación con la ejecución presupuestaria y contable, gestión y seguimiento de las actuaciones y proyectos vinculados al Plan de Recuperación, Transformación y Resiliencia.</w:t>
      </w:r>
    </w:p>
    <w:p w14:paraId="303BBE55" w14:textId="77777777" w:rsidR="0007473E" w:rsidRDefault="0007473E" w:rsidP="0007473E">
      <w:pPr>
        <w:pStyle w:val="EstiloJustificado"/>
        <w:rPr>
          <w:sz w:val="22"/>
          <w:szCs w:val="22"/>
        </w:rPr>
      </w:pPr>
    </w:p>
    <w:p w14:paraId="7F01966C" w14:textId="77777777" w:rsidR="009172B8" w:rsidRPr="008C5402" w:rsidRDefault="009172B8" w:rsidP="009172B8">
      <w:pPr>
        <w:pStyle w:val="EstiloJustificado"/>
        <w:rPr>
          <w:sz w:val="22"/>
          <w:szCs w:val="22"/>
        </w:rPr>
      </w:pPr>
      <w:r w:rsidRPr="008C5402">
        <w:rPr>
          <w:b/>
          <w:noProof/>
          <w:sz w:val="22"/>
          <w:szCs w:val="22"/>
        </w:rPr>
        <w:t>V</w:t>
      </w:r>
      <w:r w:rsidR="0007473E">
        <w:rPr>
          <w:b/>
          <w:noProof/>
          <w:sz w:val="22"/>
          <w:szCs w:val="22"/>
        </w:rPr>
        <w:t>II</w:t>
      </w:r>
      <w:r w:rsidRPr="008C5402">
        <w:rPr>
          <w:b/>
          <w:noProof/>
          <w:sz w:val="22"/>
          <w:szCs w:val="22"/>
        </w:rPr>
        <w:t>.</w:t>
      </w:r>
      <w:r w:rsidRPr="008C5402">
        <w:rPr>
          <w:noProof/>
          <w:sz w:val="22"/>
          <w:szCs w:val="22"/>
        </w:rPr>
        <w:t xml:space="preserve"> Habida cuenta de la concurrencia de intereses comunes de todas las partes implicadas para la obtención de las finalidades pretendidas, los firmantes acuerdan suscribir el presente Convenio al amparo de lo previsto en el artículo 47 y siguientes de la Ley 40/2015, de 1 de octubre, de Régimen Jurídico del Sector Público, de conformidad con las siguientes</w:t>
      </w:r>
    </w:p>
    <w:p w14:paraId="7AF49B60" w14:textId="77777777" w:rsidR="009172B8" w:rsidRPr="008C5402" w:rsidRDefault="009172B8" w:rsidP="009172B8">
      <w:pPr>
        <w:jc w:val="both"/>
        <w:rPr>
          <w:noProof/>
          <w:sz w:val="22"/>
          <w:szCs w:val="22"/>
          <w:lang w:val="es-ES_tradnl"/>
        </w:rPr>
      </w:pPr>
    </w:p>
    <w:p w14:paraId="14F9B2AE" w14:textId="77777777" w:rsidR="009172B8" w:rsidRPr="008C5402" w:rsidRDefault="009172B8" w:rsidP="009172B8">
      <w:pPr>
        <w:pStyle w:val="Piedepgina"/>
        <w:tabs>
          <w:tab w:val="clear" w:pos="4819"/>
          <w:tab w:val="clear" w:pos="9071"/>
        </w:tabs>
        <w:jc w:val="both"/>
        <w:rPr>
          <w:sz w:val="22"/>
          <w:szCs w:val="22"/>
        </w:rPr>
      </w:pPr>
    </w:p>
    <w:p w14:paraId="4A4879FA" w14:textId="77777777" w:rsidR="009172B8" w:rsidRPr="008C5402" w:rsidRDefault="009172B8" w:rsidP="009172B8">
      <w:pPr>
        <w:pStyle w:val="Piedepgina"/>
        <w:tabs>
          <w:tab w:val="clear" w:pos="4819"/>
          <w:tab w:val="clear" w:pos="9071"/>
        </w:tabs>
        <w:jc w:val="center"/>
        <w:rPr>
          <w:b/>
          <w:sz w:val="22"/>
          <w:szCs w:val="22"/>
        </w:rPr>
      </w:pPr>
      <w:r w:rsidRPr="008C5402">
        <w:rPr>
          <w:b/>
          <w:sz w:val="22"/>
          <w:szCs w:val="22"/>
        </w:rPr>
        <w:t>CLÁUSULAS:</w:t>
      </w:r>
    </w:p>
    <w:p w14:paraId="597C5192" w14:textId="77777777" w:rsidR="009172B8" w:rsidRPr="008C5402" w:rsidRDefault="009172B8" w:rsidP="009172B8">
      <w:pPr>
        <w:pStyle w:val="Piedepgina"/>
        <w:tabs>
          <w:tab w:val="clear" w:pos="4819"/>
          <w:tab w:val="clear" w:pos="9071"/>
        </w:tabs>
        <w:jc w:val="center"/>
        <w:rPr>
          <w:sz w:val="22"/>
          <w:szCs w:val="22"/>
        </w:rPr>
      </w:pPr>
    </w:p>
    <w:p w14:paraId="11524182" w14:textId="77777777" w:rsidR="009172B8" w:rsidRPr="008C5402" w:rsidRDefault="009172B8" w:rsidP="009172B8">
      <w:pPr>
        <w:pStyle w:val="Ttulo2"/>
      </w:pPr>
      <w:r w:rsidRPr="008C5402">
        <w:t>Primera. - Objeto del Convenio.</w:t>
      </w:r>
    </w:p>
    <w:p w14:paraId="1BA7C82F" w14:textId="77777777" w:rsidR="009172B8" w:rsidRPr="008C5402" w:rsidRDefault="009172B8" w:rsidP="009172B8">
      <w:pPr>
        <w:pStyle w:val="Piedepgina"/>
        <w:tabs>
          <w:tab w:val="clear" w:pos="4819"/>
          <w:tab w:val="clear" w:pos="9071"/>
        </w:tabs>
        <w:jc w:val="both"/>
        <w:rPr>
          <w:b/>
          <w:sz w:val="22"/>
          <w:szCs w:val="22"/>
        </w:rPr>
      </w:pPr>
    </w:p>
    <w:p w14:paraId="0EB77025" w14:textId="77777777" w:rsidR="009172B8" w:rsidRPr="008C5402" w:rsidRDefault="009172B8" w:rsidP="009172B8">
      <w:pPr>
        <w:jc w:val="both"/>
        <w:rPr>
          <w:sz w:val="22"/>
          <w:szCs w:val="22"/>
        </w:rPr>
      </w:pPr>
      <w:r w:rsidRPr="008C5402">
        <w:rPr>
          <w:sz w:val="22"/>
          <w:szCs w:val="22"/>
        </w:rPr>
        <w:t xml:space="preserve">Constituye el objeto del presente Convenio </w:t>
      </w:r>
      <w:r w:rsidRPr="008C5402">
        <w:rPr>
          <w:noProof/>
          <w:sz w:val="22"/>
          <w:szCs w:val="22"/>
        </w:rPr>
        <w:t>regular las condiciones en las que la Administración General de la Comunidad Autonóma del País Vasco</w:t>
      </w:r>
      <w:r w:rsidRPr="008C5402">
        <w:rPr>
          <w:sz w:val="22"/>
          <w:szCs w:val="22"/>
        </w:rPr>
        <w:t xml:space="preserve"> y </w:t>
      </w:r>
      <w:r w:rsidR="000979FD" w:rsidRPr="000979FD">
        <w:rPr>
          <w:sz w:val="22"/>
          <w:szCs w:val="22"/>
        </w:rPr>
        <w:t xml:space="preserve">la </w:t>
      </w:r>
      <w:r w:rsidR="00956A4A">
        <w:rPr>
          <w:sz w:val="22"/>
          <w:szCs w:val="22"/>
        </w:rPr>
        <w:t>Diputación Foral de Álava</w:t>
      </w:r>
      <w:r w:rsidR="001A5854">
        <w:rPr>
          <w:sz w:val="22"/>
          <w:szCs w:val="22"/>
        </w:rPr>
        <w:t xml:space="preserve"> </w:t>
      </w:r>
      <w:r w:rsidRPr="008C5402">
        <w:rPr>
          <w:sz w:val="22"/>
          <w:szCs w:val="22"/>
        </w:rPr>
        <w:t xml:space="preserve">se comprometen para generar datos de transporte avanzados en el Territorio Histórico de </w:t>
      </w:r>
      <w:r w:rsidR="00956A4A">
        <w:rPr>
          <w:sz w:val="22"/>
          <w:szCs w:val="22"/>
        </w:rPr>
        <w:t>Álava</w:t>
      </w:r>
      <w:r w:rsidRPr="008C5402">
        <w:rPr>
          <w:noProof/>
          <w:sz w:val="22"/>
          <w:szCs w:val="22"/>
        </w:rPr>
        <w:t xml:space="preserve">, </w:t>
      </w:r>
      <w:r w:rsidRPr="008C5402">
        <w:rPr>
          <w:sz w:val="22"/>
          <w:szCs w:val="22"/>
        </w:rPr>
        <w:t>en los términos recogidos en el clausulado del mismo.</w:t>
      </w:r>
    </w:p>
    <w:p w14:paraId="2E55F058" w14:textId="77777777" w:rsidR="009172B8" w:rsidRPr="008C5402" w:rsidRDefault="009172B8" w:rsidP="009172B8">
      <w:pPr>
        <w:pStyle w:val="Piedepgina"/>
        <w:tabs>
          <w:tab w:val="clear" w:pos="4819"/>
          <w:tab w:val="clear" w:pos="9071"/>
        </w:tabs>
        <w:jc w:val="both"/>
        <w:rPr>
          <w:sz w:val="22"/>
          <w:szCs w:val="22"/>
        </w:rPr>
      </w:pPr>
      <w:r w:rsidRPr="008C5402">
        <w:rPr>
          <w:sz w:val="22"/>
          <w:szCs w:val="22"/>
        </w:rPr>
        <w:t xml:space="preserve"> </w:t>
      </w:r>
    </w:p>
    <w:p w14:paraId="31F21C96" w14:textId="77777777" w:rsidR="009172B8" w:rsidRPr="008C5402" w:rsidRDefault="009172B8" w:rsidP="009172B8">
      <w:pPr>
        <w:pStyle w:val="Ttulo2"/>
      </w:pPr>
      <w:r w:rsidRPr="008C5402">
        <w:lastRenderedPageBreak/>
        <w:t xml:space="preserve">Segunda. </w:t>
      </w:r>
      <w:r w:rsidR="000979FD">
        <w:t>–</w:t>
      </w:r>
      <w:r w:rsidRPr="008C5402">
        <w:t xml:space="preserve"> Compromisos</w:t>
      </w:r>
      <w:r w:rsidR="000979FD">
        <w:t xml:space="preserve"> de</w:t>
      </w:r>
      <w:r w:rsidRPr="008C5402">
        <w:t xml:space="preserve"> </w:t>
      </w:r>
      <w:r w:rsidR="000979FD" w:rsidRPr="000979FD">
        <w:t xml:space="preserve">la </w:t>
      </w:r>
      <w:r w:rsidR="00956A4A">
        <w:t>Diputación Foral de Álava</w:t>
      </w:r>
      <w:r w:rsidRPr="008C5402">
        <w:t>.</w:t>
      </w:r>
    </w:p>
    <w:p w14:paraId="303F7E4F" w14:textId="77777777" w:rsidR="009172B8" w:rsidRPr="008C5402" w:rsidRDefault="009172B8" w:rsidP="009172B8">
      <w:pPr>
        <w:pStyle w:val="Piedepgina"/>
        <w:tabs>
          <w:tab w:val="clear" w:pos="4819"/>
          <w:tab w:val="clear" w:pos="9071"/>
        </w:tabs>
        <w:jc w:val="both"/>
        <w:rPr>
          <w:color w:val="FF0000"/>
          <w:sz w:val="22"/>
          <w:szCs w:val="22"/>
        </w:rPr>
      </w:pPr>
    </w:p>
    <w:p w14:paraId="0EDD720C" w14:textId="77777777" w:rsidR="009172B8" w:rsidRPr="008C5402" w:rsidRDefault="009172B8" w:rsidP="009172B8">
      <w:pPr>
        <w:jc w:val="both"/>
        <w:rPr>
          <w:sz w:val="22"/>
          <w:szCs w:val="22"/>
        </w:rPr>
      </w:pPr>
      <w:r w:rsidRPr="008C5402">
        <w:rPr>
          <w:b/>
          <w:sz w:val="22"/>
          <w:szCs w:val="22"/>
        </w:rPr>
        <w:t>1.-</w:t>
      </w:r>
      <w:r w:rsidRPr="008C5402">
        <w:rPr>
          <w:sz w:val="22"/>
          <w:szCs w:val="22"/>
        </w:rPr>
        <w:t xml:space="preserve"> Elaborar el proyecto relativo a la generación de datos de transporte avanzados en el Territorio Histórico de </w:t>
      </w:r>
      <w:r w:rsidR="00956A4A">
        <w:rPr>
          <w:sz w:val="22"/>
          <w:szCs w:val="22"/>
        </w:rPr>
        <w:t>Álava</w:t>
      </w:r>
      <w:r w:rsidRPr="008C5402">
        <w:rPr>
          <w:sz w:val="22"/>
          <w:szCs w:val="22"/>
        </w:rPr>
        <w:t>.</w:t>
      </w:r>
    </w:p>
    <w:p w14:paraId="606CE590" w14:textId="77777777" w:rsidR="009172B8" w:rsidRPr="008C5402" w:rsidRDefault="009172B8" w:rsidP="009172B8">
      <w:pPr>
        <w:jc w:val="both"/>
        <w:rPr>
          <w:sz w:val="22"/>
          <w:szCs w:val="22"/>
        </w:rPr>
      </w:pPr>
    </w:p>
    <w:p w14:paraId="4CAFAFC9" w14:textId="77777777" w:rsidR="009172B8" w:rsidRDefault="009172B8"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Realizar a su cargo las actuaciones precisas para la generación de datos de transporte avanzados en el Territorio Histórico de </w:t>
      </w:r>
      <w:r w:rsidR="00956A4A">
        <w:rPr>
          <w:sz w:val="22"/>
          <w:szCs w:val="22"/>
        </w:rPr>
        <w:t>Álava</w:t>
      </w:r>
      <w:r w:rsidRPr="008C5402">
        <w:rPr>
          <w:sz w:val="22"/>
          <w:szCs w:val="22"/>
        </w:rPr>
        <w:t>. Estos trabajos exigen las siguientes actuaciones:</w:t>
      </w:r>
    </w:p>
    <w:p w14:paraId="0AF79022" w14:textId="77777777" w:rsidR="00B71019" w:rsidRPr="008C5402" w:rsidRDefault="00B71019" w:rsidP="009172B8">
      <w:pPr>
        <w:pStyle w:val="Piedepgina"/>
        <w:tabs>
          <w:tab w:val="clear" w:pos="4819"/>
          <w:tab w:val="clear" w:pos="9071"/>
        </w:tabs>
        <w:jc w:val="both"/>
        <w:rPr>
          <w:sz w:val="22"/>
          <w:szCs w:val="22"/>
        </w:rPr>
      </w:pPr>
    </w:p>
    <w:p w14:paraId="56612139" w14:textId="77777777" w:rsidR="009172B8" w:rsidRPr="008C5402" w:rsidRDefault="009172B8" w:rsidP="009172B8">
      <w:pPr>
        <w:pStyle w:val="Piedepgina"/>
        <w:numPr>
          <w:ilvl w:val="0"/>
          <w:numId w:val="9"/>
        </w:numPr>
        <w:tabs>
          <w:tab w:val="clear" w:pos="4819"/>
          <w:tab w:val="clear" w:pos="9071"/>
        </w:tabs>
        <w:jc w:val="both"/>
        <w:rPr>
          <w:sz w:val="22"/>
          <w:szCs w:val="22"/>
        </w:rPr>
      </w:pPr>
      <w:r w:rsidRPr="008C5402">
        <w:rPr>
          <w:sz w:val="22"/>
          <w:szCs w:val="22"/>
        </w:rPr>
        <w:t xml:space="preserve">Generación de archivos GTFS (estáticos) y GTFS-RT (tiempo real) de los datos de las redes de transporte </w:t>
      </w:r>
      <w:r w:rsidR="001A5854">
        <w:rPr>
          <w:sz w:val="22"/>
          <w:szCs w:val="22"/>
        </w:rPr>
        <w:t>integradas en las marcas Alavabus y Transporte Comarcal</w:t>
      </w:r>
      <w:r w:rsidRPr="008C5402">
        <w:rPr>
          <w:sz w:val="22"/>
          <w:szCs w:val="22"/>
        </w:rPr>
        <w:t xml:space="preserve"> según lo dispuesto en el Anexo I.  </w:t>
      </w:r>
    </w:p>
    <w:p w14:paraId="67445C60" w14:textId="77777777" w:rsidR="009172B8" w:rsidRPr="008C5402" w:rsidRDefault="009172B8" w:rsidP="009172B8">
      <w:pPr>
        <w:pStyle w:val="Piedepgina"/>
        <w:tabs>
          <w:tab w:val="clear" w:pos="4819"/>
          <w:tab w:val="clear" w:pos="9071"/>
        </w:tabs>
        <w:ind w:left="737"/>
        <w:jc w:val="both"/>
        <w:rPr>
          <w:sz w:val="22"/>
          <w:szCs w:val="22"/>
        </w:rPr>
      </w:pPr>
      <w:r w:rsidRPr="008C5402">
        <w:rPr>
          <w:sz w:val="22"/>
          <w:szCs w:val="22"/>
        </w:rPr>
        <w:t xml:space="preserve"> </w:t>
      </w:r>
    </w:p>
    <w:p w14:paraId="4498B274" w14:textId="77777777" w:rsidR="00263A6F" w:rsidRPr="001A5854" w:rsidRDefault="009172B8" w:rsidP="001A5854">
      <w:pPr>
        <w:pStyle w:val="Piedepgina"/>
        <w:numPr>
          <w:ilvl w:val="0"/>
          <w:numId w:val="9"/>
        </w:numPr>
        <w:tabs>
          <w:tab w:val="clear" w:pos="4819"/>
          <w:tab w:val="clear" w:pos="9071"/>
        </w:tabs>
        <w:jc w:val="both"/>
        <w:rPr>
          <w:sz w:val="22"/>
          <w:szCs w:val="22"/>
        </w:rPr>
      </w:pPr>
      <w:r w:rsidRPr="008C5402">
        <w:rPr>
          <w:sz w:val="22"/>
          <w:szCs w:val="22"/>
        </w:rPr>
        <w:t>Conversión de los datos en formato NeTEx (estáticos) y SIRI (tiempo real).</w:t>
      </w:r>
    </w:p>
    <w:p w14:paraId="3102F557" w14:textId="77777777" w:rsidR="00927672" w:rsidRDefault="00927672" w:rsidP="00927672">
      <w:pPr>
        <w:pStyle w:val="Piedepgina"/>
        <w:tabs>
          <w:tab w:val="clear" w:pos="4819"/>
          <w:tab w:val="clear" w:pos="9071"/>
        </w:tabs>
        <w:ind w:left="737"/>
        <w:jc w:val="both"/>
        <w:rPr>
          <w:sz w:val="22"/>
          <w:szCs w:val="22"/>
        </w:rPr>
      </w:pPr>
    </w:p>
    <w:p w14:paraId="598AE558" w14:textId="77777777" w:rsidR="009172B8" w:rsidRPr="008C5402" w:rsidRDefault="009172B8" w:rsidP="009172B8">
      <w:pPr>
        <w:pStyle w:val="Piedepgina"/>
        <w:numPr>
          <w:ilvl w:val="0"/>
          <w:numId w:val="9"/>
        </w:numPr>
        <w:tabs>
          <w:tab w:val="clear" w:pos="4819"/>
          <w:tab w:val="clear" w:pos="9071"/>
        </w:tabs>
        <w:jc w:val="both"/>
        <w:rPr>
          <w:sz w:val="22"/>
          <w:szCs w:val="22"/>
        </w:rPr>
      </w:pPr>
      <w:r w:rsidRPr="008C5402">
        <w:rPr>
          <w:sz w:val="22"/>
          <w:szCs w:val="22"/>
        </w:rPr>
        <w:t>Automatización de los procesos de actualización y transformación de los datos de redes de transportes, asegurando su calidad y continuidad y ofreciendo la información más completa y exacta posible.</w:t>
      </w:r>
    </w:p>
    <w:p w14:paraId="408D3989" w14:textId="77777777" w:rsidR="009172B8" w:rsidRPr="008C5402" w:rsidRDefault="009172B8" w:rsidP="009172B8">
      <w:pPr>
        <w:pStyle w:val="Prrafodelista"/>
        <w:rPr>
          <w:sz w:val="22"/>
          <w:szCs w:val="22"/>
        </w:rPr>
      </w:pPr>
    </w:p>
    <w:p w14:paraId="04E50B13" w14:textId="77777777" w:rsidR="009172B8" w:rsidRPr="008C5402" w:rsidRDefault="009172B8" w:rsidP="00927672">
      <w:pPr>
        <w:pStyle w:val="Piedepgina"/>
        <w:numPr>
          <w:ilvl w:val="0"/>
          <w:numId w:val="9"/>
        </w:numPr>
        <w:tabs>
          <w:tab w:val="clear" w:pos="4819"/>
          <w:tab w:val="clear" w:pos="9071"/>
        </w:tabs>
        <w:jc w:val="both"/>
        <w:rPr>
          <w:sz w:val="22"/>
          <w:szCs w:val="22"/>
        </w:rPr>
      </w:pPr>
      <w:r w:rsidRPr="008C5402">
        <w:rPr>
          <w:sz w:val="22"/>
          <w:szCs w:val="22"/>
        </w:rPr>
        <w:t>Establecimiento de un modelo de intercambio de datos con Moveuskadi basado en la publicación de los ficheros en servidor HTTP o FTP de</w:t>
      </w:r>
      <w:r w:rsidR="000979FD">
        <w:rPr>
          <w:sz w:val="22"/>
          <w:szCs w:val="22"/>
        </w:rPr>
        <w:t xml:space="preserve"> </w:t>
      </w:r>
      <w:r w:rsidRPr="008C5402">
        <w:rPr>
          <w:sz w:val="22"/>
          <w:szCs w:val="22"/>
        </w:rPr>
        <w:t>l</w:t>
      </w:r>
      <w:r w:rsidR="000979FD">
        <w:rPr>
          <w:sz w:val="22"/>
          <w:szCs w:val="22"/>
        </w:rPr>
        <w:t>a</w:t>
      </w:r>
      <w:r w:rsidRPr="008C5402">
        <w:rPr>
          <w:sz w:val="22"/>
          <w:szCs w:val="22"/>
        </w:rPr>
        <w:t xml:space="preserve"> </w:t>
      </w:r>
      <w:r w:rsidR="00927672" w:rsidRPr="00927672">
        <w:rPr>
          <w:sz w:val="22"/>
          <w:szCs w:val="22"/>
        </w:rPr>
        <w:t>Diputación Foral de Álava</w:t>
      </w:r>
      <w:r w:rsidR="000979FD" w:rsidRPr="008C5402">
        <w:rPr>
          <w:sz w:val="22"/>
          <w:szCs w:val="22"/>
        </w:rPr>
        <w:t xml:space="preserve"> </w:t>
      </w:r>
      <w:r w:rsidRPr="008C5402">
        <w:rPr>
          <w:sz w:val="22"/>
          <w:szCs w:val="22"/>
        </w:rPr>
        <w:t>accesible por plataforma Moveuskadi, o publicación de los ficheros en FTP de Moveuskadi.</w:t>
      </w:r>
    </w:p>
    <w:p w14:paraId="61E68442" w14:textId="77777777" w:rsidR="007B60B1" w:rsidRPr="008C5402" w:rsidRDefault="007B60B1" w:rsidP="009172B8">
      <w:pPr>
        <w:pStyle w:val="Piedepgina"/>
        <w:tabs>
          <w:tab w:val="clear" w:pos="4819"/>
          <w:tab w:val="clear" w:pos="9071"/>
        </w:tabs>
        <w:jc w:val="both"/>
        <w:rPr>
          <w:sz w:val="22"/>
          <w:szCs w:val="22"/>
        </w:rPr>
      </w:pPr>
    </w:p>
    <w:p w14:paraId="636CC632" w14:textId="77777777" w:rsidR="009172B8" w:rsidRPr="008C5402" w:rsidRDefault="009172B8" w:rsidP="009172B8">
      <w:pPr>
        <w:pStyle w:val="Piedepgina"/>
        <w:tabs>
          <w:tab w:val="clear" w:pos="4819"/>
          <w:tab w:val="clear" w:pos="9071"/>
        </w:tabs>
        <w:jc w:val="both"/>
        <w:rPr>
          <w:sz w:val="22"/>
          <w:szCs w:val="22"/>
        </w:rPr>
      </w:pPr>
      <w:r w:rsidRPr="008C5402">
        <w:rPr>
          <w:sz w:val="22"/>
          <w:szCs w:val="22"/>
        </w:rPr>
        <w:t xml:space="preserve">En total, </w:t>
      </w:r>
      <w:r w:rsidR="007B60B1" w:rsidRPr="008C5402">
        <w:rPr>
          <w:sz w:val="22"/>
          <w:szCs w:val="22"/>
        </w:rPr>
        <w:t xml:space="preserve">el coste de </w:t>
      </w:r>
      <w:r w:rsidRPr="008C5402">
        <w:rPr>
          <w:sz w:val="22"/>
          <w:szCs w:val="22"/>
        </w:rPr>
        <w:t xml:space="preserve">los trabajos a acometer para la generación de datos de transporte avanzados en el Territorio Histórico de </w:t>
      </w:r>
      <w:r w:rsidR="00956A4A">
        <w:rPr>
          <w:sz w:val="22"/>
          <w:szCs w:val="22"/>
        </w:rPr>
        <w:t>Álava</w:t>
      </w:r>
      <w:r w:rsidR="001A5854">
        <w:rPr>
          <w:sz w:val="22"/>
          <w:szCs w:val="22"/>
        </w:rPr>
        <w:t xml:space="preserve"> </w:t>
      </w:r>
      <w:r w:rsidRPr="008C5402">
        <w:rPr>
          <w:sz w:val="22"/>
          <w:szCs w:val="22"/>
        </w:rPr>
        <w:t xml:space="preserve">se estima en </w:t>
      </w:r>
      <w:r w:rsidR="00A0345A">
        <w:rPr>
          <w:sz w:val="22"/>
          <w:szCs w:val="22"/>
        </w:rPr>
        <w:t>193.730</w:t>
      </w:r>
      <w:r w:rsidR="00EE1567" w:rsidRPr="00EE1567">
        <w:rPr>
          <w:sz w:val="22"/>
          <w:szCs w:val="22"/>
        </w:rPr>
        <w:t xml:space="preserve">,00 </w:t>
      </w:r>
      <w:r w:rsidRPr="008C5402">
        <w:rPr>
          <w:sz w:val="22"/>
          <w:szCs w:val="22"/>
        </w:rPr>
        <w:t xml:space="preserve">€ (IVA </w:t>
      </w:r>
      <w:r w:rsidR="00A0345A">
        <w:rPr>
          <w:sz w:val="22"/>
          <w:szCs w:val="22"/>
        </w:rPr>
        <w:t xml:space="preserve">no </w:t>
      </w:r>
      <w:r w:rsidRPr="008C5402">
        <w:rPr>
          <w:sz w:val="22"/>
          <w:szCs w:val="22"/>
        </w:rPr>
        <w:t>incluido).</w:t>
      </w:r>
    </w:p>
    <w:p w14:paraId="5EFC4D6B" w14:textId="77777777" w:rsidR="009172B8" w:rsidRPr="008C5402" w:rsidRDefault="009172B8" w:rsidP="009172B8">
      <w:pPr>
        <w:pStyle w:val="Piedepgina"/>
        <w:tabs>
          <w:tab w:val="clear" w:pos="4819"/>
          <w:tab w:val="clear" w:pos="9071"/>
        </w:tabs>
        <w:jc w:val="both"/>
        <w:rPr>
          <w:sz w:val="22"/>
          <w:szCs w:val="22"/>
        </w:rPr>
      </w:pPr>
    </w:p>
    <w:p w14:paraId="1032F93C"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3.-</w:t>
      </w:r>
      <w:r w:rsidRPr="008C5402">
        <w:rPr>
          <w:sz w:val="22"/>
          <w:szCs w:val="22"/>
        </w:rPr>
        <w:t xml:space="preserve"> Dar cumplimiento a los siguientes hitos y objetivos:</w:t>
      </w:r>
    </w:p>
    <w:p w14:paraId="0E9033D7" w14:textId="77777777" w:rsidR="0049480A" w:rsidRPr="008C5402" w:rsidRDefault="0049480A" w:rsidP="009172B8">
      <w:pPr>
        <w:pStyle w:val="Piedepgina"/>
        <w:tabs>
          <w:tab w:val="clear" w:pos="4819"/>
          <w:tab w:val="clear" w:pos="9071"/>
        </w:tabs>
        <w:jc w:val="both"/>
        <w:rPr>
          <w:sz w:val="22"/>
          <w:szCs w:val="22"/>
        </w:rPr>
      </w:pPr>
    </w:p>
    <w:p w14:paraId="4D2165B1" w14:textId="77777777" w:rsidR="009172B8" w:rsidRPr="008C5402" w:rsidRDefault="009172B8" w:rsidP="009172B8">
      <w:pPr>
        <w:pStyle w:val="Piedepgina"/>
        <w:numPr>
          <w:ilvl w:val="0"/>
          <w:numId w:val="12"/>
        </w:numPr>
        <w:tabs>
          <w:tab w:val="clear" w:pos="4819"/>
          <w:tab w:val="clear" w:pos="9071"/>
        </w:tabs>
        <w:jc w:val="both"/>
        <w:rPr>
          <w:sz w:val="22"/>
          <w:szCs w:val="22"/>
        </w:rPr>
      </w:pPr>
      <w:r w:rsidRPr="008C5402">
        <w:rPr>
          <w:sz w:val="22"/>
          <w:szCs w:val="22"/>
        </w:rPr>
        <w:t>Justificar la entrega de los datos estáticos referidos en la cláusula anterior a fecha 31 de diciembre de 2022.</w:t>
      </w:r>
    </w:p>
    <w:p w14:paraId="1547260C" w14:textId="77777777" w:rsidR="009172B8" w:rsidRPr="008C5402" w:rsidRDefault="009172B8" w:rsidP="009172B8">
      <w:pPr>
        <w:pStyle w:val="Piedepgina"/>
        <w:tabs>
          <w:tab w:val="clear" w:pos="4819"/>
          <w:tab w:val="clear" w:pos="9071"/>
        </w:tabs>
        <w:ind w:left="720"/>
        <w:jc w:val="both"/>
        <w:rPr>
          <w:sz w:val="22"/>
          <w:szCs w:val="22"/>
        </w:rPr>
      </w:pPr>
    </w:p>
    <w:p w14:paraId="658B5FAB" w14:textId="77777777" w:rsidR="009172B8" w:rsidRDefault="009172B8" w:rsidP="009172B8">
      <w:pPr>
        <w:pStyle w:val="Piedepgina"/>
        <w:numPr>
          <w:ilvl w:val="0"/>
          <w:numId w:val="12"/>
        </w:numPr>
        <w:tabs>
          <w:tab w:val="clear" w:pos="4819"/>
          <w:tab w:val="clear" w:pos="9071"/>
        </w:tabs>
        <w:jc w:val="both"/>
        <w:rPr>
          <w:sz w:val="22"/>
          <w:szCs w:val="22"/>
        </w:rPr>
      </w:pPr>
      <w:r w:rsidRPr="008C5402">
        <w:rPr>
          <w:sz w:val="22"/>
          <w:szCs w:val="22"/>
        </w:rPr>
        <w:t xml:space="preserve">Justificar la entrega </w:t>
      </w:r>
      <w:r w:rsidR="00900164">
        <w:rPr>
          <w:sz w:val="22"/>
          <w:szCs w:val="22"/>
        </w:rPr>
        <w:t>de los datos dinámicos (tiempo real)</w:t>
      </w:r>
      <w:r w:rsidRPr="008C5402">
        <w:rPr>
          <w:sz w:val="22"/>
          <w:szCs w:val="22"/>
        </w:rPr>
        <w:t xml:space="preserve"> </w:t>
      </w:r>
      <w:r w:rsidR="00900164">
        <w:rPr>
          <w:sz w:val="22"/>
          <w:szCs w:val="22"/>
        </w:rPr>
        <w:t>referido</w:t>
      </w:r>
      <w:r w:rsidRPr="008C5402">
        <w:rPr>
          <w:sz w:val="22"/>
          <w:szCs w:val="22"/>
        </w:rPr>
        <w:t>s en la cláusula anterior a 1 de marzo de 2023.</w:t>
      </w:r>
    </w:p>
    <w:p w14:paraId="2EE1FDA3" w14:textId="77777777" w:rsidR="009172B8" w:rsidRPr="008C5402" w:rsidRDefault="009172B8" w:rsidP="009172B8">
      <w:pPr>
        <w:pStyle w:val="Default"/>
        <w:jc w:val="both"/>
        <w:rPr>
          <w:rFonts w:ascii="Times New Roman" w:hAnsi="Times New Roman" w:cs="Times New Roman"/>
          <w:sz w:val="22"/>
          <w:szCs w:val="22"/>
        </w:rPr>
      </w:pPr>
    </w:p>
    <w:p w14:paraId="2ECC19E0" w14:textId="77777777" w:rsidR="009172B8" w:rsidRPr="008C5402" w:rsidRDefault="009172B8" w:rsidP="009172B8">
      <w:pPr>
        <w:pStyle w:val="Default"/>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b/>
          <w:color w:val="auto"/>
          <w:sz w:val="22"/>
          <w:szCs w:val="22"/>
          <w:lang w:val="es-ES_tradnl" w:eastAsia="es-ES_tradnl"/>
        </w:rPr>
        <w:t>4.-</w:t>
      </w:r>
      <w:r w:rsidRPr="008C5402">
        <w:rPr>
          <w:rFonts w:ascii="Times New Roman" w:hAnsi="Times New Roman" w:cs="Times New Roman"/>
          <w:color w:val="auto"/>
          <w:sz w:val="22"/>
          <w:szCs w:val="22"/>
          <w:lang w:val="es-ES_tradnl" w:eastAsia="es-ES_tradnl"/>
        </w:rPr>
        <w:t xml:space="preserve"> Aportar los siguientes informes justificativos con el objeto de comprobar la evolución del gasto realizado y el cumplimiento de los hitos y objetivos:</w:t>
      </w:r>
    </w:p>
    <w:p w14:paraId="67098109" w14:textId="77777777" w:rsidR="009172B8" w:rsidRPr="008C5402" w:rsidRDefault="009172B8" w:rsidP="009172B8">
      <w:pPr>
        <w:pStyle w:val="Default"/>
        <w:numPr>
          <w:ilvl w:val="0"/>
          <w:numId w:val="12"/>
        </w:numPr>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t>Informes justificativos respecto del seguimiento del cumplimiento de hitos y objetivos y de ejecución presupuestaria y contable que medirán con periodicidad mensual los siguientes indicadores de seguimiento:</w:t>
      </w:r>
    </w:p>
    <w:p w14:paraId="72A82E3A" w14:textId="77777777" w:rsidR="009172B8" w:rsidRPr="008C5402" w:rsidRDefault="009172B8" w:rsidP="009172B8">
      <w:pPr>
        <w:pStyle w:val="Default"/>
        <w:ind w:left="720"/>
        <w:jc w:val="both"/>
        <w:rPr>
          <w:rFonts w:ascii="Times New Roman" w:hAnsi="Times New Roman" w:cs="Times New Roman"/>
          <w:sz w:val="22"/>
          <w:szCs w:val="22"/>
        </w:rPr>
      </w:pPr>
    </w:p>
    <w:p w14:paraId="39025FDB" w14:textId="77777777" w:rsidR="009172B8" w:rsidRPr="008C5402" w:rsidRDefault="009172B8" w:rsidP="009172B8">
      <w:pPr>
        <w:pStyle w:val="Default"/>
        <w:numPr>
          <w:ilvl w:val="1"/>
          <w:numId w:val="12"/>
        </w:numPr>
        <w:spacing w:after="60"/>
        <w:ind w:left="1434" w:hanging="357"/>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t>Presupuesto licitado.</w:t>
      </w:r>
    </w:p>
    <w:p w14:paraId="2B2426E8" w14:textId="77777777" w:rsidR="009172B8" w:rsidRPr="008C5402" w:rsidRDefault="009172B8" w:rsidP="009172B8">
      <w:pPr>
        <w:pStyle w:val="Default"/>
        <w:numPr>
          <w:ilvl w:val="1"/>
          <w:numId w:val="12"/>
        </w:numPr>
        <w:spacing w:after="60"/>
        <w:ind w:left="1434" w:hanging="357"/>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t>Presupuesto adjudicado.</w:t>
      </w:r>
    </w:p>
    <w:p w14:paraId="24F55DA9" w14:textId="77777777" w:rsidR="009172B8" w:rsidRPr="008C5402" w:rsidRDefault="009172B8" w:rsidP="009172B8">
      <w:pPr>
        <w:pStyle w:val="Default"/>
        <w:numPr>
          <w:ilvl w:val="1"/>
          <w:numId w:val="12"/>
        </w:numPr>
        <w:spacing w:after="60"/>
        <w:ind w:left="1434" w:hanging="357"/>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t>Presupuesto ejecutado.</w:t>
      </w:r>
    </w:p>
    <w:p w14:paraId="7416EBE4" w14:textId="77777777" w:rsidR="009172B8" w:rsidRPr="008C5402" w:rsidRDefault="009172B8" w:rsidP="009172B8">
      <w:pPr>
        <w:pStyle w:val="Default"/>
        <w:numPr>
          <w:ilvl w:val="1"/>
          <w:numId w:val="12"/>
        </w:numPr>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t>Número de proyectos finalizados.</w:t>
      </w:r>
    </w:p>
    <w:p w14:paraId="2E647F51" w14:textId="77777777" w:rsidR="009172B8" w:rsidRPr="008C5402" w:rsidRDefault="009172B8" w:rsidP="009172B8">
      <w:pPr>
        <w:pStyle w:val="Piedepgina"/>
        <w:tabs>
          <w:tab w:val="clear" w:pos="4819"/>
          <w:tab w:val="clear" w:pos="9071"/>
        </w:tabs>
        <w:ind w:left="709"/>
        <w:jc w:val="both"/>
        <w:rPr>
          <w:sz w:val="22"/>
          <w:szCs w:val="22"/>
        </w:rPr>
      </w:pPr>
    </w:p>
    <w:p w14:paraId="60751912" w14:textId="77777777" w:rsidR="009172B8" w:rsidRPr="008C5402" w:rsidRDefault="009172B8" w:rsidP="009172B8">
      <w:pPr>
        <w:pStyle w:val="Piedepgina"/>
        <w:tabs>
          <w:tab w:val="clear" w:pos="4819"/>
          <w:tab w:val="clear" w:pos="9071"/>
        </w:tabs>
        <w:ind w:left="709"/>
        <w:jc w:val="both"/>
        <w:rPr>
          <w:sz w:val="22"/>
          <w:szCs w:val="22"/>
        </w:rPr>
      </w:pPr>
      <w:r w:rsidRPr="008C5402">
        <w:rPr>
          <w:sz w:val="22"/>
          <w:szCs w:val="22"/>
        </w:rPr>
        <w:t>Estos informes se entregarán a la Administración de la Comunidad Autónoma del País Vasco</w:t>
      </w:r>
      <w:r w:rsidRPr="008C5402">
        <w:rPr>
          <w:b/>
          <w:sz w:val="22"/>
          <w:szCs w:val="22"/>
        </w:rPr>
        <w:t xml:space="preserve"> </w:t>
      </w:r>
      <w:r w:rsidRPr="008C5402">
        <w:rPr>
          <w:sz w:val="22"/>
          <w:szCs w:val="22"/>
        </w:rPr>
        <w:t xml:space="preserve">con anterioridad al 10 de julio y al 10 de enero de cada año, según las indicaciones que realice ese órgano a tal efecto. </w:t>
      </w:r>
    </w:p>
    <w:p w14:paraId="074FAECB" w14:textId="77777777" w:rsidR="009172B8" w:rsidRPr="008C5402" w:rsidRDefault="009172B8" w:rsidP="009172B8">
      <w:pPr>
        <w:pStyle w:val="Piedepgina"/>
        <w:tabs>
          <w:tab w:val="clear" w:pos="4819"/>
          <w:tab w:val="clear" w:pos="9071"/>
        </w:tabs>
        <w:jc w:val="both"/>
        <w:rPr>
          <w:sz w:val="22"/>
          <w:szCs w:val="22"/>
        </w:rPr>
      </w:pPr>
    </w:p>
    <w:p w14:paraId="16F160C3" w14:textId="77777777" w:rsidR="009172B8" w:rsidRPr="008C5402" w:rsidRDefault="009172B8" w:rsidP="009172B8">
      <w:pPr>
        <w:pStyle w:val="Default"/>
        <w:numPr>
          <w:ilvl w:val="0"/>
          <w:numId w:val="12"/>
        </w:numPr>
        <w:jc w:val="both"/>
        <w:rPr>
          <w:rFonts w:ascii="Times New Roman" w:hAnsi="Times New Roman" w:cs="Times New Roman"/>
          <w:sz w:val="22"/>
          <w:szCs w:val="22"/>
        </w:rPr>
      </w:pPr>
      <w:r w:rsidRPr="008C5402">
        <w:rPr>
          <w:rFonts w:ascii="Times New Roman" w:hAnsi="Times New Roman" w:cs="Times New Roman"/>
          <w:color w:val="auto"/>
          <w:sz w:val="22"/>
          <w:szCs w:val="22"/>
          <w:lang w:val="es-ES_tradnl" w:eastAsia="es-ES_tradnl"/>
        </w:rPr>
        <w:lastRenderedPageBreak/>
        <w:t>Informes de Previsiones trimestrales en los que se recogerá el grado de avance y las estimaciones para los nueve meses siguientes, estructuradas por trimestres. Se identificarán los posibles riesgos de incumplimiento y las desviaciones respecto a la planificación. Asimismo, se plantearán acciones preventivas o correctoras para mitigar los riesgos en relación con el cumplimiento de los objetivos e indicadores en los términos y en el calendario aprobado, según las indicaciones que realice la Administración de la Comunidad Autónoma del País Vasco.</w:t>
      </w:r>
    </w:p>
    <w:p w14:paraId="4519E976" w14:textId="77777777" w:rsidR="009172B8" w:rsidRPr="008C5402" w:rsidRDefault="009172B8" w:rsidP="009172B8">
      <w:pPr>
        <w:pStyle w:val="Default"/>
        <w:ind w:left="360"/>
        <w:jc w:val="both"/>
        <w:rPr>
          <w:rFonts w:ascii="Times New Roman" w:hAnsi="Times New Roman" w:cs="Times New Roman"/>
          <w:sz w:val="22"/>
          <w:szCs w:val="22"/>
        </w:rPr>
      </w:pPr>
    </w:p>
    <w:p w14:paraId="0E1E3ECB" w14:textId="77777777" w:rsidR="009172B8" w:rsidRDefault="009172B8" w:rsidP="009172B8">
      <w:pPr>
        <w:pStyle w:val="Piedepgina"/>
        <w:tabs>
          <w:tab w:val="clear" w:pos="4819"/>
          <w:tab w:val="clear" w:pos="9071"/>
        </w:tabs>
        <w:jc w:val="both"/>
        <w:rPr>
          <w:sz w:val="22"/>
          <w:szCs w:val="22"/>
        </w:rPr>
      </w:pPr>
      <w:r w:rsidRPr="008C5402">
        <w:rPr>
          <w:b/>
          <w:sz w:val="22"/>
          <w:szCs w:val="22"/>
        </w:rPr>
        <w:t>5.</w:t>
      </w:r>
      <w:r w:rsidR="0007473E">
        <w:rPr>
          <w:b/>
          <w:sz w:val="22"/>
          <w:szCs w:val="22"/>
        </w:rPr>
        <w:t>-</w:t>
      </w:r>
      <w:r w:rsidRPr="008C5402">
        <w:rPr>
          <w:sz w:val="22"/>
          <w:szCs w:val="22"/>
        </w:rPr>
        <w:t xml:space="preserve"> Obligación de suministro de información y rendición de cuentas a la Administración de la Comunidad Autónoma del País Vasco asegurando el cumplimiento de:</w:t>
      </w:r>
    </w:p>
    <w:p w14:paraId="395BACF1" w14:textId="77777777" w:rsidR="009172B8" w:rsidRPr="008C5402" w:rsidRDefault="009172B8" w:rsidP="009172B8">
      <w:pPr>
        <w:pStyle w:val="Default"/>
        <w:numPr>
          <w:ilvl w:val="0"/>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Las condiciones de suministro y publicación periódica de información relativa a indicadores, en los términos establecidos por el Ministerio de Hacienda y Función Pública, de conformidad con la normativa nacional y comunitaria. </w:t>
      </w:r>
    </w:p>
    <w:p w14:paraId="0D066010" w14:textId="77777777" w:rsidR="009172B8" w:rsidRPr="008C5402" w:rsidRDefault="009172B8" w:rsidP="009172B8">
      <w:pPr>
        <w:pStyle w:val="Default"/>
        <w:ind w:left="720"/>
        <w:jc w:val="both"/>
        <w:rPr>
          <w:rFonts w:ascii="Times New Roman" w:hAnsi="Times New Roman" w:cs="Times New Roman"/>
          <w:color w:val="auto"/>
          <w:sz w:val="22"/>
          <w:szCs w:val="22"/>
          <w:lang w:val="es-ES_tradnl" w:eastAsia="es-ES_tradnl"/>
        </w:rPr>
      </w:pPr>
    </w:p>
    <w:p w14:paraId="489FF65E" w14:textId="77777777" w:rsidR="009172B8" w:rsidRPr="008C5402" w:rsidRDefault="009172B8" w:rsidP="009172B8">
      <w:pPr>
        <w:pStyle w:val="Default"/>
        <w:numPr>
          <w:ilvl w:val="0"/>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Las condiciones de suministro y publicación periódica de información en cuanto a ejecución del gasto en proyectos y medidas en relación al coste estimado, en los términos establecidos por el Ministerio de Hacienda y Función Pública de conformidad con la normativa nacional y comunitaria. </w:t>
      </w:r>
    </w:p>
    <w:p w14:paraId="3BBB4299" w14:textId="77777777" w:rsidR="009172B8" w:rsidRPr="008C5402" w:rsidRDefault="009172B8" w:rsidP="009172B8">
      <w:pPr>
        <w:pStyle w:val="Default"/>
        <w:jc w:val="both"/>
        <w:rPr>
          <w:rFonts w:ascii="Times New Roman" w:hAnsi="Times New Roman" w:cs="Times New Roman"/>
          <w:color w:val="auto"/>
          <w:sz w:val="22"/>
          <w:szCs w:val="22"/>
          <w:lang w:val="es-ES_tradnl" w:eastAsia="es-ES_tradnl"/>
        </w:rPr>
      </w:pPr>
    </w:p>
    <w:p w14:paraId="19F6C83E" w14:textId="77777777" w:rsidR="009172B8" w:rsidRPr="008C5402" w:rsidRDefault="009172B8" w:rsidP="009172B8">
      <w:pPr>
        <w:pStyle w:val="Default"/>
        <w:numPr>
          <w:ilvl w:val="0"/>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El mantenimiento de la adecuada pista de auditoría relativa a la medición de los indicadores y de conservación de la documentación soporte conforme a lo estipulado en el artículo 132 del Reglamento Financiero (Reglamento (UE, Euratom) 2018/1046 del Parlamento Europeo y del Consejo, de 18 de julio de 2018, sobre las normas financieras aplicables al presupuesto general de la Unión). </w:t>
      </w:r>
    </w:p>
    <w:p w14:paraId="2B6CB224" w14:textId="77777777" w:rsidR="009172B8" w:rsidRPr="008C5402" w:rsidRDefault="009172B8" w:rsidP="009172B8">
      <w:pPr>
        <w:pStyle w:val="Default"/>
        <w:jc w:val="both"/>
        <w:rPr>
          <w:rFonts w:ascii="Times New Roman" w:hAnsi="Times New Roman" w:cs="Times New Roman"/>
          <w:color w:val="auto"/>
          <w:sz w:val="22"/>
          <w:szCs w:val="22"/>
          <w:lang w:val="es-ES_tradnl" w:eastAsia="es-ES_tradnl"/>
        </w:rPr>
      </w:pPr>
    </w:p>
    <w:p w14:paraId="03FACABA" w14:textId="77777777" w:rsidR="009172B8" w:rsidRPr="008C5402" w:rsidRDefault="009172B8" w:rsidP="009172B8">
      <w:pPr>
        <w:pStyle w:val="Default"/>
        <w:numPr>
          <w:ilvl w:val="0"/>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La obligación de presentar al final de la ejecución de la medida una cuenta justificativa sobre la utilización de los fondos recibidos para la misma, incluyendo: </w:t>
      </w:r>
    </w:p>
    <w:p w14:paraId="473FE529" w14:textId="77777777" w:rsidR="009172B8" w:rsidRPr="008C5402" w:rsidRDefault="009172B8" w:rsidP="009172B8">
      <w:pPr>
        <w:pStyle w:val="Default"/>
        <w:jc w:val="both"/>
        <w:rPr>
          <w:rFonts w:ascii="Times New Roman" w:hAnsi="Times New Roman" w:cs="Times New Roman"/>
          <w:color w:val="auto"/>
          <w:sz w:val="22"/>
          <w:szCs w:val="22"/>
          <w:lang w:val="es-ES_tradnl" w:eastAsia="es-ES_tradnl"/>
        </w:rPr>
      </w:pPr>
    </w:p>
    <w:p w14:paraId="79473A72" w14:textId="77777777" w:rsidR="009172B8" w:rsidRPr="008C5402" w:rsidRDefault="009172B8" w:rsidP="009172B8">
      <w:pPr>
        <w:pStyle w:val="Default"/>
        <w:numPr>
          <w:ilvl w:val="1"/>
          <w:numId w:val="12"/>
        </w:numPr>
        <w:spacing w:after="60"/>
        <w:ind w:left="1434" w:hanging="357"/>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Grado de cumplimiento de hitos y objetivos respecto de los fijados inicialmente o, en su caso, revisados. </w:t>
      </w:r>
    </w:p>
    <w:p w14:paraId="3C9A1E7A" w14:textId="77777777" w:rsidR="009172B8" w:rsidRPr="008C5402" w:rsidRDefault="009172B8" w:rsidP="009172B8">
      <w:pPr>
        <w:pStyle w:val="Default"/>
        <w:numPr>
          <w:ilvl w:val="1"/>
          <w:numId w:val="12"/>
        </w:numPr>
        <w:spacing w:after="60"/>
        <w:ind w:left="1434" w:hanging="357"/>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Coste real de la medida respecto del coste estimado inicialmente o revisado. </w:t>
      </w:r>
    </w:p>
    <w:p w14:paraId="7F8FF9EB" w14:textId="77777777" w:rsidR="009172B8" w:rsidRPr="008C5402" w:rsidRDefault="009172B8" w:rsidP="009172B8">
      <w:pPr>
        <w:pStyle w:val="Default"/>
        <w:numPr>
          <w:ilvl w:val="1"/>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 xml:space="preserve">Descripción de la medida y la manera de implementación, así como los mecanismos de control aplicados en su ejecución. </w:t>
      </w:r>
    </w:p>
    <w:p w14:paraId="5173B723" w14:textId="77777777" w:rsidR="009172B8" w:rsidRPr="008C5402" w:rsidRDefault="009172B8" w:rsidP="009172B8">
      <w:pPr>
        <w:pStyle w:val="Default"/>
        <w:ind w:left="1440"/>
        <w:jc w:val="both"/>
        <w:rPr>
          <w:rFonts w:ascii="Times New Roman" w:hAnsi="Times New Roman" w:cs="Times New Roman"/>
          <w:color w:val="auto"/>
          <w:sz w:val="22"/>
          <w:szCs w:val="22"/>
          <w:lang w:val="es-ES_tradnl" w:eastAsia="es-ES_tradnl"/>
        </w:rPr>
      </w:pPr>
    </w:p>
    <w:p w14:paraId="5F45A2D6" w14:textId="77777777" w:rsidR="009172B8" w:rsidRDefault="009172B8" w:rsidP="009172B8">
      <w:pPr>
        <w:pStyle w:val="Default"/>
        <w:numPr>
          <w:ilvl w:val="0"/>
          <w:numId w:val="12"/>
        </w:numPr>
        <w:jc w:val="both"/>
        <w:rPr>
          <w:rFonts w:ascii="Times New Roman" w:hAnsi="Times New Roman" w:cs="Times New Roman"/>
          <w:color w:val="auto"/>
          <w:sz w:val="22"/>
          <w:szCs w:val="22"/>
          <w:lang w:val="es-ES_tradnl" w:eastAsia="es-ES_tradnl"/>
        </w:rPr>
      </w:pPr>
      <w:r w:rsidRPr="008C5402">
        <w:rPr>
          <w:rFonts w:ascii="Times New Roman" w:hAnsi="Times New Roman" w:cs="Times New Roman"/>
          <w:color w:val="auto"/>
          <w:sz w:val="22"/>
          <w:szCs w:val="22"/>
          <w:lang w:val="es-ES_tradnl" w:eastAsia="es-ES_tradnl"/>
        </w:rPr>
        <w:t>La obligación de presentar una cuenta justificativa final para la liquidación de la Conferencia Sectorial (CS), tanto en lo que respecta a los importes utilizados como a los hitos y objetivos conseguidos.</w:t>
      </w:r>
    </w:p>
    <w:p w14:paraId="0D84E5E1" w14:textId="77777777" w:rsidR="00927672" w:rsidRPr="008C5402" w:rsidRDefault="00927672" w:rsidP="00927672">
      <w:pPr>
        <w:pStyle w:val="Default"/>
        <w:ind w:left="720"/>
        <w:jc w:val="both"/>
        <w:rPr>
          <w:rFonts w:ascii="Times New Roman" w:hAnsi="Times New Roman" w:cs="Times New Roman"/>
          <w:color w:val="auto"/>
          <w:sz w:val="22"/>
          <w:szCs w:val="22"/>
          <w:lang w:val="es-ES_tradnl" w:eastAsia="es-ES_tradnl"/>
        </w:rPr>
      </w:pPr>
    </w:p>
    <w:p w14:paraId="3E739F10"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6.-</w:t>
      </w:r>
      <w:r w:rsidRPr="008C5402">
        <w:rPr>
          <w:sz w:val="22"/>
          <w:szCs w:val="22"/>
        </w:rPr>
        <w:t xml:space="preserve"> Adherirse al Plan de Medidas Antifraude del Gobierno Vasco aprobado con fecha </w:t>
      </w:r>
      <w:r w:rsidR="007B60B1" w:rsidRPr="008C5402">
        <w:rPr>
          <w:sz w:val="22"/>
          <w:szCs w:val="22"/>
        </w:rPr>
        <w:t>29 de marzo de 2022</w:t>
      </w:r>
      <w:r w:rsidRPr="008C5402">
        <w:rPr>
          <w:sz w:val="22"/>
          <w:szCs w:val="22"/>
        </w:rPr>
        <w:t>, o, en su caso, contar con un plan propio de contenido análogo, con la finalidad de garantizar y declarar que, en su respectivo ámbito de actuación, los fondos se han utilizado de conformidad con las normas aplicables, en particular, en lo que se refiere a la prevención, detección y corrección del fraude, la corrupción y los conflictos de interés.</w:t>
      </w:r>
      <w:r w:rsidR="0007473E">
        <w:rPr>
          <w:sz w:val="22"/>
          <w:szCs w:val="22"/>
        </w:rPr>
        <w:t xml:space="preserve"> </w:t>
      </w:r>
      <w:r w:rsidR="0007473E" w:rsidRPr="0007473E">
        <w:rPr>
          <w:sz w:val="22"/>
          <w:szCs w:val="22"/>
        </w:rPr>
        <w:t>En el caso de que disponga de un Plan de Medidas Antifraude propio, adicionalmente queda obligado al cumplimiento de lo dispuesto en el del Gobierno Vasco.</w:t>
      </w:r>
    </w:p>
    <w:p w14:paraId="74A9F6BC" w14:textId="77777777" w:rsidR="009172B8" w:rsidRPr="008C5402" w:rsidRDefault="009172B8" w:rsidP="009172B8">
      <w:pPr>
        <w:pStyle w:val="Piedepgina"/>
        <w:tabs>
          <w:tab w:val="clear" w:pos="4819"/>
          <w:tab w:val="clear" w:pos="9071"/>
        </w:tabs>
        <w:jc w:val="both"/>
        <w:rPr>
          <w:sz w:val="22"/>
          <w:szCs w:val="22"/>
        </w:rPr>
      </w:pPr>
    </w:p>
    <w:p w14:paraId="376B86E7" w14:textId="77777777" w:rsidR="009172B8" w:rsidRPr="008C5402" w:rsidRDefault="009172B8" w:rsidP="009172B8">
      <w:pPr>
        <w:pStyle w:val="Piedepgina"/>
        <w:jc w:val="both"/>
        <w:rPr>
          <w:sz w:val="22"/>
          <w:szCs w:val="22"/>
        </w:rPr>
      </w:pPr>
      <w:r w:rsidRPr="008C5402">
        <w:rPr>
          <w:b/>
          <w:sz w:val="22"/>
          <w:szCs w:val="22"/>
        </w:rPr>
        <w:t>7.-</w:t>
      </w:r>
      <w:r w:rsidRPr="008C5402">
        <w:rPr>
          <w:sz w:val="22"/>
          <w:szCs w:val="22"/>
        </w:rPr>
        <w:t xml:space="preserve"> Aportar la Declaración de Ausencia de Conflicto de Intereses (DACI) según el modelo recogido en el Anexo II del presente convenio. Esta obligación se impone a los empleados públicos que realizan tareas de gestión, control y pago y otros agentes en los que se han delegado alguna/s de esta/s función/es, así como a aquellos beneficiarios privados, socios, </w:t>
      </w:r>
      <w:r w:rsidRPr="008C5402">
        <w:rPr>
          <w:sz w:val="22"/>
          <w:szCs w:val="22"/>
        </w:rPr>
        <w:lastRenderedPageBreak/>
        <w:t xml:space="preserve">contratistas y subcontratistas, cuyas actuaciones sean financiadas con fondos, que puedan actuar en favor de sus propios intereses, pero en contra de los intereses financieros de la UE, en el marco de un conflicto de intereses.  </w:t>
      </w:r>
    </w:p>
    <w:p w14:paraId="33232875" w14:textId="77777777" w:rsidR="009172B8" w:rsidRPr="008C5402" w:rsidRDefault="009172B8" w:rsidP="009172B8">
      <w:pPr>
        <w:pStyle w:val="Piedepgina"/>
        <w:tabs>
          <w:tab w:val="clear" w:pos="4819"/>
          <w:tab w:val="clear" w:pos="9071"/>
        </w:tabs>
        <w:jc w:val="both"/>
        <w:rPr>
          <w:sz w:val="22"/>
          <w:szCs w:val="22"/>
        </w:rPr>
      </w:pPr>
    </w:p>
    <w:p w14:paraId="66D3D07E"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8.-</w:t>
      </w:r>
      <w:r w:rsidRPr="008C5402">
        <w:rPr>
          <w:sz w:val="22"/>
          <w:szCs w:val="22"/>
        </w:rPr>
        <w:t xml:space="preserve"> Respetar el principio de “no causar daño significativo” (principio </w:t>
      </w:r>
      <w:r w:rsidRPr="008C5402">
        <w:rPr>
          <w:i/>
          <w:iCs/>
          <w:sz w:val="22"/>
          <w:szCs w:val="22"/>
        </w:rPr>
        <w:t xml:space="preserve">do no significant harm </w:t>
      </w:r>
      <w:r w:rsidRPr="008C5402">
        <w:rPr>
          <w:sz w:val="22"/>
          <w:szCs w:val="22"/>
        </w:rPr>
        <w:t>- DNSH) al medio ambiente previsto en el Reglamento (UE) 2021/241 del Parlamento Europeo y del Consejo de 12 de febrero de 2021, por el que se establece el Mecanismo de Recuperación y Resiliencia y demás normativa europea de aplicación. Para ello, se deberá realizar una autoevaluación del DNSH Autoevaluación del Principio de No Causar Daño Significativo – DNSH, según el modelo recogido en el Anexo III del presente convenio.</w:t>
      </w:r>
    </w:p>
    <w:p w14:paraId="66F25042" w14:textId="77777777" w:rsidR="009172B8" w:rsidRPr="008C5402" w:rsidRDefault="009172B8" w:rsidP="009172B8">
      <w:pPr>
        <w:pStyle w:val="Piedepgina"/>
        <w:tabs>
          <w:tab w:val="clear" w:pos="4819"/>
          <w:tab w:val="clear" w:pos="9071"/>
        </w:tabs>
        <w:jc w:val="both"/>
        <w:rPr>
          <w:sz w:val="22"/>
          <w:szCs w:val="22"/>
        </w:rPr>
      </w:pPr>
    </w:p>
    <w:p w14:paraId="78FDCFB0" w14:textId="77777777" w:rsidR="009172B8" w:rsidRDefault="009172B8" w:rsidP="009172B8">
      <w:pPr>
        <w:pStyle w:val="Piedepgina"/>
        <w:tabs>
          <w:tab w:val="clear" w:pos="4819"/>
          <w:tab w:val="clear" w:pos="9071"/>
        </w:tabs>
        <w:jc w:val="both"/>
        <w:rPr>
          <w:sz w:val="22"/>
          <w:szCs w:val="22"/>
        </w:rPr>
      </w:pPr>
      <w:r w:rsidRPr="008C5402">
        <w:rPr>
          <w:b/>
          <w:sz w:val="22"/>
          <w:szCs w:val="22"/>
        </w:rPr>
        <w:t>9.-</w:t>
      </w:r>
      <w:r w:rsidRPr="008C5402">
        <w:rPr>
          <w:sz w:val="22"/>
          <w:szCs w:val="22"/>
        </w:rPr>
        <w:t xml:space="preserve"> Cumplir las condiciones del etiquetado verde y digital asignado en el PRTR, de acuerdo con Anexo VI y VII del Reglamento (UE) 2021/241, del Parlamento Europeo y del Consejo de 12 de febrero de 2021, por el que se establece el Mecanismo de Recuperación y Resiliencia.</w:t>
      </w:r>
    </w:p>
    <w:p w14:paraId="3C15795D" w14:textId="77777777" w:rsidR="009172B8" w:rsidRDefault="009172B8" w:rsidP="009172B8">
      <w:pPr>
        <w:pStyle w:val="Piedepgina"/>
        <w:tabs>
          <w:tab w:val="clear" w:pos="4819"/>
          <w:tab w:val="clear" w:pos="9071"/>
        </w:tabs>
        <w:jc w:val="both"/>
        <w:rPr>
          <w:sz w:val="22"/>
          <w:szCs w:val="22"/>
        </w:rPr>
      </w:pPr>
      <w:r w:rsidRPr="008C5402">
        <w:rPr>
          <w:b/>
          <w:sz w:val="22"/>
          <w:szCs w:val="22"/>
        </w:rPr>
        <w:t>10.-</w:t>
      </w:r>
      <w:r w:rsidRPr="008C5402">
        <w:rPr>
          <w:sz w:val="22"/>
          <w:szCs w:val="22"/>
        </w:rPr>
        <w:t xml:space="preserve"> Toda referencia al proyecto en publicaciones, actividades de difusión, páginas web y, en general, en cualesquiera medios de difusión debe cumplir con los requisitos que figuren en el Manual de Imagen del PRTR o en el Manual que sea aprobado por el Ministerio de Transportes, Movilidad y Agenda Urbana. Sin perjuicio de lo anterior, deberá figurar en todo caso la referencia a la financiación de la actuación mediante fondos del PRTR y a su gestión por el Ministerio de Transportes, Movilidad y Agenda Urbana en los términos previstos en el artículo 18.4 de la Ley 38/2003, de 17 de noviembre.</w:t>
      </w:r>
    </w:p>
    <w:p w14:paraId="1EDDCA51" w14:textId="77777777" w:rsidR="0077333F" w:rsidRPr="008C5402" w:rsidRDefault="0077333F" w:rsidP="009172B8">
      <w:pPr>
        <w:pStyle w:val="Piedepgina"/>
        <w:tabs>
          <w:tab w:val="clear" w:pos="4819"/>
          <w:tab w:val="clear" w:pos="9071"/>
        </w:tabs>
        <w:jc w:val="both"/>
        <w:rPr>
          <w:sz w:val="22"/>
          <w:szCs w:val="22"/>
        </w:rPr>
      </w:pPr>
    </w:p>
    <w:p w14:paraId="3DA73D9F" w14:textId="77777777" w:rsidR="009172B8" w:rsidRPr="008C5402" w:rsidRDefault="009172B8" w:rsidP="009172B8">
      <w:pPr>
        <w:pStyle w:val="Piedepgina"/>
        <w:tabs>
          <w:tab w:val="clear" w:pos="4819"/>
          <w:tab w:val="clear" w:pos="9071"/>
        </w:tabs>
        <w:jc w:val="both"/>
        <w:rPr>
          <w:sz w:val="22"/>
          <w:szCs w:val="22"/>
        </w:rPr>
      </w:pPr>
      <w:r w:rsidRPr="008C5402">
        <w:rPr>
          <w:sz w:val="22"/>
          <w:szCs w:val="22"/>
        </w:rPr>
        <w:t>Igualmente, se deberá mencionar el origen de esta financiación y garantizar su visibilidad, en particular cuando se promuevan las actuaciones subvencionables y sus resultados, facilitando información coherente, efectiva y proporcionada dirigida a múltiples destinatarios, incluidos los medios de comunicación y el público. Del mismo modo, todas las licitaciones, convenios y resto de instrumentos jurídicos, que se desarrollen en este ámbito, deberán contener tanto en su encabezamiento como en su cuerpo de desarrollo la siguiente referencia «Plan de Recuperación, Transformación y Resiliencia - Financiado por la Unión Europea – NextGenerationEU», de acuerdo con el artículo 9 de la Orden HFP/1030/2021, de 29 de septiembre, por la que se configura el sistema de gestión del Plan de Recuperación, Transformación y Resiliencia</w:t>
      </w:r>
      <w:r w:rsidR="00D73BA1" w:rsidRPr="008C5402">
        <w:rPr>
          <w:sz w:val="22"/>
          <w:szCs w:val="22"/>
        </w:rPr>
        <w:t>.</w:t>
      </w:r>
    </w:p>
    <w:p w14:paraId="53F3DF71" w14:textId="77777777" w:rsidR="009723A2" w:rsidRPr="008C5402" w:rsidRDefault="009723A2" w:rsidP="009172B8">
      <w:pPr>
        <w:pStyle w:val="Piedepgina"/>
        <w:tabs>
          <w:tab w:val="clear" w:pos="4819"/>
          <w:tab w:val="clear" w:pos="9071"/>
        </w:tabs>
        <w:jc w:val="both"/>
        <w:rPr>
          <w:sz w:val="22"/>
          <w:szCs w:val="22"/>
        </w:rPr>
      </w:pPr>
    </w:p>
    <w:p w14:paraId="4DCFD45B"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11.-</w:t>
      </w:r>
      <w:r w:rsidRPr="008C5402">
        <w:rPr>
          <w:sz w:val="22"/>
          <w:szCs w:val="22"/>
        </w:rPr>
        <w:t xml:space="preserve"> Remitir cualquier otra información y documentación que la Administración de la Comunidad Autónoma del País Vasco le requiera.</w:t>
      </w:r>
    </w:p>
    <w:p w14:paraId="39128CE3" w14:textId="77777777" w:rsidR="009172B8" w:rsidRPr="008C5402" w:rsidRDefault="009172B8" w:rsidP="009172B8">
      <w:pPr>
        <w:pStyle w:val="Piedepgina"/>
        <w:tabs>
          <w:tab w:val="clear" w:pos="4819"/>
          <w:tab w:val="clear" w:pos="9071"/>
        </w:tabs>
        <w:jc w:val="both"/>
        <w:rPr>
          <w:sz w:val="22"/>
          <w:szCs w:val="22"/>
        </w:rPr>
      </w:pPr>
    </w:p>
    <w:p w14:paraId="17B3B48A" w14:textId="77777777" w:rsidR="009172B8" w:rsidRPr="008C5402" w:rsidRDefault="009172B8" w:rsidP="009172B8">
      <w:pPr>
        <w:pStyle w:val="Ttulo2"/>
      </w:pPr>
      <w:r w:rsidRPr="008C5402">
        <w:t>Tercera. - Compromisos de la Administración de la Comunidad Autónoma del País Vasco.</w:t>
      </w:r>
    </w:p>
    <w:p w14:paraId="6421BDF7" w14:textId="77777777" w:rsidR="009172B8" w:rsidRPr="008C5402" w:rsidRDefault="009172B8" w:rsidP="009172B8">
      <w:pPr>
        <w:pStyle w:val="Piedepgina"/>
        <w:tabs>
          <w:tab w:val="clear" w:pos="4819"/>
          <w:tab w:val="clear" w:pos="9071"/>
        </w:tabs>
        <w:jc w:val="both"/>
        <w:rPr>
          <w:sz w:val="22"/>
          <w:szCs w:val="22"/>
        </w:rPr>
      </w:pPr>
    </w:p>
    <w:p w14:paraId="7D819088" w14:textId="77777777" w:rsidR="009172B8" w:rsidRDefault="009172B8" w:rsidP="00263A6F">
      <w:pPr>
        <w:pStyle w:val="Piedepgina"/>
        <w:tabs>
          <w:tab w:val="clear" w:pos="4819"/>
          <w:tab w:val="clear" w:pos="9071"/>
        </w:tabs>
        <w:spacing w:after="160"/>
        <w:jc w:val="both"/>
        <w:rPr>
          <w:sz w:val="22"/>
          <w:szCs w:val="22"/>
        </w:rPr>
      </w:pPr>
      <w:r w:rsidRPr="008C5402">
        <w:rPr>
          <w:sz w:val="22"/>
          <w:szCs w:val="22"/>
        </w:rPr>
        <w:t xml:space="preserve">La Administración de la Comunidad Autónoma del País Vasco, a través del Departamento de Política Territorial, Vivienda y Transportes, se compromete a financiar y abonar el coste efectivo de las actuaciones para la generación de datos de transporte avanzados en el Territorio Histórico de </w:t>
      </w:r>
      <w:r w:rsidR="00956A4A">
        <w:rPr>
          <w:sz w:val="22"/>
          <w:szCs w:val="22"/>
        </w:rPr>
        <w:t>Álava</w:t>
      </w:r>
      <w:r w:rsidR="00927672">
        <w:rPr>
          <w:sz w:val="22"/>
          <w:szCs w:val="22"/>
        </w:rPr>
        <w:t xml:space="preserve"> </w:t>
      </w:r>
      <w:r w:rsidRPr="008C5402">
        <w:rPr>
          <w:sz w:val="22"/>
          <w:szCs w:val="22"/>
        </w:rPr>
        <w:t xml:space="preserve">hasta el importe máximo de </w:t>
      </w:r>
      <w:r w:rsidR="00A0345A" w:rsidRPr="00A0345A">
        <w:rPr>
          <w:sz w:val="22"/>
          <w:szCs w:val="22"/>
        </w:rPr>
        <w:t xml:space="preserve">193.730,00 </w:t>
      </w:r>
      <w:r w:rsidRPr="008C5402">
        <w:rPr>
          <w:sz w:val="22"/>
          <w:szCs w:val="22"/>
        </w:rPr>
        <w:t xml:space="preserve">€, de acuerdo a la siguiente distribución de anualidades: </w:t>
      </w:r>
    </w:p>
    <w:p w14:paraId="6E92AF82" w14:textId="77777777" w:rsidR="00927672" w:rsidRPr="008C5402" w:rsidRDefault="00927672" w:rsidP="00927672">
      <w:pPr>
        <w:pStyle w:val="Piedepgina"/>
        <w:tabs>
          <w:tab w:val="clear" w:pos="4819"/>
          <w:tab w:val="clear" w:pos="9071"/>
        </w:tabs>
        <w:jc w:val="both"/>
        <w:rPr>
          <w:sz w:val="22"/>
          <w:szCs w:val="22"/>
        </w:rPr>
      </w:pPr>
    </w:p>
    <w:tbl>
      <w:tblPr>
        <w:tblW w:w="0" w:type="auto"/>
        <w:jc w:val="center"/>
        <w:tblLayout w:type="fixed"/>
        <w:tblCellMar>
          <w:left w:w="0" w:type="dxa"/>
          <w:right w:w="0" w:type="dxa"/>
        </w:tblCellMar>
        <w:tblLook w:val="01E0" w:firstRow="1" w:lastRow="1" w:firstColumn="1" w:lastColumn="1" w:noHBand="0" w:noVBand="0"/>
      </w:tblPr>
      <w:tblGrid>
        <w:gridCol w:w="2613"/>
        <w:gridCol w:w="2614"/>
      </w:tblGrid>
      <w:tr w:rsidR="009172B8" w:rsidRPr="008C5402" w14:paraId="5F5117BB" w14:textId="77777777" w:rsidTr="0007473E">
        <w:trPr>
          <w:trHeight w:hRule="exact" w:val="257"/>
          <w:jc w:val="center"/>
        </w:trPr>
        <w:tc>
          <w:tcPr>
            <w:tcW w:w="2613" w:type="dxa"/>
            <w:tcBorders>
              <w:top w:val="single" w:sz="6" w:space="0" w:color="000000"/>
              <w:left w:val="single" w:sz="4" w:space="0" w:color="000000"/>
              <w:bottom w:val="single" w:sz="6" w:space="0" w:color="000000"/>
              <w:right w:val="single" w:sz="6" w:space="0" w:color="000000"/>
            </w:tcBorders>
          </w:tcPr>
          <w:p w14:paraId="0C64030B" w14:textId="77777777" w:rsidR="009172B8" w:rsidRPr="008C5402" w:rsidRDefault="009172B8" w:rsidP="00732A6E">
            <w:pPr>
              <w:widowControl w:val="0"/>
              <w:spacing w:before="3"/>
              <w:ind w:right="71"/>
              <w:jc w:val="center"/>
              <w:rPr>
                <w:rFonts w:eastAsia="Arial"/>
                <w:sz w:val="22"/>
                <w:szCs w:val="22"/>
                <w:lang w:eastAsia="en-US"/>
              </w:rPr>
            </w:pPr>
            <w:r w:rsidRPr="008C5402">
              <w:rPr>
                <w:rFonts w:eastAsia="Arial"/>
                <w:w w:val="108"/>
                <w:sz w:val="22"/>
                <w:szCs w:val="22"/>
                <w:lang w:eastAsia="en-US"/>
              </w:rPr>
              <w:t>2022</w:t>
            </w:r>
          </w:p>
        </w:tc>
        <w:tc>
          <w:tcPr>
            <w:tcW w:w="2614" w:type="dxa"/>
            <w:tcBorders>
              <w:top w:val="single" w:sz="6" w:space="0" w:color="000000"/>
              <w:left w:val="single" w:sz="6" w:space="0" w:color="000000"/>
              <w:bottom w:val="single" w:sz="6" w:space="0" w:color="000000"/>
              <w:right w:val="single" w:sz="4" w:space="0" w:color="000000"/>
            </w:tcBorders>
          </w:tcPr>
          <w:p w14:paraId="73D5775D" w14:textId="77777777" w:rsidR="009172B8" w:rsidRPr="0082513D" w:rsidRDefault="00A0345A" w:rsidP="00732A6E">
            <w:pPr>
              <w:widowControl w:val="0"/>
              <w:spacing w:before="3"/>
              <w:jc w:val="center"/>
              <w:rPr>
                <w:rFonts w:eastAsia="Arial"/>
                <w:w w:val="108"/>
                <w:sz w:val="22"/>
                <w:szCs w:val="22"/>
                <w:lang w:eastAsia="en-US"/>
              </w:rPr>
            </w:pPr>
            <w:r w:rsidRPr="00A0345A">
              <w:rPr>
                <w:rFonts w:eastAsia="Arial"/>
                <w:w w:val="108"/>
                <w:sz w:val="22"/>
                <w:szCs w:val="22"/>
                <w:lang w:eastAsia="en-US"/>
              </w:rPr>
              <w:t xml:space="preserve">193.730,00 </w:t>
            </w:r>
            <w:r w:rsidR="007B60B1" w:rsidRPr="0082513D">
              <w:rPr>
                <w:rFonts w:eastAsia="Arial"/>
                <w:w w:val="108"/>
                <w:sz w:val="22"/>
                <w:szCs w:val="22"/>
                <w:lang w:eastAsia="en-US"/>
              </w:rPr>
              <w:t>€</w:t>
            </w:r>
          </w:p>
        </w:tc>
      </w:tr>
    </w:tbl>
    <w:p w14:paraId="45083EF8" w14:textId="77777777" w:rsidR="00927672" w:rsidRDefault="00927672" w:rsidP="00927672"/>
    <w:p w14:paraId="6864885B" w14:textId="77777777" w:rsidR="00927672" w:rsidRDefault="00927672" w:rsidP="00927672"/>
    <w:p w14:paraId="73D00A36" w14:textId="77777777" w:rsidR="009172B8" w:rsidRPr="008C5402" w:rsidRDefault="009172B8" w:rsidP="009172B8">
      <w:pPr>
        <w:pStyle w:val="Ttulo2"/>
      </w:pPr>
      <w:r w:rsidRPr="008C5402">
        <w:t>Cuarta. - Costes subvencionables.</w:t>
      </w:r>
    </w:p>
    <w:p w14:paraId="0F249CD3" w14:textId="77777777" w:rsidR="009172B8" w:rsidRPr="008C5402" w:rsidRDefault="009172B8" w:rsidP="009172B8">
      <w:pPr>
        <w:pStyle w:val="Piedepgina"/>
        <w:tabs>
          <w:tab w:val="clear" w:pos="4819"/>
          <w:tab w:val="clear" w:pos="9071"/>
        </w:tabs>
        <w:jc w:val="both"/>
        <w:rPr>
          <w:b/>
          <w:sz w:val="22"/>
          <w:szCs w:val="22"/>
        </w:rPr>
      </w:pPr>
    </w:p>
    <w:p w14:paraId="0AA11103" w14:textId="77777777" w:rsidR="009172B8" w:rsidRPr="008C5402" w:rsidRDefault="009172B8" w:rsidP="009172B8">
      <w:pPr>
        <w:pStyle w:val="Piedepgina"/>
        <w:jc w:val="both"/>
        <w:rPr>
          <w:sz w:val="22"/>
          <w:szCs w:val="22"/>
        </w:rPr>
      </w:pPr>
      <w:r w:rsidRPr="008C5402">
        <w:rPr>
          <w:b/>
          <w:sz w:val="22"/>
          <w:szCs w:val="22"/>
        </w:rPr>
        <w:lastRenderedPageBreak/>
        <w:t>1.-</w:t>
      </w:r>
      <w:r w:rsidRPr="008C5402">
        <w:rPr>
          <w:sz w:val="22"/>
          <w:szCs w:val="22"/>
        </w:rPr>
        <w:t xml:space="preserve"> Las inversiones correspondientes a las actuaciones incluidas en la cláusula segunda del presente Convenio </w:t>
      </w:r>
      <w:r w:rsidR="007B60B1" w:rsidRPr="008C5402">
        <w:rPr>
          <w:sz w:val="22"/>
          <w:szCs w:val="22"/>
        </w:rPr>
        <w:t>serán financiadas en</w:t>
      </w:r>
      <w:r w:rsidRPr="008C5402">
        <w:rPr>
          <w:sz w:val="22"/>
          <w:szCs w:val="22"/>
        </w:rPr>
        <w:t xml:space="preserve"> el 100% de los costes subvencionables, considerando como tales los siguientes:</w:t>
      </w:r>
    </w:p>
    <w:p w14:paraId="60166912" w14:textId="77777777" w:rsidR="009172B8" w:rsidRPr="008C5402" w:rsidRDefault="009172B8" w:rsidP="009172B8">
      <w:pPr>
        <w:pStyle w:val="Piedepgina"/>
        <w:jc w:val="both"/>
        <w:rPr>
          <w:sz w:val="22"/>
          <w:szCs w:val="22"/>
        </w:rPr>
      </w:pPr>
    </w:p>
    <w:p w14:paraId="56C9AE3B" w14:textId="77777777" w:rsidR="009172B8" w:rsidRPr="008C5402" w:rsidRDefault="009172B8" w:rsidP="009172B8">
      <w:pPr>
        <w:pStyle w:val="Piedepgina"/>
        <w:numPr>
          <w:ilvl w:val="0"/>
          <w:numId w:val="10"/>
        </w:numPr>
        <w:tabs>
          <w:tab w:val="clear" w:pos="4819"/>
          <w:tab w:val="clear" w:pos="9071"/>
        </w:tabs>
        <w:spacing w:after="60"/>
        <w:ind w:left="714" w:hanging="357"/>
        <w:jc w:val="both"/>
        <w:rPr>
          <w:sz w:val="22"/>
          <w:szCs w:val="22"/>
        </w:rPr>
      </w:pPr>
      <w:r w:rsidRPr="008C5402">
        <w:rPr>
          <w:sz w:val="22"/>
          <w:szCs w:val="22"/>
        </w:rPr>
        <w:t>Las contrataciones externas de ingeniería, seguimiento y obra civil.</w:t>
      </w:r>
    </w:p>
    <w:p w14:paraId="122DED58" w14:textId="77777777" w:rsidR="009172B8" w:rsidRPr="008C5402" w:rsidRDefault="009172B8" w:rsidP="009172B8">
      <w:pPr>
        <w:pStyle w:val="Piedepgina"/>
        <w:numPr>
          <w:ilvl w:val="0"/>
          <w:numId w:val="10"/>
        </w:numPr>
        <w:tabs>
          <w:tab w:val="clear" w:pos="4819"/>
          <w:tab w:val="clear" w:pos="9071"/>
        </w:tabs>
        <w:spacing w:after="60"/>
        <w:ind w:left="714" w:hanging="357"/>
        <w:jc w:val="both"/>
        <w:rPr>
          <w:sz w:val="22"/>
          <w:szCs w:val="22"/>
        </w:rPr>
      </w:pPr>
      <w:r w:rsidRPr="008C5402">
        <w:rPr>
          <w:sz w:val="22"/>
          <w:szCs w:val="22"/>
        </w:rPr>
        <w:t>Los contratos de compra de equipos, incluyendo equipamiento tecnológico y equipos informáticos, relacionados con las actuaciones subvencionadas.</w:t>
      </w:r>
    </w:p>
    <w:p w14:paraId="06F70FA1" w14:textId="77777777" w:rsidR="009172B8" w:rsidRPr="008C5402" w:rsidRDefault="009172B8" w:rsidP="009172B8">
      <w:pPr>
        <w:pStyle w:val="Piedepgina"/>
        <w:numPr>
          <w:ilvl w:val="0"/>
          <w:numId w:val="10"/>
        </w:numPr>
        <w:tabs>
          <w:tab w:val="clear" w:pos="4819"/>
          <w:tab w:val="clear" w:pos="9071"/>
        </w:tabs>
        <w:spacing w:after="60"/>
        <w:ind w:left="714" w:hanging="357"/>
        <w:jc w:val="both"/>
        <w:rPr>
          <w:sz w:val="22"/>
          <w:szCs w:val="22"/>
        </w:rPr>
      </w:pPr>
      <w:r w:rsidRPr="008C5402">
        <w:rPr>
          <w:sz w:val="22"/>
          <w:szCs w:val="22"/>
        </w:rPr>
        <w:t>La adquisición de licencias de software de carácter especializado y destinado exclusivamente a la actuación y que posibilite la utilización adecuada del equipamiento adquirido.</w:t>
      </w:r>
    </w:p>
    <w:p w14:paraId="4F1F51FA" w14:textId="77777777" w:rsidR="009172B8" w:rsidRPr="008C5402" w:rsidRDefault="009172B8" w:rsidP="009172B8">
      <w:pPr>
        <w:pStyle w:val="Piedepgina"/>
        <w:numPr>
          <w:ilvl w:val="0"/>
          <w:numId w:val="10"/>
        </w:numPr>
        <w:tabs>
          <w:tab w:val="clear" w:pos="4819"/>
          <w:tab w:val="clear" w:pos="9071"/>
        </w:tabs>
        <w:spacing w:after="60"/>
        <w:ind w:left="714" w:hanging="357"/>
        <w:jc w:val="both"/>
        <w:rPr>
          <w:sz w:val="22"/>
          <w:szCs w:val="22"/>
        </w:rPr>
      </w:pPr>
      <w:r w:rsidRPr="008C5402">
        <w:rPr>
          <w:sz w:val="22"/>
          <w:szCs w:val="22"/>
        </w:rPr>
        <w:t>Las contrataciones externas de consultoría, que se lleven a cabo dentro de la actuación objeto de la subvención como parte de la misma. Los estudios de viabilidad y de ingeniería de detalle serán subvencionables siempre que sean necesarios para la realización de la actuación. Podrán haberse realizado con anterioridad a la fecha de elegibilidad, pero en ese caso, su coste no sería elegible.</w:t>
      </w:r>
    </w:p>
    <w:p w14:paraId="7F98D063" w14:textId="77777777" w:rsidR="009172B8" w:rsidRDefault="009172B8" w:rsidP="009172B8">
      <w:pPr>
        <w:pStyle w:val="Piedepgina"/>
        <w:numPr>
          <w:ilvl w:val="0"/>
          <w:numId w:val="10"/>
        </w:numPr>
        <w:tabs>
          <w:tab w:val="clear" w:pos="4819"/>
          <w:tab w:val="clear" w:pos="9071"/>
        </w:tabs>
        <w:jc w:val="both"/>
        <w:rPr>
          <w:sz w:val="22"/>
          <w:szCs w:val="22"/>
        </w:rPr>
      </w:pPr>
      <w:r w:rsidRPr="008C5402">
        <w:rPr>
          <w:sz w:val="22"/>
          <w:szCs w:val="22"/>
        </w:rPr>
        <w:t>Las contrataciones externas para trabajos de asesoramiento legal, notaría, asesoramiento técnico o financiero, contabilidad o auditoría, si están directamente ligados al proyecto y son necesarios para su preparación o desarrollo, siempre y cuando hubieran sido contemplados en el presupuesto.</w:t>
      </w:r>
    </w:p>
    <w:p w14:paraId="247F6DBD" w14:textId="77777777" w:rsidR="009172B8" w:rsidRPr="008C5402" w:rsidRDefault="009172B8" w:rsidP="009172B8">
      <w:pPr>
        <w:pStyle w:val="Piedepgina"/>
        <w:jc w:val="both"/>
        <w:rPr>
          <w:sz w:val="22"/>
          <w:szCs w:val="22"/>
        </w:rPr>
      </w:pPr>
      <w:r w:rsidRPr="008C5402">
        <w:rPr>
          <w:b/>
          <w:sz w:val="22"/>
          <w:szCs w:val="22"/>
        </w:rPr>
        <w:t>2.-</w:t>
      </w:r>
      <w:r w:rsidRPr="008C5402">
        <w:rPr>
          <w:sz w:val="22"/>
          <w:szCs w:val="22"/>
        </w:rPr>
        <w:t xml:space="preserve"> </w:t>
      </w:r>
      <w:r w:rsidR="007B60B1" w:rsidRPr="008C5402">
        <w:rPr>
          <w:sz w:val="22"/>
          <w:szCs w:val="22"/>
        </w:rPr>
        <w:t>Sin embargo</w:t>
      </w:r>
      <w:r w:rsidRPr="008C5402">
        <w:rPr>
          <w:sz w:val="22"/>
          <w:szCs w:val="22"/>
        </w:rPr>
        <w:t>, no se considerarán subvencionables los englobados en los siguientes conceptos:</w:t>
      </w:r>
    </w:p>
    <w:p w14:paraId="47A1A43B" w14:textId="77777777" w:rsidR="009172B8" w:rsidRPr="008C5402" w:rsidRDefault="009172B8" w:rsidP="009172B8">
      <w:pPr>
        <w:pStyle w:val="Piedepgina"/>
        <w:jc w:val="both"/>
        <w:rPr>
          <w:sz w:val="22"/>
          <w:szCs w:val="22"/>
        </w:rPr>
      </w:pPr>
    </w:p>
    <w:p w14:paraId="1F264A98"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El Impuesto sobre el Valor Añadido.</w:t>
      </w:r>
    </w:p>
    <w:p w14:paraId="1B0876EC"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Autorizaciones administrativas, licencias, permisos, coste de avales y/o fianzas, multas, tasas, impuestos o tributos.</w:t>
      </w:r>
    </w:p>
    <w:p w14:paraId="2EC6FD13"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Cualesquiera gastos asociados a gestiones, contrataciones, consultas o trámites administrativos, aun siendo necesarios para la obtención de permisos o licencias.</w:t>
      </w:r>
    </w:p>
    <w:p w14:paraId="22E7845E"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Seguros suscritos por el solicitante.</w:t>
      </w:r>
    </w:p>
    <w:p w14:paraId="26CDC20C"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Cualesquiera costes financieros.</w:t>
      </w:r>
    </w:p>
    <w:p w14:paraId="3E9A0D2B"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Costes asociados a sanciones penales, así como gastos de procedimientos judiciales.</w:t>
      </w:r>
    </w:p>
    <w:p w14:paraId="36F7F70D" w14:textId="77777777" w:rsidR="009172B8" w:rsidRPr="008C5402" w:rsidRDefault="009172B8" w:rsidP="009172B8">
      <w:pPr>
        <w:pStyle w:val="Piedepgina"/>
        <w:numPr>
          <w:ilvl w:val="0"/>
          <w:numId w:val="11"/>
        </w:numPr>
        <w:tabs>
          <w:tab w:val="clear" w:pos="4819"/>
          <w:tab w:val="clear" w:pos="9071"/>
        </w:tabs>
        <w:spacing w:after="60"/>
        <w:ind w:left="714" w:hanging="357"/>
        <w:jc w:val="both"/>
        <w:rPr>
          <w:sz w:val="22"/>
          <w:szCs w:val="22"/>
        </w:rPr>
      </w:pPr>
      <w:r w:rsidRPr="008C5402">
        <w:rPr>
          <w:sz w:val="22"/>
          <w:szCs w:val="22"/>
        </w:rPr>
        <w:t>Licencias destinadas a sistemas operativos y aplicaciones ofimáticas</w:t>
      </w:r>
    </w:p>
    <w:p w14:paraId="61CD6BB0" w14:textId="77777777" w:rsidR="009172B8" w:rsidRPr="008C5402" w:rsidRDefault="009172B8" w:rsidP="009172B8">
      <w:pPr>
        <w:pStyle w:val="Piedepgina"/>
        <w:numPr>
          <w:ilvl w:val="0"/>
          <w:numId w:val="11"/>
        </w:numPr>
        <w:tabs>
          <w:tab w:val="clear" w:pos="4819"/>
          <w:tab w:val="clear" w:pos="9071"/>
        </w:tabs>
        <w:jc w:val="both"/>
        <w:rPr>
          <w:sz w:val="22"/>
          <w:szCs w:val="22"/>
        </w:rPr>
      </w:pPr>
      <w:r w:rsidRPr="008C5402">
        <w:rPr>
          <w:sz w:val="22"/>
          <w:szCs w:val="22"/>
        </w:rPr>
        <w:t>Cualquier gasto de operación y mantenimiento de las actuaciones o gastos propios de la administración.</w:t>
      </w:r>
    </w:p>
    <w:p w14:paraId="20A92119" w14:textId="77777777" w:rsidR="009172B8" w:rsidRPr="008C5402" w:rsidRDefault="009172B8" w:rsidP="009172B8">
      <w:pPr>
        <w:pStyle w:val="Piedepgina"/>
        <w:tabs>
          <w:tab w:val="clear" w:pos="4819"/>
          <w:tab w:val="clear" w:pos="9071"/>
        </w:tabs>
        <w:jc w:val="both"/>
        <w:rPr>
          <w:b/>
          <w:sz w:val="22"/>
          <w:szCs w:val="22"/>
        </w:rPr>
      </w:pPr>
    </w:p>
    <w:p w14:paraId="13676D9D" w14:textId="77777777" w:rsidR="009172B8" w:rsidRPr="008C5402" w:rsidRDefault="009172B8" w:rsidP="009172B8">
      <w:pPr>
        <w:pStyle w:val="Ttulo2"/>
      </w:pPr>
      <w:r w:rsidRPr="008C5402">
        <w:t>Quinta. - Financiación y pago de los trabajos.</w:t>
      </w:r>
    </w:p>
    <w:p w14:paraId="01E4D5FD" w14:textId="77777777" w:rsidR="009172B8" w:rsidRPr="008C5402" w:rsidRDefault="009172B8" w:rsidP="009172B8">
      <w:pPr>
        <w:pStyle w:val="Piedepgina"/>
        <w:tabs>
          <w:tab w:val="clear" w:pos="4819"/>
          <w:tab w:val="clear" w:pos="9071"/>
        </w:tabs>
        <w:jc w:val="both"/>
        <w:rPr>
          <w:sz w:val="22"/>
          <w:szCs w:val="22"/>
        </w:rPr>
      </w:pPr>
    </w:p>
    <w:p w14:paraId="42F1F5FE" w14:textId="77777777" w:rsidR="009172B8" w:rsidRDefault="009172B8" w:rsidP="009172B8">
      <w:pPr>
        <w:pStyle w:val="Piedepgina"/>
        <w:tabs>
          <w:tab w:val="clear" w:pos="4819"/>
          <w:tab w:val="clear" w:pos="9071"/>
        </w:tabs>
        <w:jc w:val="both"/>
        <w:rPr>
          <w:sz w:val="22"/>
          <w:szCs w:val="22"/>
        </w:rPr>
      </w:pPr>
      <w:r w:rsidRPr="008C5402">
        <w:rPr>
          <w:b/>
          <w:sz w:val="22"/>
          <w:szCs w:val="22"/>
        </w:rPr>
        <w:t>1.-</w:t>
      </w:r>
      <w:r w:rsidRPr="008C5402">
        <w:rPr>
          <w:sz w:val="22"/>
          <w:szCs w:val="22"/>
        </w:rPr>
        <w:t xml:space="preserve"> El importe de la aportación solo podrá destinarse por </w:t>
      </w:r>
      <w:r w:rsidR="000979FD" w:rsidRPr="000979FD">
        <w:rPr>
          <w:sz w:val="22"/>
          <w:szCs w:val="22"/>
        </w:rPr>
        <w:t xml:space="preserve">la </w:t>
      </w:r>
      <w:r w:rsidR="00956A4A">
        <w:rPr>
          <w:sz w:val="22"/>
          <w:szCs w:val="22"/>
        </w:rPr>
        <w:t>Diputación Foral de Álava</w:t>
      </w:r>
      <w:r w:rsidR="00BB02AA">
        <w:rPr>
          <w:sz w:val="22"/>
          <w:szCs w:val="22"/>
        </w:rPr>
        <w:t xml:space="preserve"> </w:t>
      </w:r>
      <w:r w:rsidRPr="008C5402">
        <w:rPr>
          <w:sz w:val="22"/>
          <w:szCs w:val="22"/>
        </w:rPr>
        <w:t xml:space="preserve">a la financiación del coste derivado de la ejecución de las actividades para la generación de datos de transporte avanzados en el Territorio Histórico de </w:t>
      </w:r>
      <w:r w:rsidR="00956A4A">
        <w:rPr>
          <w:sz w:val="22"/>
          <w:szCs w:val="22"/>
        </w:rPr>
        <w:t>Álava</w:t>
      </w:r>
      <w:r w:rsidRPr="008C5402">
        <w:rPr>
          <w:sz w:val="22"/>
          <w:szCs w:val="22"/>
        </w:rPr>
        <w:t>.</w:t>
      </w:r>
    </w:p>
    <w:p w14:paraId="5776FC1F" w14:textId="77777777" w:rsidR="000979FD" w:rsidRPr="008C5402" w:rsidRDefault="000979FD" w:rsidP="009172B8">
      <w:pPr>
        <w:pStyle w:val="Piedepgina"/>
        <w:tabs>
          <w:tab w:val="clear" w:pos="4819"/>
          <w:tab w:val="clear" w:pos="9071"/>
        </w:tabs>
        <w:jc w:val="both"/>
        <w:rPr>
          <w:sz w:val="22"/>
          <w:szCs w:val="22"/>
        </w:rPr>
      </w:pPr>
    </w:p>
    <w:p w14:paraId="0AB322DB" w14:textId="77777777" w:rsidR="009172B8" w:rsidRPr="008C5402" w:rsidRDefault="009172B8" w:rsidP="009172B8">
      <w:pPr>
        <w:pStyle w:val="Piedepgina"/>
        <w:jc w:val="both"/>
        <w:rPr>
          <w:sz w:val="22"/>
          <w:szCs w:val="22"/>
        </w:rPr>
      </w:pPr>
      <w:r w:rsidRPr="008C5402">
        <w:rPr>
          <w:b/>
          <w:sz w:val="22"/>
          <w:szCs w:val="22"/>
        </w:rPr>
        <w:t>2.-</w:t>
      </w:r>
      <w:r w:rsidRPr="008C5402">
        <w:rPr>
          <w:sz w:val="22"/>
          <w:szCs w:val="22"/>
        </w:rPr>
        <w:t xml:space="preserve"> Se abonará la cuantía tras la formalización del presente convenio. </w:t>
      </w:r>
    </w:p>
    <w:p w14:paraId="154CED20" w14:textId="77777777" w:rsidR="009172B8" w:rsidRPr="008C5402" w:rsidRDefault="009172B8" w:rsidP="009172B8">
      <w:pPr>
        <w:pStyle w:val="Piedepgina"/>
        <w:jc w:val="both"/>
        <w:rPr>
          <w:sz w:val="22"/>
          <w:szCs w:val="22"/>
        </w:rPr>
      </w:pPr>
    </w:p>
    <w:p w14:paraId="433195A1" w14:textId="77777777" w:rsidR="009172B8" w:rsidRPr="008C5402" w:rsidRDefault="009172B8" w:rsidP="009172B8">
      <w:pPr>
        <w:pStyle w:val="Piedepgina"/>
        <w:jc w:val="both"/>
        <w:rPr>
          <w:sz w:val="22"/>
          <w:szCs w:val="22"/>
        </w:rPr>
      </w:pPr>
      <w:r w:rsidRPr="008C5402">
        <w:rPr>
          <w:sz w:val="22"/>
          <w:szCs w:val="22"/>
        </w:rPr>
        <w:t>Con el objeto de que se pueda comprobar la evolución del gasto realizado y el cumplimiento de hitos y objetivos, se adjuntarán los informes justificativos que se indican en la cláusula segunda del presente convenio.</w:t>
      </w:r>
    </w:p>
    <w:p w14:paraId="60461362" w14:textId="77777777" w:rsidR="009172B8" w:rsidRPr="008C5402" w:rsidRDefault="009172B8" w:rsidP="009172B8">
      <w:pPr>
        <w:pStyle w:val="Piedepgina"/>
        <w:jc w:val="both"/>
        <w:rPr>
          <w:sz w:val="22"/>
          <w:szCs w:val="22"/>
        </w:rPr>
      </w:pPr>
    </w:p>
    <w:p w14:paraId="7B6284E5" w14:textId="77777777" w:rsidR="009172B8" w:rsidRPr="008C5402" w:rsidRDefault="009172B8" w:rsidP="009172B8">
      <w:pPr>
        <w:pStyle w:val="Piedepgina"/>
        <w:jc w:val="both"/>
        <w:rPr>
          <w:sz w:val="22"/>
          <w:szCs w:val="22"/>
        </w:rPr>
      </w:pPr>
      <w:r w:rsidRPr="008C5402">
        <w:rPr>
          <w:sz w:val="22"/>
          <w:szCs w:val="22"/>
        </w:rPr>
        <w:t>El importe de la subvención se abonará a través de transferencia bancaria.</w:t>
      </w:r>
    </w:p>
    <w:p w14:paraId="0D912D6C" w14:textId="77777777" w:rsidR="009172B8" w:rsidRPr="008C5402" w:rsidRDefault="009172B8" w:rsidP="009172B8">
      <w:pPr>
        <w:pStyle w:val="Piedepgina"/>
        <w:tabs>
          <w:tab w:val="clear" w:pos="4819"/>
          <w:tab w:val="clear" w:pos="9071"/>
        </w:tabs>
        <w:jc w:val="both"/>
        <w:rPr>
          <w:sz w:val="22"/>
          <w:szCs w:val="22"/>
        </w:rPr>
      </w:pPr>
    </w:p>
    <w:p w14:paraId="15882ED3"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lastRenderedPageBreak/>
        <w:t>3.-</w:t>
      </w:r>
      <w:r w:rsidRPr="008C5402">
        <w:rPr>
          <w:sz w:val="22"/>
          <w:szCs w:val="22"/>
        </w:rPr>
        <w:t xml:space="preserve"> La entidad beneficiaria deberá cumplir con la normativa nacional y europea relativa a la compatibilidad con el régimen de ayudas de Estado y prevención de la doble financiación, de acuerdo con lo previsto en el artículo 7 de la Orden HFP 1030/2021, de 29 de septiembre.</w:t>
      </w:r>
    </w:p>
    <w:p w14:paraId="24791D09" w14:textId="77777777" w:rsidR="009172B8" w:rsidRPr="008C5402" w:rsidRDefault="009172B8" w:rsidP="009172B8">
      <w:pPr>
        <w:pStyle w:val="Piedepgina"/>
        <w:tabs>
          <w:tab w:val="clear" w:pos="4819"/>
          <w:tab w:val="clear" w:pos="9071"/>
        </w:tabs>
        <w:jc w:val="both"/>
        <w:rPr>
          <w:sz w:val="22"/>
          <w:szCs w:val="22"/>
        </w:rPr>
      </w:pPr>
    </w:p>
    <w:p w14:paraId="555BA794" w14:textId="77777777" w:rsidR="009172B8" w:rsidRPr="008C5402" w:rsidRDefault="009172B8" w:rsidP="009172B8">
      <w:pPr>
        <w:pStyle w:val="Piedepgina"/>
        <w:tabs>
          <w:tab w:val="clear" w:pos="4819"/>
          <w:tab w:val="clear" w:pos="9071"/>
        </w:tabs>
        <w:jc w:val="both"/>
        <w:rPr>
          <w:sz w:val="22"/>
          <w:szCs w:val="22"/>
        </w:rPr>
      </w:pPr>
      <w:r w:rsidRPr="008C5402">
        <w:rPr>
          <w:sz w:val="22"/>
          <w:szCs w:val="22"/>
        </w:rPr>
        <w:t>Conforme a lo establecido en el artículo 9 del Reglamento (UE) 2021/241 del Parlamento Europeo y del Consejo, de 12 de febrero de 2021, por el que se establece el Mecanismo de Recuperación y Resiliencia, la ayuda concedida en el marco del Mecanismo se sumará a la proporcionada con arreglo a otros programas e instrumentos de la Unión. Las reformas y los proyectos de inversión podrán recibir ayuda de otros programas e instrumentos de la Unión siempre que dicha ayuda no cubra el mismo coste.</w:t>
      </w:r>
    </w:p>
    <w:p w14:paraId="3838B348" w14:textId="77777777" w:rsidR="009172B8" w:rsidRPr="008C5402" w:rsidRDefault="009172B8" w:rsidP="009172B8">
      <w:pPr>
        <w:pStyle w:val="Piedepgina"/>
        <w:tabs>
          <w:tab w:val="clear" w:pos="4819"/>
          <w:tab w:val="clear" w:pos="9071"/>
        </w:tabs>
        <w:jc w:val="both"/>
        <w:rPr>
          <w:sz w:val="22"/>
          <w:szCs w:val="22"/>
        </w:rPr>
      </w:pPr>
    </w:p>
    <w:p w14:paraId="724294D0" w14:textId="77777777" w:rsidR="009172B8" w:rsidRPr="008C5402" w:rsidRDefault="009172B8" w:rsidP="009172B8">
      <w:pPr>
        <w:pStyle w:val="Ttulo2"/>
      </w:pPr>
      <w:r w:rsidRPr="008C5402">
        <w:t>Sexta. - Sometimiento a las disposiciones establecidas en el marco del Mecanismo de Recuperación y Resiliencia.</w:t>
      </w:r>
    </w:p>
    <w:p w14:paraId="7F53F096" w14:textId="77777777" w:rsidR="009172B8" w:rsidRPr="008C5402" w:rsidRDefault="009172B8" w:rsidP="009172B8">
      <w:pPr>
        <w:pStyle w:val="Piedepgina"/>
        <w:tabs>
          <w:tab w:val="clear" w:pos="4819"/>
          <w:tab w:val="clear" w:pos="9071"/>
        </w:tabs>
        <w:jc w:val="both"/>
        <w:rPr>
          <w:b/>
          <w:sz w:val="22"/>
          <w:szCs w:val="22"/>
        </w:rPr>
      </w:pPr>
    </w:p>
    <w:p w14:paraId="5241A29A"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1.-</w:t>
      </w:r>
      <w:r w:rsidRPr="008C5402">
        <w:rPr>
          <w:sz w:val="22"/>
          <w:szCs w:val="22"/>
        </w:rPr>
        <w:t xml:space="preserve"> Las instituciones firmantes del presente Convenio quedarán sometidas a la totalidad de la normativa reguladora del Mecanismo de Recuperación y Resiliencia.</w:t>
      </w:r>
    </w:p>
    <w:p w14:paraId="3B07CE61" w14:textId="77777777" w:rsidR="009172B8" w:rsidRPr="008C5402" w:rsidRDefault="009172B8" w:rsidP="009172B8">
      <w:pPr>
        <w:pStyle w:val="Piedepgina"/>
        <w:tabs>
          <w:tab w:val="clear" w:pos="4819"/>
          <w:tab w:val="clear" w:pos="9071"/>
        </w:tabs>
        <w:jc w:val="both"/>
        <w:rPr>
          <w:sz w:val="22"/>
          <w:szCs w:val="22"/>
        </w:rPr>
      </w:pPr>
    </w:p>
    <w:p w14:paraId="35853050" w14:textId="77777777" w:rsidR="009172B8" w:rsidRDefault="009172B8"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El presente Convenio y su ejecución deberán respetar las condiciones del Acuerdo de la Conferencia Nacional de Transportes del 5 de noviembre de 2021 sobre los criterios de distribución territorial de créditos presupuestarios para la financiación de actuaciones de inversión en el marco de los Componentes 1 “Plan de choque de movilidad sostenible, segura y conectada en entornos urbanos y metropolitanos” y 6 “Movilidad sostenible, segura y conectada” del Plan de Recuperación, Transformación y Resiliencia, el cual se incorpora como Anexo IV. </w:t>
      </w:r>
    </w:p>
    <w:p w14:paraId="519B3511"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3.-</w:t>
      </w:r>
      <w:r w:rsidRPr="008C5402">
        <w:rPr>
          <w:sz w:val="22"/>
          <w:szCs w:val="22"/>
        </w:rPr>
        <w:t xml:space="preserve"> Los órganos de contratación aplicarán, en el marco de los procedimientos de licitación derivados del presente Convenio, las disposiciones establecidas en la Instrucción de 23 de diciembre de 2021 de la Junta Consultiva de Contratación Pública del Estado sobre aspectos a incorporar en los expedientes y en los pliegos rectores de los contratos que se vayan a financiar con fondos procedentes del PRTR, la cual se incorpora como Anexo V.</w:t>
      </w:r>
    </w:p>
    <w:p w14:paraId="4A4FBC5E" w14:textId="77777777" w:rsidR="009172B8" w:rsidRPr="008C5402" w:rsidRDefault="009172B8" w:rsidP="009172B8">
      <w:pPr>
        <w:pStyle w:val="Piedepgina"/>
        <w:tabs>
          <w:tab w:val="clear" w:pos="4819"/>
          <w:tab w:val="clear" w:pos="9071"/>
        </w:tabs>
        <w:jc w:val="both"/>
        <w:rPr>
          <w:sz w:val="22"/>
          <w:szCs w:val="22"/>
        </w:rPr>
      </w:pPr>
    </w:p>
    <w:p w14:paraId="6FFA5144"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4.-</w:t>
      </w:r>
      <w:r w:rsidRPr="008C5402">
        <w:rPr>
          <w:sz w:val="22"/>
          <w:szCs w:val="22"/>
        </w:rPr>
        <w:t xml:space="preserve"> La entidad beneficiaria se someterá a las actuaciones de control y seguimiento de la aplicación de los fondos, mediante la verificación de documentos y a la evaluación continua y final por parte del Departamento de Política Territorial, Vivienda y Transportes, así como al control de la OCE, del Tribunal Vasco de Cuentas Públicas y de los órganos estatales y europeos que tengan asignado el control de los fondos del MRR, en particular, la Comisión Europea, el Tribunal de Cuentas Europeo, la Oficina Europea de Lucha contra el Fraude y la Fiscalía Europea que podrán acceder a la información de detalle de las actuaciones realizadas.</w:t>
      </w:r>
    </w:p>
    <w:p w14:paraId="710C85DA" w14:textId="77777777" w:rsidR="009172B8" w:rsidRPr="008C5402" w:rsidRDefault="009172B8" w:rsidP="009172B8">
      <w:pPr>
        <w:pStyle w:val="Piedepgina"/>
        <w:tabs>
          <w:tab w:val="clear" w:pos="4819"/>
          <w:tab w:val="clear" w:pos="9071"/>
        </w:tabs>
        <w:jc w:val="both"/>
        <w:rPr>
          <w:b/>
          <w:sz w:val="22"/>
          <w:szCs w:val="22"/>
        </w:rPr>
      </w:pPr>
      <w:r w:rsidRPr="008C5402">
        <w:rPr>
          <w:b/>
          <w:sz w:val="22"/>
          <w:szCs w:val="22"/>
        </w:rPr>
        <w:t xml:space="preserve"> </w:t>
      </w:r>
    </w:p>
    <w:p w14:paraId="0877E89F" w14:textId="77777777" w:rsidR="009172B8" w:rsidRPr="008C5402" w:rsidRDefault="009172B8" w:rsidP="009172B8">
      <w:pPr>
        <w:pStyle w:val="Ttulo2"/>
      </w:pPr>
      <w:r w:rsidRPr="008C5402">
        <w:t>Séptima. - Seguimiento y suministro de información en el marco del Mecanismo de Recuperación y Resiliencia.</w:t>
      </w:r>
    </w:p>
    <w:p w14:paraId="7B23C8F1" w14:textId="77777777" w:rsidR="009172B8" w:rsidRPr="008C5402" w:rsidRDefault="009172B8" w:rsidP="009172B8">
      <w:pPr>
        <w:pStyle w:val="Piedepgina"/>
        <w:tabs>
          <w:tab w:val="clear" w:pos="4819"/>
          <w:tab w:val="clear" w:pos="9071"/>
        </w:tabs>
        <w:jc w:val="both"/>
        <w:rPr>
          <w:b/>
          <w:sz w:val="22"/>
          <w:szCs w:val="22"/>
        </w:rPr>
      </w:pPr>
    </w:p>
    <w:p w14:paraId="26E0B3B2" w14:textId="77777777" w:rsidR="009172B8" w:rsidRPr="008C5402" w:rsidRDefault="009172B8" w:rsidP="009172B8">
      <w:pPr>
        <w:pStyle w:val="Piedepgina"/>
        <w:jc w:val="both"/>
        <w:rPr>
          <w:sz w:val="22"/>
          <w:szCs w:val="22"/>
        </w:rPr>
      </w:pPr>
      <w:r w:rsidRPr="008C5402">
        <w:rPr>
          <w:b/>
          <w:sz w:val="22"/>
          <w:szCs w:val="22"/>
        </w:rPr>
        <w:t>1.-</w:t>
      </w:r>
      <w:r w:rsidRPr="008C5402">
        <w:rPr>
          <w:sz w:val="22"/>
          <w:szCs w:val="22"/>
        </w:rPr>
        <w:t xml:space="preserve"> Las actuaciones estarán sometidas al seguimiento y control que se establezca para el PRTR, así como las obligaciones específicas relativas a la información y publicidad, control, verificación, seguimiento y demás obligaciones impuestas por la normativa interna y de la Unión Europea que se establezcan para el Mecanismo de Recuperación y Resiliencia de la UE y cuya aplicación será de obligado cumplimiento.</w:t>
      </w:r>
    </w:p>
    <w:p w14:paraId="155A8E1B" w14:textId="77777777" w:rsidR="009172B8" w:rsidRPr="008C5402" w:rsidRDefault="009172B8" w:rsidP="009172B8">
      <w:pPr>
        <w:pStyle w:val="Piedepgina"/>
        <w:jc w:val="both"/>
        <w:rPr>
          <w:sz w:val="22"/>
          <w:szCs w:val="22"/>
        </w:rPr>
      </w:pPr>
    </w:p>
    <w:p w14:paraId="4E0A5E80" w14:textId="77777777" w:rsidR="009172B8" w:rsidRDefault="009172B8" w:rsidP="009172B8">
      <w:pPr>
        <w:pStyle w:val="Piedepgina"/>
        <w:jc w:val="both"/>
        <w:rPr>
          <w:sz w:val="22"/>
          <w:szCs w:val="22"/>
        </w:rPr>
      </w:pPr>
      <w:r w:rsidRPr="008C5402">
        <w:rPr>
          <w:b/>
          <w:sz w:val="22"/>
          <w:szCs w:val="22"/>
        </w:rPr>
        <w:t>2.-</w:t>
      </w:r>
      <w:r w:rsidRPr="008C5402">
        <w:rPr>
          <w:sz w:val="22"/>
          <w:szCs w:val="22"/>
        </w:rPr>
        <w:t xml:space="preserve"> A los efectos de que la Administración de la Comunidad Autónoma del País Vasco, como entidad ejecutora del PRTR, pueda certificar o acreditar los gastos de las actuaciones definidas en el presente Convenio ante las autoridades competentes, </w:t>
      </w:r>
      <w:r w:rsidR="000979FD" w:rsidRPr="000979FD">
        <w:rPr>
          <w:sz w:val="22"/>
          <w:szCs w:val="22"/>
        </w:rPr>
        <w:t xml:space="preserve">la </w:t>
      </w:r>
      <w:r w:rsidR="00956A4A">
        <w:rPr>
          <w:sz w:val="22"/>
          <w:szCs w:val="22"/>
        </w:rPr>
        <w:t xml:space="preserve">Diputación Foral de </w:t>
      </w:r>
      <w:r w:rsidR="00BB02AA">
        <w:rPr>
          <w:sz w:val="22"/>
          <w:szCs w:val="22"/>
        </w:rPr>
        <w:t>Álava</w:t>
      </w:r>
      <w:r w:rsidR="00BB02AA" w:rsidRPr="008C5402">
        <w:rPr>
          <w:sz w:val="22"/>
          <w:szCs w:val="22"/>
        </w:rPr>
        <w:t xml:space="preserve"> deberá</w:t>
      </w:r>
      <w:r w:rsidRPr="008C5402">
        <w:rPr>
          <w:sz w:val="22"/>
          <w:szCs w:val="22"/>
        </w:rPr>
        <w:t xml:space="preserve"> </w:t>
      </w:r>
      <w:r w:rsidRPr="008C5402">
        <w:rPr>
          <w:sz w:val="22"/>
          <w:szCs w:val="22"/>
        </w:rPr>
        <w:lastRenderedPageBreak/>
        <w:t>remitir cuanta información y documentos se les requiera, así como cumplir puntualmente con lo que pudiera disponerse por cualquier norma o reglamentación aplicable.</w:t>
      </w:r>
    </w:p>
    <w:p w14:paraId="7ED83348" w14:textId="77777777" w:rsidR="00927672" w:rsidRPr="008C5402" w:rsidRDefault="00927672" w:rsidP="009172B8">
      <w:pPr>
        <w:pStyle w:val="Piedepgina"/>
        <w:jc w:val="both"/>
        <w:rPr>
          <w:sz w:val="22"/>
          <w:szCs w:val="22"/>
        </w:rPr>
      </w:pPr>
    </w:p>
    <w:p w14:paraId="473448BE" w14:textId="77777777" w:rsidR="009172B8" w:rsidRPr="008C5402" w:rsidRDefault="009172B8" w:rsidP="009172B8">
      <w:pPr>
        <w:pStyle w:val="Piedepgina"/>
        <w:jc w:val="both"/>
        <w:rPr>
          <w:sz w:val="22"/>
          <w:szCs w:val="22"/>
        </w:rPr>
      </w:pPr>
      <w:r w:rsidRPr="008C5402">
        <w:rPr>
          <w:b/>
          <w:sz w:val="22"/>
          <w:szCs w:val="22"/>
        </w:rPr>
        <w:t>3.-</w:t>
      </w:r>
      <w:r w:rsidRPr="008C5402">
        <w:rPr>
          <w:sz w:val="22"/>
          <w:szCs w:val="22"/>
        </w:rPr>
        <w:t xml:space="preserve"> La Administración de la Comunidad Autónoma del País Vasco velará por que los proyectos adjudicados sean ejecutados conforme a los requisitos exigibles. Para ello, </w:t>
      </w:r>
      <w:r w:rsidR="000979FD" w:rsidRPr="000979FD">
        <w:rPr>
          <w:sz w:val="22"/>
          <w:szCs w:val="22"/>
        </w:rPr>
        <w:t xml:space="preserve">la </w:t>
      </w:r>
      <w:r w:rsidR="00956A4A">
        <w:rPr>
          <w:sz w:val="22"/>
          <w:szCs w:val="22"/>
        </w:rPr>
        <w:t>Diputación Foral de Álava</w:t>
      </w:r>
      <w:r w:rsidR="00927672">
        <w:rPr>
          <w:sz w:val="22"/>
          <w:szCs w:val="22"/>
        </w:rPr>
        <w:t xml:space="preserve"> </w:t>
      </w:r>
      <w:r w:rsidRPr="008C5402">
        <w:rPr>
          <w:sz w:val="22"/>
          <w:szCs w:val="22"/>
        </w:rPr>
        <w:t>solicitará a los adjudicatarios la documentación e información necesaria, a efectos de realizar un adecuado seguimiento de la ejecución de los proyectos, lo cual deberá estar contemplado en los pliegos.</w:t>
      </w:r>
    </w:p>
    <w:p w14:paraId="3BD776F7" w14:textId="77777777" w:rsidR="009172B8" w:rsidRPr="008C5402" w:rsidRDefault="009172B8" w:rsidP="009172B8">
      <w:pPr>
        <w:pStyle w:val="Piedepgina"/>
        <w:jc w:val="both"/>
        <w:rPr>
          <w:sz w:val="22"/>
          <w:szCs w:val="22"/>
        </w:rPr>
      </w:pPr>
    </w:p>
    <w:p w14:paraId="53FBC8AE" w14:textId="77777777" w:rsidR="009172B8" w:rsidRPr="008C5402" w:rsidRDefault="009172B8" w:rsidP="009172B8">
      <w:pPr>
        <w:pStyle w:val="Ttulo2"/>
      </w:pPr>
      <w:r w:rsidRPr="008C5402">
        <w:t>Octava. - Comisión de Seguimiento de las actuaciones.</w:t>
      </w:r>
    </w:p>
    <w:p w14:paraId="7D4EAB13" w14:textId="77777777" w:rsidR="009172B8" w:rsidRPr="008C5402" w:rsidRDefault="009172B8" w:rsidP="009172B8">
      <w:pPr>
        <w:pStyle w:val="Piedepgina"/>
        <w:tabs>
          <w:tab w:val="clear" w:pos="4819"/>
          <w:tab w:val="clear" w:pos="9071"/>
        </w:tabs>
        <w:jc w:val="both"/>
        <w:rPr>
          <w:sz w:val="22"/>
          <w:szCs w:val="22"/>
        </w:rPr>
      </w:pPr>
    </w:p>
    <w:p w14:paraId="4E05FF5F"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1.-</w:t>
      </w:r>
      <w:r w:rsidRPr="008C5402">
        <w:rPr>
          <w:sz w:val="22"/>
          <w:szCs w:val="22"/>
        </w:rPr>
        <w:t xml:space="preserve"> Se constituirá una Comisión de Seguimiento, compuesta por cuatro representantes, dos del Departamento de Planificación Territorial, Vivienda y Transportes de la Administración de la Comunidad Autónoma del País Vasco, y otros dos </w:t>
      </w:r>
      <w:r w:rsidR="000979FD">
        <w:rPr>
          <w:sz w:val="22"/>
          <w:szCs w:val="22"/>
        </w:rPr>
        <w:t xml:space="preserve">de </w:t>
      </w:r>
      <w:r w:rsidR="000979FD" w:rsidRPr="000979FD">
        <w:rPr>
          <w:sz w:val="22"/>
          <w:szCs w:val="22"/>
        </w:rPr>
        <w:t xml:space="preserve">la </w:t>
      </w:r>
      <w:r w:rsidR="00956A4A">
        <w:rPr>
          <w:sz w:val="22"/>
          <w:szCs w:val="22"/>
        </w:rPr>
        <w:t>Diputación Foral de Álava</w:t>
      </w:r>
      <w:r w:rsidRPr="008C5402">
        <w:rPr>
          <w:sz w:val="22"/>
          <w:szCs w:val="22"/>
        </w:rPr>
        <w:t>, que serán designados, respectivamente, por las partes firmantes del presente Convenio, para el desempeño de las siguientes funciones:</w:t>
      </w:r>
    </w:p>
    <w:p w14:paraId="5722C8EF" w14:textId="77777777" w:rsidR="009172B8" w:rsidRPr="008C5402" w:rsidRDefault="009172B8" w:rsidP="009172B8">
      <w:pPr>
        <w:pStyle w:val="Piedepgina"/>
        <w:tabs>
          <w:tab w:val="clear" w:pos="4819"/>
          <w:tab w:val="clear" w:pos="9071"/>
        </w:tabs>
        <w:jc w:val="both"/>
        <w:rPr>
          <w:sz w:val="22"/>
          <w:szCs w:val="22"/>
        </w:rPr>
      </w:pPr>
    </w:p>
    <w:p w14:paraId="6C836877" w14:textId="77777777" w:rsidR="009172B8" w:rsidRPr="008C5402" w:rsidRDefault="009172B8" w:rsidP="009172B8">
      <w:pPr>
        <w:pStyle w:val="Piedepgina"/>
        <w:numPr>
          <w:ilvl w:val="0"/>
          <w:numId w:val="8"/>
        </w:numPr>
        <w:tabs>
          <w:tab w:val="clear" w:pos="4819"/>
          <w:tab w:val="clear" w:pos="9071"/>
        </w:tabs>
        <w:spacing w:after="60"/>
        <w:ind w:left="357" w:hanging="357"/>
        <w:jc w:val="both"/>
        <w:rPr>
          <w:sz w:val="22"/>
          <w:szCs w:val="22"/>
        </w:rPr>
      </w:pPr>
      <w:r w:rsidRPr="008C5402">
        <w:rPr>
          <w:sz w:val="22"/>
          <w:szCs w:val="22"/>
        </w:rPr>
        <w:t>Llevar a cabo el seguimiento de la normal ejecución de las actuaciones previstas en el presente Convenio, determinando los criterios y modos para posibilitar la mutua información y adecuado cumplimiento de los compromisos respectivos.</w:t>
      </w:r>
    </w:p>
    <w:p w14:paraId="084B8FCD" w14:textId="77777777" w:rsidR="00A3112E" w:rsidRPr="008C5402" w:rsidRDefault="009172B8" w:rsidP="00107454">
      <w:pPr>
        <w:pStyle w:val="Piedepgina"/>
        <w:numPr>
          <w:ilvl w:val="0"/>
          <w:numId w:val="8"/>
        </w:numPr>
        <w:tabs>
          <w:tab w:val="clear" w:pos="4819"/>
          <w:tab w:val="clear" w:pos="9071"/>
        </w:tabs>
        <w:spacing w:after="60"/>
        <w:ind w:left="357" w:hanging="357"/>
        <w:jc w:val="both"/>
        <w:rPr>
          <w:sz w:val="22"/>
          <w:szCs w:val="22"/>
        </w:rPr>
      </w:pPr>
      <w:r w:rsidRPr="008C5402">
        <w:rPr>
          <w:sz w:val="22"/>
          <w:szCs w:val="22"/>
        </w:rPr>
        <w:t>Facilitar la remoción de los obstáculos que entorpezcan la celeridad de los trámites requeridos en cada caso.</w:t>
      </w:r>
    </w:p>
    <w:p w14:paraId="55D8549B" w14:textId="77777777" w:rsidR="009172B8" w:rsidRPr="008C5402" w:rsidRDefault="009172B8" w:rsidP="00107454">
      <w:pPr>
        <w:pStyle w:val="Piedepgina"/>
        <w:numPr>
          <w:ilvl w:val="0"/>
          <w:numId w:val="8"/>
        </w:numPr>
        <w:tabs>
          <w:tab w:val="clear" w:pos="4819"/>
          <w:tab w:val="clear" w:pos="9071"/>
        </w:tabs>
        <w:spacing w:after="60"/>
        <w:ind w:left="357" w:hanging="357"/>
        <w:jc w:val="both"/>
        <w:rPr>
          <w:sz w:val="22"/>
          <w:szCs w:val="22"/>
        </w:rPr>
      </w:pPr>
      <w:r w:rsidRPr="008C5402">
        <w:rPr>
          <w:sz w:val="22"/>
          <w:szCs w:val="22"/>
        </w:rPr>
        <w:t>Informar y proponer las medidas precisas para garantizar el cumplimiento de las actuaciones objeto del presente Convenio.</w:t>
      </w:r>
    </w:p>
    <w:p w14:paraId="6732B3CB" w14:textId="77777777" w:rsidR="009172B8" w:rsidRPr="008C5402" w:rsidRDefault="009172B8" w:rsidP="009172B8">
      <w:pPr>
        <w:pStyle w:val="Piedepgina"/>
        <w:numPr>
          <w:ilvl w:val="0"/>
          <w:numId w:val="8"/>
        </w:numPr>
        <w:tabs>
          <w:tab w:val="clear" w:pos="4819"/>
          <w:tab w:val="clear" w:pos="9071"/>
        </w:tabs>
        <w:jc w:val="both"/>
        <w:rPr>
          <w:sz w:val="22"/>
          <w:szCs w:val="22"/>
        </w:rPr>
      </w:pPr>
      <w:r w:rsidRPr="008C5402">
        <w:rPr>
          <w:sz w:val="22"/>
          <w:szCs w:val="22"/>
        </w:rPr>
        <w:t>Procurar la resolución de los problemas de interpretación y ejecución que pueda plantear el Convenio.</w:t>
      </w:r>
    </w:p>
    <w:p w14:paraId="1F286BC2" w14:textId="77777777" w:rsidR="009172B8" w:rsidRPr="008C5402" w:rsidRDefault="009172B8" w:rsidP="009172B8">
      <w:pPr>
        <w:pStyle w:val="Piedepgina"/>
        <w:tabs>
          <w:tab w:val="clear" w:pos="4819"/>
          <w:tab w:val="clear" w:pos="9071"/>
        </w:tabs>
        <w:jc w:val="both"/>
        <w:rPr>
          <w:sz w:val="22"/>
          <w:szCs w:val="22"/>
        </w:rPr>
      </w:pPr>
    </w:p>
    <w:p w14:paraId="6CBAB25D"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Durante la vigencia del Convenio y a propuesta de cualquiera de las partes, la comisión se reunirá siempre que lo requiera la buena marcha de las actuaciones. Los acuerdos se adoptarán por mayoría de los asistentes debiendo estar presentes al menos el cincuenta por ciento de los representantes de cada parte.</w:t>
      </w:r>
    </w:p>
    <w:p w14:paraId="51597F2A" w14:textId="77777777" w:rsidR="009172B8" w:rsidRPr="008C5402" w:rsidRDefault="009172B8" w:rsidP="009172B8">
      <w:pPr>
        <w:pStyle w:val="Piedepgina"/>
        <w:tabs>
          <w:tab w:val="clear" w:pos="4819"/>
          <w:tab w:val="clear" w:pos="9071"/>
        </w:tabs>
        <w:jc w:val="both"/>
        <w:rPr>
          <w:sz w:val="22"/>
          <w:szCs w:val="22"/>
        </w:rPr>
      </w:pPr>
    </w:p>
    <w:p w14:paraId="71703EF4"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3.</w:t>
      </w:r>
      <w:r w:rsidRPr="008C5402">
        <w:rPr>
          <w:sz w:val="22"/>
          <w:szCs w:val="22"/>
        </w:rPr>
        <w:t>- En lo no previsto expresamente en el Convenio para la comisión de seguimiento, le será aplicable el régimen de los órganos colegiados regulado en la sección 3ª del capítulo II del Título Preliminar de la Ley 40/2015, de 1 de octubre, de Régimen Jurídico del Sector Público.</w:t>
      </w:r>
    </w:p>
    <w:p w14:paraId="7A2C0887" w14:textId="77777777" w:rsidR="009172B8" w:rsidRPr="008C5402" w:rsidRDefault="009172B8" w:rsidP="009172B8">
      <w:pPr>
        <w:pStyle w:val="Piedepgina"/>
        <w:tabs>
          <w:tab w:val="clear" w:pos="4819"/>
          <w:tab w:val="clear" w:pos="9071"/>
        </w:tabs>
        <w:jc w:val="both"/>
        <w:rPr>
          <w:sz w:val="22"/>
          <w:szCs w:val="22"/>
        </w:rPr>
      </w:pPr>
    </w:p>
    <w:p w14:paraId="065026D8" w14:textId="77777777" w:rsidR="009172B8" w:rsidRPr="008C5402" w:rsidRDefault="009172B8" w:rsidP="009172B8">
      <w:pPr>
        <w:pStyle w:val="Ttulo2"/>
      </w:pPr>
      <w:r w:rsidRPr="008C5402">
        <w:t>Novena. - Régimen e interpretación del Convenio.</w:t>
      </w:r>
    </w:p>
    <w:p w14:paraId="4BEEF36D" w14:textId="77777777" w:rsidR="009172B8" w:rsidRPr="008C5402" w:rsidRDefault="009172B8" w:rsidP="009172B8">
      <w:pPr>
        <w:pStyle w:val="Piedepgina"/>
        <w:tabs>
          <w:tab w:val="clear" w:pos="4819"/>
          <w:tab w:val="clear" w:pos="9071"/>
        </w:tabs>
        <w:jc w:val="both"/>
        <w:rPr>
          <w:sz w:val="22"/>
          <w:szCs w:val="22"/>
        </w:rPr>
      </w:pPr>
    </w:p>
    <w:p w14:paraId="28FD76F7"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1.-</w:t>
      </w:r>
      <w:r w:rsidRPr="008C5402">
        <w:rPr>
          <w:sz w:val="22"/>
          <w:szCs w:val="22"/>
        </w:rPr>
        <w:t xml:space="preserve"> El presente Convenio es de naturaleza administrativa, rigiéndose en su interpretación y desarrollo por el ordenamiento jurídico aplicable a los convenios.</w:t>
      </w:r>
    </w:p>
    <w:p w14:paraId="1EC99775" w14:textId="77777777" w:rsidR="009172B8" w:rsidRPr="008C5402" w:rsidRDefault="009172B8" w:rsidP="009172B8">
      <w:pPr>
        <w:pStyle w:val="Piedepgina"/>
        <w:tabs>
          <w:tab w:val="clear" w:pos="4819"/>
          <w:tab w:val="clear" w:pos="9071"/>
        </w:tabs>
        <w:jc w:val="both"/>
        <w:rPr>
          <w:sz w:val="22"/>
          <w:szCs w:val="22"/>
        </w:rPr>
      </w:pPr>
    </w:p>
    <w:p w14:paraId="36C4200C"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La resolución de los problemas de interpretación que pueda plantear el presente Convenio o su ejecución serán resueltos por la Comisión de Seguimiento según lo referido en la cláusula anterior; si no fuera posible serán dirimidos en los Juzgados y Tribunales del orden jurisdiccional de lo contencioso-administrativo conforme lo previsto en la cláusula duodécima.</w:t>
      </w:r>
    </w:p>
    <w:p w14:paraId="1D0E3D36" w14:textId="77777777" w:rsidR="009172B8" w:rsidRPr="008C5402" w:rsidRDefault="009172B8" w:rsidP="009172B8">
      <w:pPr>
        <w:pStyle w:val="Piedepgina"/>
        <w:tabs>
          <w:tab w:val="clear" w:pos="4819"/>
          <w:tab w:val="clear" w:pos="9071"/>
        </w:tabs>
        <w:jc w:val="both"/>
        <w:rPr>
          <w:sz w:val="22"/>
          <w:szCs w:val="22"/>
        </w:rPr>
      </w:pPr>
    </w:p>
    <w:p w14:paraId="464EF3B8" w14:textId="77777777" w:rsidR="009172B8" w:rsidRPr="008C5402" w:rsidRDefault="009172B8" w:rsidP="009172B8">
      <w:pPr>
        <w:pStyle w:val="Ttulo2"/>
      </w:pPr>
      <w:r w:rsidRPr="008C5402">
        <w:t>Décima. - Duración y extinción.</w:t>
      </w:r>
    </w:p>
    <w:p w14:paraId="5DE8AF09" w14:textId="77777777" w:rsidR="009172B8" w:rsidRPr="008C5402" w:rsidRDefault="009172B8" w:rsidP="009172B8">
      <w:pPr>
        <w:pStyle w:val="Piedepgina"/>
        <w:tabs>
          <w:tab w:val="clear" w:pos="4819"/>
          <w:tab w:val="clear" w:pos="9071"/>
        </w:tabs>
        <w:jc w:val="both"/>
        <w:rPr>
          <w:sz w:val="22"/>
          <w:szCs w:val="22"/>
        </w:rPr>
      </w:pPr>
    </w:p>
    <w:p w14:paraId="428FDA44"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lastRenderedPageBreak/>
        <w:t>1.-</w:t>
      </w:r>
      <w:r w:rsidRPr="008C5402">
        <w:rPr>
          <w:sz w:val="22"/>
          <w:szCs w:val="22"/>
        </w:rPr>
        <w:t xml:space="preserve"> El presente Convenio, que entrará en vigor el día de su firma, tendrá una duración de 24 meses en virtud de los establecido en el apartado 1º.h) del artículo 49 de la Ley 40/2015, de 1 de octubre, de Régimen Jurídico del Sector Público.</w:t>
      </w:r>
    </w:p>
    <w:p w14:paraId="23B52F0F" w14:textId="77777777" w:rsidR="009172B8" w:rsidRPr="008C5402" w:rsidRDefault="009172B8" w:rsidP="009172B8">
      <w:pPr>
        <w:pStyle w:val="Piedepgina"/>
        <w:tabs>
          <w:tab w:val="clear" w:pos="4819"/>
          <w:tab w:val="clear" w:pos="9071"/>
        </w:tabs>
        <w:jc w:val="both"/>
        <w:rPr>
          <w:sz w:val="22"/>
          <w:szCs w:val="22"/>
        </w:rPr>
      </w:pPr>
    </w:p>
    <w:p w14:paraId="78DB0972"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En cualquier momento anterior a la finalización del plazo previsto para su finalización, los firmantes del Convenio podrán acordar unánimemente su prórroga, por un periodo de hasta dos años adicionales, o su extinción.</w:t>
      </w:r>
    </w:p>
    <w:p w14:paraId="060640B2" w14:textId="77777777" w:rsidR="009172B8" w:rsidRPr="008C5402" w:rsidRDefault="009172B8" w:rsidP="009172B8">
      <w:pPr>
        <w:pStyle w:val="Piedepgina"/>
        <w:tabs>
          <w:tab w:val="clear" w:pos="4819"/>
          <w:tab w:val="clear" w:pos="9071"/>
        </w:tabs>
        <w:jc w:val="both"/>
        <w:rPr>
          <w:sz w:val="22"/>
          <w:szCs w:val="22"/>
        </w:rPr>
      </w:pPr>
    </w:p>
    <w:p w14:paraId="38EC9DE5"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3.-</w:t>
      </w:r>
      <w:r w:rsidRPr="008C5402">
        <w:rPr>
          <w:sz w:val="22"/>
          <w:szCs w:val="22"/>
        </w:rPr>
        <w:t xml:space="preserve"> El presente Convenio se extingue por el cumplimiento de las actuaciones que constituyen su objeto o por incurrir en alguna de las causas de resolución previstas en el apartado 2 del artículo 51 de la Ley 40/2015, de 1 de octubre, de régimen Jurídico del Sector Público.</w:t>
      </w:r>
    </w:p>
    <w:p w14:paraId="68721AA1" w14:textId="77777777" w:rsidR="009172B8" w:rsidRPr="008C5402" w:rsidRDefault="009172B8" w:rsidP="009172B8">
      <w:pPr>
        <w:pStyle w:val="Piedepgina"/>
        <w:tabs>
          <w:tab w:val="clear" w:pos="4819"/>
          <w:tab w:val="clear" w:pos="9071"/>
        </w:tabs>
        <w:jc w:val="both"/>
        <w:rPr>
          <w:sz w:val="22"/>
          <w:szCs w:val="22"/>
        </w:rPr>
      </w:pPr>
    </w:p>
    <w:p w14:paraId="7C74746B" w14:textId="77777777" w:rsidR="009172B8" w:rsidRPr="008C5402" w:rsidRDefault="009172B8" w:rsidP="009172B8">
      <w:pPr>
        <w:pStyle w:val="Piedepgina"/>
        <w:tabs>
          <w:tab w:val="clear" w:pos="4819"/>
          <w:tab w:val="clear" w:pos="9071"/>
        </w:tabs>
        <w:jc w:val="both"/>
        <w:rPr>
          <w:sz w:val="22"/>
          <w:szCs w:val="22"/>
        </w:rPr>
      </w:pPr>
      <w:r w:rsidRPr="008C5402">
        <w:rPr>
          <w:b/>
          <w:sz w:val="22"/>
          <w:szCs w:val="22"/>
        </w:rPr>
        <w:t>4.-</w:t>
      </w:r>
      <w:r w:rsidRPr="008C5402">
        <w:rPr>
          <w:sz w:val="22"/>
          <w:szCs w:val="22"/>
        </w:rPr>
        <w:t xml:space="preserve"> El incumplimiento por alguna de las partes de los compromisos asumidos facultará a la otra para solicitar la resolución del Convenio. </w:t>
      </w:r>
    </w:p>
    <w:p w14:paraId="1AA31639" w14:textId="77777777" w:rsidR="009172B8" w:rsidRPr="008C5402" w:rsidRDefault="009172B8" w:rsidP="009172B8">
      <w:pPr>
        <w:pStyle w:val="Piedepgina"/>
        <w:tabs>
          <w:tab w:val="clear" w:pos="4819"/>
          <w:tab w:val="clear" w:pos="9071"/>
        </w:tabs>
        <w:jc w:val="both"/>
        <w:rPr>
          <w:sz w:val="22"/>
          <w:szCs w:val="22"/>
        </w:rPr>
      </w:pPr>
    </w:p>
    <w:p w14:paraId="7D984B2A" w14:textId="77777777" w:rsidR="009172B8" w:rsidRPr="008C5402" w:rsidRDefault="009172B8" w:rsidP="009172B8">
      <w:pPr>
        <w:pStyle w:val="Ttulo2"/>
      </w:pPr>
      <w:r w:rsidRPr="008C5402">
        <w:t>Undécima. - Reintegro y responsabilidad.</w:t>
      </w:r>
    </w:p>
    <w:p w14:paraId="56888EE1" w14:textId="77777777" w:rsidR="009172B8" w:rsidRPr="008C5402" w:rsidRDefault="009172B8" w:rsidP="009172B8">
      <w:pPr>
        <w:rPr>
          <w:sz w:val="22"/>
          <w:szCs w:val="22"/>
          <w:lang w:val="es-ES_tradnl"/>
        </w:rPr>
      </w:pPr>
    </w:p>
    <w:p w14:paraId="4FDE3B0F" w14:textId="77777777" w:rsidR="009172B8" w:rsidRPr="008C5402" w:rsidRDefault="009172B8" w:rsidP="009172B8">
      <w:pPr>
        <w:pStyle w:val="Piedepgina"/>
        <w:jc w:val="both"/>
        <w:rPr>
          <w:sz w:val="22"/>
          <w:szCs w:val="22"/>
        </w:rPr>
      </w:pPr>
      <w:r w:rsidRPr="008C5402">
        <w:rPr>
          <w:b/>
          <w:sz w:val="22"/>
          <w:szCs w:val="22"/>
        </w:rPr>
        <w:t>1.-</w:t>
      </w:r>
      <w:r w:rsidRPr="008C5402">
        <w:rPr>
          <w:sz w:val="22"/>
          <w:szCs w:val="22"/>
        </w:rPr>
        <w:t xml:space="preserve"> El incumplimiento por parte</w:t>
      </w:r>
      <w:r w:rsidR="000979FD">
        <w:rPr>
          <w:sz w:val="22"/>
          <w:szCs w:val="22"/>
        </w:rPr>
        <w:t xml:space="preserve"> de</w:t>
      </w:r>
      <w:r w:rsidRPr="008C5402">
        <w:rPr>
          <w:sz w:val="22"/>
          <w:szCs w:val="22"/>
        </w:rPr>
        <w:t xml:space="preserve"> </w:t>
      </w:r>
      <w:r w:rsidR="000979FD" w:rsidRPr="000979FD">
        <w:rPr>
          <w:sz w:val="22"/>
          <w:szCs w:val="22"/>
        </w:rPr>
        <w:t xml:space="preserve">la </w:t>
      </w:r>
      <w:r w:rsidR="00956A4A">
        <w:rPr>
          <w:sz w:val="22"/>
          <w:szCs w:val="22"/>
        </w:rPr>
        <w:t>Diputación Foral de Álava</w:t>
      </w:r>
      <w:r w:rsidR="00927672">
        <w:rPr>
          <w:sz w:val="22"/>
          <w:szCs w:val="22"/>
        </w:rPr>
        <w:t xml:space="preserve"> </w:t>
      </w:r>
      <w:r w:rsidRPr="008C5402">
        <w:rPr>
          <w:sz w:val="22"/>
          <w:szCs w:val="22"/>
        </w:rPr>
        <w:t>de las obligaciones del presente convenio y, en particular, la no certificación de los gastos que sean subvencionables podrá dar lugar, en caso de no subsanarse, al inicio de un procedimiento de reintegro por la totalidad de las cantidades percibidas y a la exigencia del interés de demora correspondiente desde el momento del pago de la subvención, de acuerdo con lo establecido en el artículo 37 de la Ley 38/2003, de 17 de noviembre y en las demás normas reguladoras del control de cumplimiento de las subvenciones.</w:t>
      </w:r>
    </w:p>
    <w:p w14:paraId="1B8C88D1" w14:textId="77777777" w:rsidR="009172B8" w:rsidRPr="008C5402" w:rsidRDefault="009172B8" w:rsidP="009172B8">
      <w:pPr>
        <w:pStyle w:val="Piedepgina"/>
        <w:jc w:val="both"/>
        <w:rPr>
          <w:sz w:val="22"/>
          <w:szCs w:val="22"/>
        </w:rPr>
      </w:pPr>
    </w:p>
    <w:p w14:paraId="79696FA5" w14:textId="77777777" w:rsidR="009172B8" w:rsidRPr="008C5402" w:rsidRDefault="009172B8" w:rsidP="009172B8">
      <w:pPr>
        <w:pStyle w:val="Piedepgina"/>
        <w:jc w:val="both"/>
        <w:rPr>
          <w:sz w:val="22"/>
          <w:szCs w:val="22"/>
        </w:rPr>
      </w:pPr>
      <w:r w:rsidRPr="008C5402">
        <w:rPr>
          <w:b/>
          <w:sz w:val="22"/>
          <w:szCs w:val="22"/>
        </w:rPr>
        <w:t>2.-</w:t>
      </w:r>
      <w:r w:rsidRPr="008C5402">
        <w:rPr>
          <w:sz w:val="22"/>
          <w:szCs w:val="22"/>
        </w:rPr>
        <w:t xml:space="preserve"> En caso de cualquier incumplimiento </w:t>
      </w:r>
      <w:r w:rsidR="000979FD">
        <w:rPr>
          <w:sz w:val="22"/>
          <w:szCs w:val="22"/>
        </w:rPr>
        <w:t xml:space="preserve">de </w:t>
      </w:r>
      <w:r w:rsidR="000979FD" w:rsidRPr="000979FD">
        <w:rPr>
          <w:sz w:val="22"/>
          <w:szCs w:val="22"/>
        </w:rPr>
        <w:t xml:space="preserve">la </w:t>
      </w:r>
      <w:r w:rsidR="00956A4A">
        <w:rPr>
          <w:sz w:val="22"/>
          <w:szCs w:val="22"/>
        </w:rPr>
        <w:t>Diputación Foral de Álava</w:t>
      </w:r>
      <w:r w:rsidR="00927672">
        <w:rPr>
          <w:sz w:val="22"/>
          <w:szCs w:val="22"/>
        </w:rPr>
        <w:t xml:space="preserve"> </w:t>
      </w:r>
      <w:r w:rsidRPr="008C5402">
        <w:rPr>
          <w:sz w:val="22"/>
          <w:szCs w:val="22"/>
        </w:rPr>
        <w:t xml:space="preserve">constatado en el desarrollo de las actuaciones de control de la autoridad autonómica, nacional o de instituciones comunitarias que dé lugar a una merma en el retorno de Fondos, esta responsabilidad se trasladará </w:t>
      </w:r>
      <w:r w:rsidR="00847646">
        <w:rPr>
          <w:sz w:val="22"/>
          <w:szCs w:val="22"/>
        </w:rPr>
        <w:t xml:space="preserve">a </w:t>
      </w:r>
      <w:r w:rsidR="00847646" w:rsidRPr="00847646">
        <w:rPr>
          <w:sz w:val="22"/>
          <w:szCs w:val="22"/>
        </w:rPr>
        <w:t xml:space="preserve">la </w:t>
      </w:r>
      <w:r w:rsidR="00956A4A">
        <w:rPr>
          <w:sz w:val="22"/>
          <w:szCs w:val="22"/>
        </w:rPr>
        <w:t>Diputación Foral de Álava</w:t>
      </w:r>
      <w:r w:rsidRPr="008C5402">
        <w:rPr>
          <w:sz w:val="22"/>
          <w:szCs w:val="22"/>
        </w:rPr>
        <w:t>, en aplicación de lo señalado en el artículo 7 de la Ley 38/2003, de 17 de noviembre.</w:t>
      </w:r>
    </w:p>
    <w:p w14:paraId="5CED1635" w14:textId="77777777" w:rsidR="009723A2" w:rsidRDefault="009723A2" w:rsidP="009172B8">
      <w:pPr>
        <w:pStyle w:val="Piedepgina"/>
        <w:tabs>
          <w:tab w:val="clear" w:pos="4819"/>
          <w:tab w:val="clear" w:pos="9071"/>
        </w:tabs>
        <w:jc w:val="both"/>
        <w:rPr>
          <w:sz w:val="22"/>
          <w:szCs w:val="22"/>
        </w:rPr>
      </w:pPr>
    </w:p>
    <w:p w14:paraId="0E79E678" w14:textId="77777777" w:rsidR="0007473E" w:rsidRDefault="0007473E" w:rsidP="009172B8">
      <w:pPr>
        <w:pStyle w:val="Piedepgina"/>
        <w:tabs>
          <w:tab w:val="clear" w:pos="4819"/>
          <w:tab w:val="clear" w:pos="9071"/>
        </w:tabs>
        <w:jc w:val="both"/>
        <w:rPr>
          <w:sz w:val="22"/>
          <w:szCs w:val="22"/>
        </w:rPr>
      </w:pPr>
    </w:p>
    <w:p w14:paraId="758B3CB1" w14:textId="77777777" w:rsidR="0007473E" w:rsidRPr="008C5402" w:rsidRDefault="0007473E" w:rsidP="009172B8">
      <w:pPr>
        <w:pStyle w:val="Piedepgina"/>
        <w:tabs>
          <w:tab w:val="clear" w:pos="4819"/>
          <w:tab w:val="clear" w:pos="9071"/>
        </w:tabs>
        <w:jc w:val="both"/>
        <w:rPr>
          <w:sz w:val="22"/>
          <w:szCs w:val="22"/>
        </w:rPr>
      </w:pPr>
    </w:p>
    <w:p w14:paraId="79A44DDB" w14:textId="77777777" w:rsidR="009172B8" w:rsidRPr="008C5402" w:rsidRDefault="009172B8" w:rsidP="009172B8">
      <w:pPr>
        <w:pStyle w:val="Ttulo2"/>
      </w:pPr>
      <w:r w:rsidRPr="008C5402">
        <w:t>Duodécima. - Modificación del Convenio.</w:t>
      </w:r>
    </w:p>
    <w:p w14:paraId="2F4BB8A1" w14:textId="77777777" w:rsidR="009172B8" w:rsidRPr="008C5402" w:rsidRDefault="009172B8" w:rsidP="009172B8">
      <w:pPr>
        <w:pStyle w:val="Piedepgina"/>
        <w:tabs>
          <w:tab w:val="clear" w:pos="4819"/>
          <w:tab w:val="clear" w:pos="9071"/>
        </w:tabs>
        <w:jc w:val="both"/>
        <w:rPr>
          <w:sz w:val="22"/>
          <w:szCs w:val="22"/>
        </w:rPr>
      </w:pPr>
    </w:p>
    <w:p w14:paraId="06F6CBE3" w14:textId="77777777" w:rsidR="009172B8" w:rsidRDefault="009172B8" w:rsidP="009172B8">
      <w:pPr>
        <w:jc w:val="both"/>
        <w:rPr>
          <w:sz w:val="22"/>
          <w:szCs w:val="22"/>
        </w:rPr>
      </w:pPr>
      <w:r w:rsidRPr="008C5402">
        <w:rPr>
          <w:sz w:val="22"/>
          <w:szCs w:val="22"/>
        </w:rPr>
        <w:t>El presente Convenio podrá ser modificado previo acuerdo unánime de las instituciones firmantes del mismo, mediante la tramitación y suscripción del correspondiente documento de modificación.</w:t>
      </w:r>
    </w:p>
    <w:p w14:paraId="44F87D4F" w14:textId="77777777" w:rsidR="00927672" w:rsidRPr="008C5402" w:rsidRDefault="00927672" w:rsidP="009172B8">
      <w:pPr>
        <w:jc w:val="both"/>
        <w:rPr>
          <w:sz w:val="22"/>
          <w:szCs w:val="22"/>
        </w:rPr>
      </w:pPr>
    </w:p>
    <w:p w14:paraId="0BEC223C" w14:textId="77777777" w:rsidR="009172B8" w:rsidRPr="008C5402" w:rsidRDefault="009172B8" w:rsidP="009172B8">
      <w:pPr>
        <w:pStyle w:val="Piedepgina"/>
        <w:tabs>
          <w:tab w:val="clear" w:pos="4819"/>
          <w:tab w:val="clear" w:pos="9071"/>
        </w:tabs>
        <w:jc w:val="both"/>
        <w:rPr>
          <w:sz w:val="22"/>
          <w:szCs w:val="22"/>
        </w:rPr>
      </w:pPr>
    </w:p>
    <w:p w14:paraId="7CEA05CD" w14:textId="77777777" w:rsidR="009172B8" w:rsidRPr="008C5402" w:rsidRDefault="009172B8" w:rsidP="009172B8">
      <w:pPr>
        <w:pStyle w:val="Ttulo2"/>
      </w:pPr>
      <w:r w:rsidRPr="008C5402">
        <w:t>Decimotercera. - Régimen jurídico.</w:t>
      </w:r>
    </w:p>
    <w:p w14:paraId="38ED778B" w14:textId="77777777" w:rsidR="009172B8" w:rsidRPr="008C5402" w:rsidRDefault="009172B8" w:rsidP="009172B8">
      <w:pPr>
        <w:pStyle w:val="Piedepgina"/>
        <w:tabs>
          <w:tab w:val="clear" w:pos="4819"/>
          <w:tab w:val="clear" w:pos="9071"/>
        </w:tabs>
        <w:jc w:val="both"/>
        <w:rPr>
          <w:sz w:val="22"/>
          <w:szCs w:val="22"/>
        </w:rPr>
      </w:pPr>
    </w:p>
    <w:p w14:paraId="090FE2E5" w14:textId="77777777" w:rsidR="009172B8" w:rsidRDefault="009172B8" w:rsidP="009172B8">
      <w:pPr>
        <w:pStyle w:val="Piedepgina"/>
        <w:tabs>
          <w:tab w:val="clear" w:pos="4819"/>
          <w:tab w:val="clear" w:pos="9071"/>
        </w:tabs>
        <w:jc w:val="both"/>
        <w:rPr>
          <w:sz w:val="22"/>
          <w:szCs w:val="22"/>
        </w:rPr>
      </w:pPr>
      <w:r w:rsidRPr="008C5402">
        <w:rPr>
          <w:b/>
          <w:sz w:val="22"/>
          <w:szCs w:val="22"/>
        </w:rPr>
        <w:t>1.-</w:t>
      </w:r>
      <w:r w:rsidRPr="008C5402">
        <w:rPr>
          <w:sz w:val="22"/>
          <w:szCs w:val="22"/>
        </w:rPr>
        <w:t xml:space="preserve"> Al presente Convenio le serán aplicables las disposiciones establecidas en el ordenamiento jurídico en vigor, especialmente las disposiciones contenidas en la ley 40/2015, de 1 de octubre, de Régimen Jurídico del Sector Público.</w:t>
      </w:r>
    </w:p>
    <w:p w14:paraId="41802509" w14:textId="77777777" w:rsidR="005C274F" w:rsidRDefault="005C274F" w:rsidP="009172B8">
      <w:pPr>
        <w:pStyle w:val="Piedepgina"/>
        <w:tabs>
          <w:tab w:val="clear" w:pos="4819"/>
          <w:tab w:val="clear" w:pos="9071"/>
        </w:tabs>
        <w:jc w:val="both"/>
        <w:rPr>
          <w:sz w:val="22"/>
          <w:szCs w:val="22"/>
        </w:rPr>
      </w:pPr>
    </w:p>
    <w:p w14:paraId="6C19ACCC" w14:textId="77777777" w:rsidR="005C274F" w:rsidRPr="008C5402" w:rsidRDefault="005C274F" w:rsidP="009172B8">
      <w:pPr>
        <w:pStyle w:val="Piedepgina"/>
        <w:tabs>
          <w:tab w:val="clear" w:pos="4819"/>
          <w:tab w:val="clear" w:pos="9071"/>
        </w:tabs>
        <w:jc w:val="both"/>
        <w:rPr>
          <w:sz w:val="22"/>
          <w:szCs w:val="22"/>
        </w:rPr>
      </w:pPr>
      <w:r w:rsidRPr="008C5402">
        <w:rPr>
          <w:b/>
          <w:sz w:val="22"/>
          <w:szCs w:val="22"/>
        </w:rPr>
        <w:t>2.-</w:t>
      </w:r>
      <w:r w:rsidRPr="008C5402">
        <w:rPr>
          <w:sz w:val="22"/>
          <w:szCs w:val="22"/>
        </w:rPr>
        <w:t xml:space="preserve"> </w:t>
      </w:r>
      <w:r>
        <w:rPr>
          <w:sz w:val="22"/>
          <w:szCs w:val="22"/>
        </w:rPr>
        <w:t>Adicionalmente, deberá observar cuanto se disponga en la normativa reguladora del MRR y, en especial lo dispuesto en</w:t>
      </w:r>
      <w:r w:rsidRPr="00AC42B1">
        <w:rPr>
          <w:sz w:val="22"/>
          <w:szCs w:val="22"/>
        </w:rPr>
        <w:t xml:space="preserve"> el Acuerdo de 5 de noviembre de la Conferencia Nacional de transportes</w:t>
      </w:r>
      <w:r w:rsidRPr="008C5402">
        <w:rPr>
          <w:sz w:val="22"/>
          <w:szCs w:val="22"/>
        </w:rPr>
        <w:t xml:space="preserve"> por el que se fijan los criterios de distribución territorial de créditos presupuestarios de los ejercicios 2021 y 2022 para la financiación de actuaciones de inve</w:t>
      </w:r>
      <w:r>
        <w:rPr>
          <w:sz w:val="22"/>
          <w:szCs w:val="22"/>
        </w:rPr>
        <w:t xml:space="preserve">rsión en el marco de los </w:t>
      </w:r>
      <w:r>
        <w:rPr>
          <w:sz w:val="22"/>
          <w:szCs w:val="22"/>
        </w:rPr>
        <w:lastRenderedPageBreak/>
        <w:t xml:space="preserve">componentes 1 y 6 del PRTR, el </w:t>
      </w:r>
      <w:r w:rsidRPr="00AC42B1">
        <w:rPr>
          <w:sz w:val="22"/>
          <w:szCs w:val="22"/>
        </w:rPr>
        <w:t>Real Decreto-ley 36/2020, de 30 de diciembre, por el que se aprueban medidas urgentes para la modernización de la Administración Pública y para la ejecución del Plan de Recuperación, Transformación y Resiliencia, el Reglamento (UE) 2021/241 del Parlamento Europeo y del Consejo de 12 de febrero de 2021 por el que se establece el Mecanismo de Recuperación y Resiliencia, la Orden HFP 1030/2021, de 29 de septiembre, por la que se configura el sistema de gestión del Plan de Recuperación, Transformación y Resiliencia, la Orden HFP 1031/2021, de 29 de septiembre, por la que se establece el procedimiento y formato de la información a proporcionar por las Entidades del Sector Público Estatal, Autonómico y Local para el seguimiento del cumplimiento de hitos y objetivos y de ejecución presupuestaria y contable de las medidas de los componentes del Plan de Recuperación, Transformación y Resiliencia, la Ley 11/2021, de 23 de diciembre, por la que se aprueban los Presupuestos Generales de la Comunidad Autónoma de Euskadi para el ejercicio 2022. Título II, Capítulo V Gestión de los fondos vinculados al Plan de Recuperación, Transformación y Resiliencia y el Acuerdo de Consejo de Gobierno, de 8 de febrero, en relación con la ejecución presupuestaria y contable, gestión y seguimiento de las actuaciones y proyectos vinculados al Plan de Recuperación, Transformación y Resiliencia.</w:t>
      </w:r>
    </w:p>
    <w:p w14:paraId="300708D8" w14:textId="77777777" w:rsidR="009172B8" w:rsidRPr="008C5402" w:rsidRDefault="009172B8" w:rsidP="009172B8">
      <w:pPr>
        <w:pStyle w:val="Piedepgina"/>
        <w:tabs>
          <w:tab w:val="clear" w:pos="4819"/>
          <w:tab w:val="clear" w:pos="9071"/>
        </w:tabs>
        <w:jc w:val="both"/>
        <w:rPr>
          <w:sz w:val="22"/>
          <w:szCs w:val="22"/>
        </w:rPr>
      </w:pPr>
    </w:p>
    <w:p w14:paraId="18EB0E54" w14:textId="77777777" w:rsidR="009172B8" w:rsidRPr="008C5402" w:rsidRDefault="005C274F" w:rsidP="009172B8">
      <w:pPr>
        <w:pStyle w:val="Piedepgina"/>
        <w:tabs>
          <w:tab w:val="clear" w:pos="4819"/>
          <w:tab w:val="clear" w:pos="9071"/>
        </w:tabs>
        <w:jc w:val="both"/>
        <w:rPr>
          <w:sz w:val="22"/>
          <w:szCs w:val="22"/>
        </w:rPr>
      </w:pPr>
      <w:r>
        <w:rPr>
          <w:b/>
          <w:sz w:val="22"/>
          <w:szCs w:val="22"/>
        </w:rPr>
        <w:t>3</w:t>
      </w:r>
      <w:r w:rsidR="009172B8" w:rsidRPr="008C5402">
        <w:rPr>
          <w:b/>
          <w:sz w:val="22"/>
          <w:szCs w:val="22"/>
        </w:rPr>
        <w:t>.-</w:t>
      </w:r>
      <w:r w:rsidR="009172B8" w:rsidRPr="008C5402">
        <w:rPr>
          <w:sz w:val="22"/>
          <w:szCs w:val="22"/>
        </w:rPr>
        <w:t xml:space="preserve"> Las cuestiones litigiosas que surjan entre las partes durante el desarrollo y ejecución de este Convenio y que no puedan ser resueltas por la Comisión de Seguimiento prevista en la cláusula octava del presente documento se someterán a la jurisdicción contencioso-administrativa, conforme a lo dispuesto en la Ley 29/1998, de 13 de julio, reguladora de la Jurisdicción Contencioso-Administrativa. </w:t>
      </w:r>
    </w:p>
    <w:p w14:paraId="0C91676A" w14:textId="77777777" w:rsidR="009172B8" w:rsidRPr="008C5402" w:rsidRDefault="009172B8" w:rsidP="009172B8">
      <w:pPr>
        <w:pStyle w:val="Piedepgina"/>
        <w:tabs>
          <w:tab w:val="clear" w:pos="4819"/>
          <w:tab w:val="clear" w:pos="9071"/>
        </w:tabs>
        <w:jc w:val="both"/>
        <w:rPr>
          <w:sz w:val="22"/>
          <w:szCs w:val="22"/>
        </w:rPr>
      </w:pPr>
    </w:p>
    <w:p w14:paraId="4138F824" w14:textId="77777777" w:rsidR="009172B8" w:rsidRPr="008C5402" w:rsidRDefault="009172B8" w:rsidP="009172B8">
      <w:pPr>
        <w:pStyle w:val="Piedepgina"/>
        <w:tabs>
          <w:tab w:val="clear" w:pos="4819"/>
          <w:tab w:val="clear" w:pos="9071"/>
        </w:tabs>
        <w:jc w:val="both"/>
        <w:rPr>
          <w:sz w:val="22"/>
          <w:szCs w:val="22"/>
        </w:rPr>
      </w:pPr>
    </w:p>
    <w:p w14:paraId="4194647B" w14:textId="77777777" w:rsidR="009172B8" w:rsidRPr="008C5402" w:rsidRDefault="009172B8" w:rsidP="009172B8">
      <w:pPr>
        <w:pStyle w:val="Piedepgina"/>
        <w:tabs>
          <w:tab w:val="clear" w:pos="4819"/>
          <w:tab w:val="clear" w:pos="9071"/>
        </w:tabs>
        <w:jc w:val="both"/>
        <w:rPr>
          <w:sz w:val="22"/>
          <w:szCs w:val="22"/>
        </w:rPr>
      </w:pPr>
      <w:r w:rsidRPr="008C5402">
        <w:rPr>
          <w:sz w:val="22"/>
          <w:szCs w:val="22"/>
        </w:rPr>
        <w:t>Y en prueba de conformidad con lo establecido, firman los comparecientes, por duplicado, en el lugar y fecha señalados.</w:t>
      </w:r>
    </w:p>
    <w:p w14:paraId="74DF8FA2" w14:textId="77777777" w:rsidR="009172B8" w:rsidRPr="008C5402" w:rsidRDefault="009172B8" w:rsidP="009172B8">
      <w:pPr>
        <w:pStyle w:val="Piedepgina"/>
        <w:tabs>
          <w:tab w:val="clear" w:pos="4819"/>
          <w:tab w:val="clear" w:pos="9071"/>
        </w:tabs>
        <w:jc w:val="both"/>
        <w:rPr>
          <w:sz w:val="22"/>
          <w:szCs w:val="22"/>
        </w:rPr>
      </w:pPr>
    </w:p>
    <w:p w14:paraId="3F962899" w14:textId="77777777" w:rsidR="009172B8" w:rsidRPr="008C5402" w:rsidRDefault="009172B8" w:rsidP="009172B8">
      <w:pPr>
        <w:pStyle w:val="Piedepgina"/>
        <w:tabs>
          <w:tab w:val="clear" w:pos="4819"/>
          <w:tab w:val="clear" w:pos="9071"/>
        </w:tabs>
        <w:jc w:val="both"/>
        <w:rPr>
          <w:sz w:val="22"/>
          <w:szCs w:val="22"/>
        </w:rPr>
      </w:pPr>
    </w:p>
    <w:tbl>
      <w:tblPr>
        <w:tblW w:w="0" w:type="auto"/>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2"/>
        <w:gridCol w:w="4283"/>
      </w:tblGrid>
      <w:tr w:rsidR="009172B8" w:rsidRPr="008C5402" w14:paraId="4F19228F" w14:textId="77777777" w:rsidTr="0037103F">
        <w:trPr>
          <w:cantSplit/>
          <w:jc w:val="center"/>
        </w:trPr>
        <w:tc>
          <w:tcPr>
            <w:tcW w:w="4282" w:type="dxa"/>
            <w:tcBorders>
              <w:right w:val="nil"/>
            </w:tcBorders>
          </w:tcPr>
          <w:p w14:paraId="7EA03B09" w14:textId="77777777" w:rsidR="009172B8" w:rsidRPr="008C5402" w:rsidRDefault="009172B8" w:rsidP="0037103F">
            <w:pPr>
              <w:pStyle w:val="Piedepgina"/>
              <w:tabs>
                <w:tab w:val="clear" w:pos="4819"/>
                <w:tab w:val="clear" w:pos="9071"/>
              </w:tabs>
              <w:rPr>
                <w:sz w:val="22"/>
                <w:szCs w:val="22"/>
              </w:rPr>
            </w:pPr>
            <w:r w:rsidRPr="008C5402">
              <w:rPr>
                <w:sz w:val="22"/>
                <w:szCs w:val="22"/>
              </w:rPr>
              <w:t>El Consejero de Planificación Territorial, Vivienda y Transportes de la Administración de la Comunidad Autónoma del País Vasco</w:t>
            </w:r>
          </w:p>
        </w:tc>
        <w:tc>
          <w:tcPr>
            <w:tcW w:w="4283" w:type="dxa"/>
            <w:tcBorders>
              <w:top w:val="nil"/>
              <w:left w:val="nil"/>
              <w:bottom w:val="nil"/>
            </w:tcBorders>
          </w:tcPr>
          <w:p w14:paraId="6405D715" w14:textId="77777777" w:rsidR="009172B8" w:rsidRPr="008C5402" w:rsidRDefault="0007473E" w:rsidP="00847646">
            <w:pPr>
              <w:pStyle w:val="Piedepgina"/>
              <w:tabs>
                <w:tab w:val="clear" w:pos="4819"/>
                <w:tab w:val="clear" w:pos="9071"/>
              </w:tabs>
              <w:jc w:val="center"/>
              <w:rPr>
                <w:sz w:val="22"/>
                <w:szCs w:val="22"/>
              </w:rPr>
            </w:pPr>
            <w:r>
              <w:rPr>
                <w:sz w:val="22"/>
                <w:szCs w:val="22"/>
              </w:rPr>
              <w:t xml:space="preserve">El </w:t>
            </w:r>
            <w:r w:rsidR="001A5854" w:rsidRPr="001A5854">
              <w:rPr>
                <w:sz w:val="22"/>
                <w:szCs w:val="22"/>
              </w:rPr>
              <w:t>Diputado Foral de Infraestructuras Viarias y Movilidad</w:t>
            </w:r>
            <w:r w:rsidR="00927672">
              <w:rPr>
                <w:sz w:val="22"/>
                <w:szCs w:val="22"/>
              </w:rPr>
              <w:t xml:space="preserve"> de la </w:t>
            </w:r>
            <w:r w:rsidR="00927672" w:rsidRPr="00927672">
              <w:rPr>
                <w:sz w:val="22"/>
                <w:szCs w:val="22"/>
              </w:rPr>
              <w:t>Diputación Foral de Álava</w:t>
            </w:r>
          </w:p>
        </w:tc>
      </w:tr>
    </w:tbl>
    <w:p w14:paraId="124FB14D" w14:textId="77777777" w:rsidR="009172B8" w:rsidRPr="008C5402" w:rsidRDefault="009172B8" w:rsidP="009172B8">
      <w:pPr>
        <w:pStyle w:val="Piedepgina"/>
        <w:tabs>
          <w:tab w:val="clear" w:pos="4819"/>
          <w:tab w:val="clear" w:pos="9071"/>
        </w:tabs>
        <w:jc w:val="both"/>
        <w:rPr>
          <w:sz w:val="22"/>
          <w:szCs w:val="22"/>
        </w:rPr>
      </w:pPr>
    </w:p>
    <w:p w14:paraId="16519949" w14:textId="77777777" w:rsidR="009172B8" w:rsidRPr="008C5402" w:rsidRDefault="009172B8" w:rsidP="009172B8">
      <w:pPr>
        <w:pStyle w:val="Piedepgina"/>
        <w:tabs>
          <w:tab w:val="clear" w:pos="4819"/>
          <w:tab w:val="clear" w:pos="9071"/>
        </w:tabs>
        <w:jc w:val="both"/>
        <w:rPr>
          <w:sz w:val="22"/>
          <w:szCs w:val="22"/>
        </w:rPr>
      </w:pPr>
    </w:p>
    <w:p w14:paraId="537255D8" w14:textId="77777777" w:rsidR="009172B8" w:rsidRPr="008C5402" w:rsidRDefault="009172B8" w:rsidP="009172B8">
      <w:pPr>
        <w:pStyle w:val="Piedepgina"/>
        <w:tabs>
          <w:tab w:val="clear" w:pos="4819"/>
          <w:tab w:val="clear" w:pos="9071"/>
        </w:tabs>
        <w:jc w:val="both"/>
        <w:rPr>
          <w:sz w:val="22"/>
          <w:szCs w:val="22"/>
        </w:rPr>
      </w:pPr>
    </w:p>
    <w:tbl>
      <w:tblPr>
        <w:tblW w:w="0" w:type="auto"/>
        <w:jc w:val="center"/>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2"/>
        <w:gridCol w:w="4283"/>
      </w:tblGrid>
      <w:tr w:rsidR="009172B8" w:rsidRPr="008C5402" w14:paraId="17E12EA6" w14:textId="77777777" w:rsidTr="00C44B49">
        <w:trPr>
          <w:cantSplit/>
          <w:trHeight w:val="20"/>
          <w:jc w:val="center"/>
        </w:trPr>
        <w:tc>
          <w:tcPr>
            <w:tcW w:w="4282" w:type="dxa"/>
            <w:tcBorders>
              <w:right w:val="nil"/>
            </w:tcBorders>
            <w:vAlign w:val="center"/>
          </w:tcPr>
          <w:p w14:paraId="64540E84" w14:textId="77777777" w:rsidR="009172B8" w:rsidRPr="008C5402" w:rsidRDefault="009172B8" w:rsidP="0007473E">
            <w:pPr>
              <w:pStyle w:val="Piedepgina"/>
              <w:tabs>
                <w:tab w:val="clear" w:pos="4819"/>
                <w:tab w:val="clear" w:pos="9071"/>
              </w:tabs>
              <w:jc w:val="center"/>
              <w:rPr>
                <w:sz w:val="22"/>
                <w:szCs w:val="22"/>
              </w:rPr>
            </w:pPr>
            <w:r w:rsidRPr="008C5402">
              <w:rPr>
                <w:sz w:val="22"/>
                <w:szCs w:val="22"/>
              </w:rPr>
              <w:t>Fdo.: Ignacio María Arriola López</w:t>
            </w:r>
          </w:p>
        </w:tc>
        <w:tc>
          <w:tcPr>
            <w:tcW w:w="4283" w:type="dxa"/>
            <w:tcBorders>
              <w:top w:val="nil"/>
              <w:left w:val="nil"/>
              <w:bottom w:val="nil"/>
            </w:tcBorders>
            <w:vAlign w:val="center"/>
          </w:tcPr>
          <w:p w14:paraId="07BDCFFF" w14:textId="77777777" w:rsidR="009172B8" w:rsidRPr="008C5402" w:rsidRDefault="009172B8" w:rsidP="00C44B49">
            <w:pPr>
              <w:pStyle w:val="Piedepgina"/>
              <w:tabs>
                <w:tab w:val="clear" w:pos="4819"/>
                <w:tab w:val="clear" w:pos="9071"/>
              </w:tabs>
              <w:jc w:val="center"/>
              <w:rPr>
                <w:sz w:val="22"/>
                <w:szCs w:val="22"/>
                <w:lang w:val="pt-BR"/>
              </w:rPr>
            </w:pPr>
            <w:r w:rsidRPr="008C5402">
              <w:rPr>
                <w:sz w:val="22"/>
                <w:szCs w:val="22"/>
                <w:lang w:val="pt-BR"/>
              </w:rPr>
              <w:t xml:space="preserve">Fdo.: </w:t>
            </w:r>
            <w:r w:rsidR="001A5854" w:rsidRPr="001A5854">
              <w:rPr>
                <w:sz w:val="22"/>
                <w:szCs w:val="22"/>
                <w:lang w:val="pt-BR"/>
              </w:rPr>
              <w:t>Carlos Ibarlucea Martínez</w:t>
            </w:r>
          </w:p>
        </w:tc>
      </w:tr>
    </w:tbl>
    <w:p w14:paraId="34C754F2" w14:textId="77777777" w:rsidR="00997764" w:rsidRPr="008C5402" w:rsidRDefault="00997764" w:rsidP="00EE09DF">
      <w:pPr>
        <w:rPr>
          <w:sz w:val="22"/>
          <w:szCs w:val="22"/>
        </w:rPr>
      </w:pPr>
    </w:p>
    <w:sectPr w:rsidR="00997764" w:rsidRPr="008C5402" w:rsidSect="0082513D">
      <w:headerReference w:type="default" r:id="rId10"/>
      <w:footerReference w:type="even" r:id="rId11"/>
      <w:headerReference w:type="first" r:id="rId12"/>
      <w:footerReference w:type="first" r:id="rId13"/>
      <w:pgSz w:w="11907" w:h="16840"/>
      <w:pgMar w:top="1418" w:right="1701" w:bottom="1276" w:left="1701" w:header="720" w:footer="68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F1439" w14:textId="77777777" w:rsidR="000572B0" w:rsidRDefault="000572B0">
      <w:r>
        <w:separator/>
      </w:r>
    </w:p>
  </w:endnote>
  <w:endnote w:type="continuationSeparator" w:id="0">
    <w:p w14:paraId="4A2D985B" w14:textId="77777777" w:rsidR="000572B0" w:rsidRDefault="0005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Pro-Bol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otham">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1931" w14:textId="77777777" w:rsidR="006D51E0" w:rsidRDefault="006D51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E694CDC" w14:textId="77777777" w:rsidR="006D51E0" w:rsidRDefault="006D51E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3AD4" w14:textId="77777777" w:rsidR="004E1338" w:rsidRPr="0020417F" w:rsidRDefault="004E1338" w:rsidP="004E1338">
    <w:pPr>
      <w:pStyle w:val="Piedepgina"/>
      <w:jc w:val="center"/>
      <w:rPr>
        <w:rFonts w:ascii="Arial" w:hAnsi="Arial"/>
        <w:sz w:val="13"/>
        <w:lang w:val="it-IT"/>
      </w:rPr>
    </w:pPr>
    <w:r w:rsidRPr="0020417F">
      <w:rPr>
        <w:rFonts w:ascii="Arial" w:hAnsi="Arial"/>
        <w:sz w:val="13"/>
        <w:lang w:val="it-IT"/>
      </w:rPr>
      <w:t>Donostia – San Sebastián, 1 – Tef. 945 01 96 54 – Fax 945 01 98 56 – 01010 Vitoria-Gasteiz</w:t>
    </w:r>
  </w:p>
  <w:p w14:paraId="6E017941" w14:textId="77777777" w:rsidR="0020417F" w:rsidRPr="00DC0DF4" w:rsidRDefault="0020417F" w:rsidP="00DC0DF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9C0F" w14:textId="77777777" w:rsidR="000572B0" w:rsidRDefault="000572B0">
      <w:r>
        <w:separator/>
      </w:r>
    </w:p>
  </w:footnote>
  <w:footnote w:type="continuationSeparator" w:id="0">
    <w:p w14:paraId="2AF89AB8" w14:textId="77777777" w:rsidR="000572B0" w:rsidRDefault="0005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948"/>
    </w:tblGrid>
    <w:tr w:rsidR="00043FD7" w:rsidRPr="00043FD7" w14:paraId="6511C197" w14:textId="77777777" w:rsidTr="0081635D">
      <w:tc>
        <w:tcPr>
          <w:tcW w:w="4678" w:type="dxa"/>
        </w:tcPr>
        <w:p w14:paraId="1E6CE834" w14:textId="77777777" w:rsidR="00043FD7" w:rsidRPr="00043FD7" w:rsidRDefault="00043FD7" w:rsidP="00043FD7">
          <w:pPr>
            <w:tabs>
              <w:tab w:val="center" w:pos="4819"/>
              <w:tab w:val="right" w:pos="9071"/>
              <w:tab w:val="right" w:pos="9923"/>
            </w:tabs>
            <w:ind w:right="-142"/>
            <w:jc w:val="center"/>
            <w:rPr>
              <w:rFonts w:ascii="Arial" w:hAnsi="Arial"/>
              <w:sz w:val="16"/>
            </w:rPr>
          </w:pPr>
          <w:r w:rsidRPr="00043FD7">
            <w:rPr>
              <w:rFonts w:ascii="Arial" w:hAnsi="Arial"/>
              <w:noProof/>
              <w:sz w:val="16"/>
            </w:rPr>
            <w:drawing>
              <wp:inline distT="0" distB="0" distL="0" distR="0" wp14:anchorId="753CA0E8" wp14:editId="31F5E96E">
                <wp:extent cx="2447925" cy="834907"/>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834907"/>
                        </a:xfrm>
                        <a:prstGeom prst="rect">
                          <a:avLst/>
                        </a:prstGeom>
                        <a:noFill/>
                        <a:ln>
                          <a:noFill/>
                        </a:ln>
                      </pic:spPr>
                    </pic:pic>
                  </a:graphicData>
                </a:graphic>
              </wp:inline>
            </w:drawing>
          </w:r>
        </w:p>
      </w:tc>
      <w:tc>
        <w:tcPr>
          <w:tcW w:w="4536" w:type="dxa"/>
        </w:tcPr>
        <w:p w14:paraId="5314D2BB" w14:textId="77777777" w:rsidR="00043FD7" w:rsidRPr="00043FD7" w:rsidRDefault="00043FD7" w:rsidP="00043FD7">
          <w:pPr>
            <w:tabs>
              <w:tab w:val="center" w:pos="4819"/>
              <w:tab w:val="right" w:pos="9071"/>
              <w:tab w:val="right" w:pos="9923"/>
            </w:tabs>
            <w:ind w:right="-142"/>
            <w:jc w:val="center"/>
            <w:rPr>
              <w:noProof/>
            </w:rPr>
          </w:pPr>
        </w:p>
        <w:p w14:paraId="60E5207B" w14:textId="77777777" w:rsidR="00043FD7" w:rsidRPr="00043FD7" w:rsidRDefault="00043FD7" w:rsidP="00043FD7">
          <w:pPr>
            <w:tabs>
              <w:tab w:val="center" w:pos="4819"/>
              <w:tab w:val="right" w:pos="9071"/>
              <w:tab w:val="right" w:pos="9923"/>
            </w:tabs>
            <w:ind w:right="-142"/>
            <w:jc w:val="center"/>
            <w:rPr>
              <w:noProof/>
            </w:rPr>
          </w:pPr>
        </w:p>
        <w:p w14:paraId="511BF2A3" w14:textId="77777777" w:rsidR="00043FD7" w:rsidRPr="00043FD7" w:rsidRDefault="00043FD7" w:rsidP="00043FD7">
          <w:pPr>
            <w:tabs>
              <w:tab w:val="center" w:pos="4819"/>
              <w:tab w:val="right" w:pos="9071"/>
              <w:tab w:val="right" w:pos="9923"/>
            </w:tabs>
            <w:ind w:right="-142"/>
            <w:jc w:val="center"/>
            <w:rPr>
              <w:noProof/>
            </w:rPr>
          </w:pPr>
          <w:r w:rsidRPr="00043FD7">
            <w:rPr>
              <w:noProof/>
            </w:rPr>
            <w:object w:dxaOrig="11549" w:dyaOrig="1410" w14:anchorId="3D130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43.75pt;height:32.25pt" o:preferrelative="f" fillcolor="window">
                <v:imagedata r:id="rId2" o:title=""/>
              </v:shape>
              <o:OLEObject Type="Embed" ProgID="MSPhotoEd.3" ShapeID="_x0000_i1031" DrawAspect="Content" ObjectID="_1716200236" r:id="rId3"/>
            </w:object>
          </w:r>
        </w:p>
        <w:p w14:paraId="38383CE5" w14:textId="77777777" w:rsidR="00043FD7" w:rsidRPr="00043FD7" w:rsidRDefault="00043FD7" w:rsidP="00043FD7">
          <w:pPr>
            <w:tabs>
              <w:tab w:val="center" w:pos="4819"/>
              <w:tab w:val="right" w:pos="9071"/>
              <w:tab w:val="right" w:pos="9923"/>
            </w:tabs>
            <w:ind w:right="-142"/>
            <w:jc w:val="center"/>
            <w:rPr>
              <w:noProof/>
            </w:rPr>
          </w:pPr>
        </w:p>
        <w:p w14:paraId="6084E353" w14:textId="77777777" w:rsidR="00043FD7" w:rsidRPr="00043FD7" w:rsidRDefault="00043FD7" w:rsidP="00043FD7">
          <w:pPr>
            <w:tabs>
              <w:tab w:val="center" w:pos="4819"/>
              <w:tab w:val="right" w:pos="9071"/>
              <w:tab w:val="right" w:pos="9923"/>
            </w:tabs>
            <w:ind w:right="-142"/>
            <w:jc w:val="center"/>
            <w:rPr>
              <w:rFonts w:ascii="Arial" w:hAnsi="Arial"/>
              <w:sz w:val="16"/>
            </w:rPr>
          </w:pPr>
        </w:p>
      </w:tc>
    </w:tr>
  </w:tbl>
  <w:p w14:paraId="450C33C8" w14:textId="77777777" w:rsidR="006D51E0" w:rsidRDefault="006D51E0">
    <w:pPr>
      <w:pStyle w:val="Encabezado"/>
    </w:pPr>
  </w:p>
  <w:p w14:paraId="002B6989" w14:textId="77777777" w:rsidR="009172B8" w:rsidRDefault="009172B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948"/>
    </w:tblGrid>
    <w:tr w:rsidR="00043FD7" w:rsidRPr="00043FD7" w14:paraId="6613C5B0" w14:textId="77777777" w:rsidTr="0081635D">
      <w:tc>
        <w:tcPr>
          <w:tcW w:w="4678" w:type="dxa"/>
        </w:tcPr>
        <w:p w14:paraId="7FAEE9E6" w14:textId="77777777" w:rsidR="00043FD7" w:rsidRPr="00043FD7" w:rsidRDefault="00043FD7" w:rsidP="00043FD7">
          <w:pPr>
            <w:tabs>
              <w:tab w:val="center" w:pos="4819"/>
              <w:tab w:val="right" w:pos="9071"/>
              <w:tab w:val="right" w:pos="9923"/>
            </w:tabs>
            <w:ind w:right="-142"/>
            <w:jc w:val="center"/>
            <w:rPr>
              <w:rFonts w:ascii="Arial" w:hAnsi="Arial"/>
              <w:sz w:val="16"/>
            </w:rPr>
          </w:pPr>
          <w:r w:rsidRPr="00043FD7">
            <w:rPr>
              <w:rFonts w:ascii="Arial" w:hAnsi="Arial"/>
              <w:noProof/>
              <w:sz w:val="16"/>
            </w:rPr>
            <w:drawing>
              <wp:inline distT="0" distB="0" distL="0" distR="0" wp14:anchorId="1F93D066" wp14:editId="04AE9C45">
                <wp:extent cx="2447925" cy="83490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834907"/>
                        </a:xfrm>
                        <a:prstGeom prst="rect">
                          <a:avLst/>
                        </a:prstGeom>
                        <a:noFill/>
                        <a:ln>
                          <a:noFill/>
                        </a:ln>
                      </pic:spPr>
                    </pic:pic>
                  </a:graphicData>
                </a:graphic>
              </wp:inline>
            </w:drawing>
          </w:r>
        </w:p>
      </w:tc>
      <w:tc>
        <w:tcPr>
          <w:tcW w:w="4536" w:type="dxa"/>
        </w:tcPr>
        <w:p w14:paraId="7450164F" w14:textId="77777777" w:rsidR="00043FD7" w:rsidRPr="00043FD7" w:rsidRDefault="00043FD7" w:rsidP="00043FD7">
          <w:pPr>
            <w:tabs>
              <w:tab w:val="center" w:pos="4819"/>
              <w:tab w:val="right" w:pos="9071"/>
              <w:tab w:val="right" w:pos="9923"/>
            </w:tabs>
            <w:ind w:right="-142"/>
            <w:jc w:val="center"/>
            <w:rPr>
              <w:noProof/>
            </w:rPr>
          </w:pPr>
        </w:p>
        <w:p w14:paraId="3F74DB59" w14:textId="77777777" w:rsidR="00043FD7" w:rsidRPr="00043FD7" w:rsidRDefault="00043FD7" w:rsidP="00043FD7">
          <w:pPr>
            <w:tabs>
              <w:tab w:val="center" w:pos="4819"/>
              <w:tab w:val="right" w:pos="9071"/>
              <w:tab w:val="right" w:pos="9923"/>
            </w:tabs>
            <w:ind w:right="-142"/>
            <w:jc w:val="center"/>
            <w:rPr>
              <w:noProof/>
            </w:rPr>
          </w:pPr>
        </w:p>
        <w:p w14:paraId="010FA88C" w14:textId="77777777" w:rsidR="00043FD7" w:rsidRPr="00043FD7" w:rsidRDefault="00043FD7" w:rsidP="00043FD7">
          <w:pPr>
            <w:tabs>
              <w:tab w:val="center" w:pos="4819"/>
              <w:tab w:val="right" w:pos="9071"/>
              <w:tab w:val="right" w:pos="9923"/>
            </w:tabs>
            <w:ind w:right="-142"/>
            <w:jc w:val="center"/>
            <w:rPr>
              <w:noProof/>
            </w:rPr>
          </w:pPr>
          <w:r w:rsidRPr="00043FD7">
            <w:rPr>
              <w:noProof/>
            </w:rPr>
            <w:object w:dxaOrig="11549" w:dyaOrig="1410" w14:anchorId="2DCBD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3.75pt;height:32.25pt" o:preferrelative="f" fillcolor="window">
                <v:imagedata r:id="rId2" o:title=""/>
              </v:shape>
              <o:OLEObject Type="Embed" ProgID="MSPhotoEd.3" ShapeID="_x0000_i1028" DrawAspect="Content" ObjectID="_1716200237" r:id="rId3"/>
            </w:object>
          </w:r>
        </w:p>
        <w:p w14:paraId="50C1B3B6" w14:textId="77777777" w:rsidR="00043FD7" w:rsidRPr="00043FD7" w:rsidRDefault="00043FD7" w:rsidP="00043FD7">
          <w:pPr>
            <w:tabs>
              <w:tab w:val="center" w:pos="4819"/>
              <w:tab w:val="right" w:pos="9071"/>
              <w:tab w:val="right" w:pos="9923"/>
            </w:tabs>
            <w:ind w:right="-142"/>
            <w:jc w:val="center"/>
            <w:rPr>
              <w:noProof/>
            </w:rPr>
          </w:pPr>
        </w:p>
        <w:p w14:paraId="32183771" w14:textId="77777777" w:rsidR="00043FD7" w:rsidRPr="00043FD7" w:rsidRDefault="00043FD7" w:rsidP="00043FD7">
          <w:pPr>
            <w:tabs>
              <w:tab w:val="center" w:pos="4819"/>
              <w:tab w:val="right" w:pos="9071"/>
              <w:tab w:val="right" w:pos="9923"/>
            </w:tabs>
            <w:ind w:right="-142"/>
            <w:jc w:val="center"/>
            <w:rPr>
              <w:rFonts w:ascii="Arial" w:hAnsi="Arial"/>
              <w:sz w:val="16"/>
            </w:rPr>
          </w:pPr>
        </w:p>
      </w:tc>
    </w:tr>
  </w:tbl>
  <w:p w14:paraId="0C58CA38" w14:textId="77777777" w:rsidR="006D51E0" w:rsidRPr="00043FD7" w:rsidRDefault="006D51E0" w:rsidP="00043FD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34549"/>
    <w:multiLevelType w:val="hybridMultilevel"/>
    <w:tmpl w:val="A5CC07C8"/>
    <w:lvl w:ilvl="0" w:tplc="88A81D98">
      <w:start w:val="3"/>
      <w:numFmt w:val="upp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1" w15:restartNumberingAfterBreak="0">
    <w:nsid w:val="199D6080"/>
    <w:multiLevelType w:val="hybridMultilevel"/>
    <w:tmpl w:val="D2EC44E2"/>
    <w:lvl w:ilvl="0" w:tplc="145A30CE">
      <w:start w:val="1"/>
      <w:numFmt w:val="upperLetter"/>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2" w15:restartNumberingAfterBreak="0">
    <w:nsid w:val="1FCC054E"/>
    <w:multiLevelType w:val="hybridMultilevel"/>
    <w:tmpl w:val="C7C45F0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2E1C2457"/>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4F9251E9"/>
    <w:multiLevelType w:val="multilevel"/>
    <w:tmpl w:val="8BA837A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 w15:restartNumberingAfterBreak="0">
    <w:nsid w:val="4FC3299B"/>
    <w:multiLevelType w:val="hybridMultilevel"/>
    <w:tmpl w:val="CDC80C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507B3802"/>
    <w:multiLevelType w:val="hybridMultilevel"/>
    <w:tmpl w:val="CDC80C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7" w15:restartNumberingAfterBreak="0">
    <w:nsid w:val="5194583E"/>
    <w:multiLevelType w:val="hybridMultilevel"/>
    <w:tmpl w:val="DF762F20"/>
    <w:lvl w:ilvl="0" w:tplc="33941772">
      <w:start w:val="1"/>
      <w:numFmt w:val="bullet"/>
      <w:lvlText w:val="₋"/>
      <w:lvlJc w:val="left"/>
      <w:pPr>
        <w:ind w:left="737" w:hanging="377"/>
      </w:pPr>
      <w:rPr>
        <w:rFonts w:ascii="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684865E1"/>
    <w:multiLevelType w:val="hybridMultilevel"/>
    <w:tmpl w:val="4B9C332A"/>
    <w:lvl w:ilvl="0" w:tplc="5172F66A">
      <w:start w:val="1"/>
      <w:numFmt w:val="decimal"/>
      <w:lvlText w:val="%1)"/>
      <w:lvlJc w:val="left"/>
      <w:pPr>
        <w:ind w:left="720" w:hanging="360"/>
      </w:pPr>
      <w:rPr>
        <w:rFonts w:hint="default"/>
        <w:caps w:val="0"/>
        <w:strike w:val="0"/>
        <w:dstrike w:val="0"/>
        <w:vanish w:val="0"/>
        <w:color w:val="auto"/>
        <w:u w:val="none"/>
        <w:vertAlign w:val="baseline"/>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9" w15:restartNumberingAfterBreak="0">
    <w:nsid w:val="6A0750BE"/>
    <w:multiLevelType w:val="singleLevel"/>
    <w:tmpl w:val="0C0A0017"/>
    <w:lvl w:ilvl="0">
      <w:start w:val="1"/>
      <w:numFmt w:val="lowerLetter"/>
      <w:lvlText w:val="%1)"/>
      <w:lvlJc w:val="left"/>
      <w:pPr>
        <w:tabs>
          <w:tab w:val="num" w:pos="360"/>
        </w:tabs>
        <w:ind w:left="360" w:hanging="360"/>
      </w:pPr>
      <w:rPr>
        <w:rFonts w:hint="default"/>
      </w:rPr>
    </w:lvl>
  </w:abstractNum>
  <w:abstractNum w:abstractNumId="10" w15:restartNumberingAfterBreak="0">
    <w:nsid w:val="7AE27C38"/>
    <w:multiLevelType w:val="hybridMultilevel"/>
    <w:tmpl w:val="A392AD2A"/>
    <w:lvl w:ilvl="0" w:tplc="AA389CE6">
      <w:start w:val="1"/>
      <w:numFmt w:val="upperLetter"/>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num w:numId="1">
    <w:abstractNumId w:val="4"/>
  </w:num>
  <w:num w:numId="2">
    <w:abstractNumId w:val="4"/>
  </w:num>
  <w:num w:numId="3">
    <w:abstractNumId w:val="8"/>
  </w:num>
  <w:num w:numId="4">
    <w:abstractNumId w:val="10"/>
  </w:num>
  <w:num w:numId="5">
    <w:abstractNumId w:val="0"/>
  </w:num>
  <w:num w:numId="6">
    <w:abstractNumId w:val="1"/>
  </w:num>
  <w:num w:numId="7">
    <w:abstractNumId w:val="9"/>
  </w:num>
  <w:num w:numId="8">
    <w:abstractNumId w:val="3"/>
  </w:num>
  <w:num w:numId="9">
    <w:abstractNumId w:val="7"/>
  </w:num>
  <w:num w:numId="10">
    <w:abstractNumId w:val="5"/>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72B8"/>
    <w:rsid w:val="00043FD7"/>
    <w:rsid w:val="000572B0"/>
    <w:rsid w:val="0007473E"/>
    <w:rsid w:val="00086165"/>
    <w:rsid w:val="00087F8D"/>
    <w:rsid w:val="0009508E"/>
    <w:rsid w:val="000979FD"/>
    <w:rsid w:val="000A28C4"/>
    <w:rsid w:val="000A3183"/>
    <w:rsid w:val="00130808"/>
    <w:rsid w:val="00157AC9"/>
    <w:rsid w:val="00162386"/>
    <w:rsid w:val="001A5854"/>
    <w:rsid w:val="001B6963"/>
    <w:rsid w:val="001E57C3"/>
    <w:rsid w:val="001E7F28"/>
    <w:rsid w:val="001F30C2"/>
    <w:rsid w:val="0020417F"/>
    <w:rsid w:val="00225AD4"/>
    <w:rsid w:val="00227B53"/>
    <w:rsid w:val="00263A6F"/>
    <w:rsid w:val="00286C7B"/>
    <w:rsid w:val="002E26F9"/>
    <w:rsid w:val="002E30D2"/>
    <w:rsid w:val="00306E0F"/>
    <w:rsid w:val="0035502C"/>
    <w:rsid w:val="00393C34"/>
    <w:rsid w:val="003C711A"/>
    <w:rsid w:val="003D146D"/>
    <w:rsid w:val="003E363C"/>
    <w:rsid w:val="00422BF2"/>
    <w:rsid w:val="004655B1"/>
    <w:rsid w:val="004911B4"/>
    <w:rsid w:val="0049480A"/>
    <w:rsid w:val="004C255E"/>
    <w:rsid w:val="004C6DEB"/>
    <w:rsid w:val="004E1338"/>
    <w:rsid w:val="0050483F"/>
    <w:rsid w:val="005B27B6"/>
    <w:rsid w:val="005C274F"/>
    <w:rsid w:val="00653CFB"/>
    <w:rsid w:val="00691FF3"/>
    <w:rsid w:val="006D42E7"/>
    <w:rsid w:val="006D51E0"/>
    <w:rsid w:val="006F173D"/>
    <w:rsid w:val="00730427"/>
    <w:rsid w:val="00732A6E"/>
    <w:rsid w:val="0077333F"/>
    <w:rsid w:val="007B60B1"/>
    <w:rsid w:val="007C42D5"/>
    <w:rsid w:val="007E1F0D"/>
    <w:rsid w:val="0082513D"/>
    <w:rsid w:val="00847646"/>
    <w:rsid w:val="008906AA"/>
    <w:rsid w:val="008925AE"/>
    <w:rsid w:val="008B00A8"/>
    <w:rsid w:val="008C2BBB"/>
    <w:rsid w:val="008C5402"/>
    <w:rsid w:val="008E6956"/>
    <w:rsid w:val="008F6EC2"/>
    <w:rsid w:val="00900164"/>
    <w:rsid w:val="009017F8"/>
    <w:rsid w:val="009172B8"/>
    <w:rsid w:val="00927672"/>
    <w:rsid w:val="00952184"/>
    <w:rsid w:val="00956A4A"/>
    <w:rsid w:val="00956FE7"/>
    <w:rsid w:val="009615F3"/>
    <w:rsid w:val="009723A2"/>
    <w:rsid w:val="00997764"/>
    <w:rsid w:val="009D3343"/>
    <w:rsid w:val="009D383C"/>
    <w:rsid w:val="009D3BA2"/>
    <w:rsid w:val="009E503F"/>
    <w:rsid w:val="00A0345A"/>
    <w:rsid w:val="00A30A18"/>
    <w:rsid w:val="00A3112E"/>
    <w:rsid w:val="00A50DC2"/>
    <w:rsid w:val="00A879BF"/>
    <w:rsid w:val="00AA3215"/>
    <w:rsid w:val="00AC0DB4"/>
    <w:rsid w:val="00B71019"/>
    <w:rsid w:val="00B75152"/>
    <w:rsid w:val="00B81B24"/>
    <w:rsid w:val="00BB02AA"/>
    <w:rsid w:val="00BB3F33"/>
    <w:rsid w:val="00BC226A"/>
    <w:rsid w:val="00BD2727"/>
    <w:rsid w:val="00C15AF4"/>
    <w:rsid w:val="00C2199C"/>
    <w:rsid w:val="00C23C07"/>
    <w:rsid w:val="00C4423A"/>
    <w:rsid w:val="00C44B49"/>
    <w:rsid w:val="00C84C57"/>
    <w:rsid w:val="00CA0970"/>
    <w:rsid w:val="00D03CA3"/>
    <w:rsid w:val="00D20637"/>
    <w:rsid w:val="00D331CA"/>
    <w:rsid w:val="00D3723B"/>
    <w:rsid w:val="00D73BA1"/>
    <w:rsid w:val="00DA5443"/>
    <w:rsid w:val="00DC0DF4"/>
    <w:rsid w:val="00E420D8"/>
    <w:rsid w:val="00E96933"/>
    <w:rsid w:val="00ED25E9"/>
    <w:rsid w:val="00EE09DF"/>
    <w:rsid w:val="00EE1567"/>
    <w:rsid w:val="00EE1ED2"/>
    <w:rsid w:val="00F1627B"/>
    <w:rsid w:val="00F701BD"/>
    <w:rsid w:val="00FC12DB"/>
    <w:rsid w:val="00FF60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71514B06"/>
  <w15:docId w15:val="{F3BCB0E5-449F-4101-8572-F1A8AF7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72B8"/>
    <w:rPr>
      <w:lang w:eastAsia="es-ES_tradnl"/>
    </w:rPr>
  </w:style>
  <w:style w:type="paragraph" w:styleId="Ttulo1">
    <w:name w:val="heading 1"/>
    <w:basedOn w:val="Ttulo"/>
    <w:next w:val="Normal"/>
    <w:link w:val="Ttulo1Car"/>
    <w:uiPriority w:val="9"/>
    <w:qFormat/>
    <w:rsid w:val="009172B8"/>
    <w:pPr>
      <w:outlineLvl w:val="0"/>
    </w:pPr>
  </w:style>
  <w:style w:type="paragraph" w:styleId="Ttulo2">
    <w:name w:val="heading 2"/>
    <w:basedOn w:val="Normal"/>
    <w:next w:val="Normal"/>
    <w:qFormat/>
    <w:rsid w:val="009172B8"/>
    <w:pPr>
      <w:outlineLvl w:val="1"/>
    </w:pPr>
    <w:rPr>
      <w:b/>
      <w:sz w:val="22"/>
      <w:szCs w:val="22"/>
      <w:lang w:val="es-ES_tradnl"/>
    </w:rPr>
  </w:style>
  <w:style w:type="paragraph" w:styleId="Ttulo3">
    <w:name w:val="heading 3"/>
    <w:basedOn w:val="Ttulo2"/>
    <w:next w:val="Normal"/>
    <w:qFormat/>
    <w:rsid w:val="009172B8"/>
    <w:pPr>
      <w:outlineLvl w:val="2"/>
    </w:pPr>
    <w:rPr>
      <w:caps/>
    </w:rPr>
  </w:style>
  <w:style w:type="paragraph" w:styleId="Ttulo4">
    <w:name w:val="heading 4"/>
    <w:basedOn w:val="Normal"/>
    <w:next w:val="Normal"/>
    <w:qFormat/>
    <w:pPr>
      <w:keepNext/>
      <w:numPr>
        <w:ilvl w:val="3"/>
        <w:numId w:val="1"/>
      </w:numPr>
      <w:spacing w:before="35"/>
      <w:outlineLvl w:val="3"/>
    </w:pPr>
    <w:rPr>
      <w:rFonts w:ascii="Arial" w:hAnsi="Arial"/>
      <w:i/>
      <w:sz w:val="14"/>
    </w:rPr>
  </w:style>
  <w:style w:type="paragraph" w:styleId="Ttulo5">
    <w:name w:val="heading 5"/>
    <w:basedOn w:val="Normal"/>
    <w:next w:val="Normal"/>
    <w:qFormat/>
    <w:pPr>
      <w:numPr>
        <w:ilvl w:val="4"/>
        <w:numId w:val="1"/>
      </w:numPr>
      <w:spacing w:before="240" w:after="60"/>
      <w:outlineLvl w:val="4"/>
    </w:pPr>
    <w:rPr>
      <w:sz w:val="22"/>
    </w:rPr>
  </w:style>
  <w:style w:type="paragraph" w:styleId="Ttulo6">
    <w:name w:val="heading 6"/>
    <w:basedOn w:val="Normal"/>
    <w:next w:val="Normal"/>
    <w:qFormat/>
    <w:pPr>
      <w:numPr>
        <w:ilvl w:val="5"/>
        <w:numId w:val="1"/>
      </w:numPr>
      <w:spacing w:before="240" w:after="60"/>
      <w:outlineLvl w:val="5"/>
    </w:pPr>
    <w:rPr>
      <w:i/>
      <w:sz w:val="22"/>
    </w:rPr>
  </w:style>
  <w:style w:type="paragraph" w:styleId="Ttulo7">
    <w:name w:val="heading 7"/>
    <w:basedOn w:val="Normal"/>
    <w:next w:val="Normal"/>
    <w:qFormat/>
    <w:pPr>
      <w:numPr>
        <w:ilvl w:val="6"/>
        <w:numId w:val="1"/>
      </w:numPr>
      <w:spacing w:before="240" w:after="60"/>
      <w:outlineLvl w:val="6"/>
    </w:pPr>
    <w:rPr>
      <w:rFonts w:ascii="Arial" w:hAnsi="Arial"/>
    </w:rPr>
  </w:style>
  <w:style w:type="paragraph" w:styleId="Ttulo8">
    <w:name w:val="heading 8"/>
    <w:basedOn w:val="Normal"/>
    <w:next w:val="Normal"/>
    <w:qFormat/>
    <w:pPr>
      <w:numPr>
        <w:ilvl w:val="7"/>
        <w:numId w:val="1"/>
      </w:numPr>
      <w:spacing w:before="240" w:after="60"/>
      <w:outlineLvl w:val="7"/>
    </w:pPr>
    <w:rPr>
      <w:rFonts w:ascii="Arial" w:hAnsi="Arial"/>
      <w:i/>
    </w:rPr>
  </w:style>
  <w:style w:type="paragraph" w:styleId="Ttulo9">
    <w:name w:val="heading 9"/>
    <w:basedOn w:val="Normal"/>
    <w:next w:val="Normal"/>
    <w:qFormat/>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style>
  <w:style w:type="paragraph" w:styleId="Piedepgina">
    <w:name w:val="footer"/>
    <w:basedOn w:val="Normal"/>
    <w:link w:val="PiedepginaCar"/>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merodepgina">
    <w:name w:val="page number"/>
    <w:basedOn w:val="Fuentedeprrafopredeter"/>
  </w:style>
  <w:style w:type="paragraph" w:customStyle="1" w:styleId="Nivel1">
    <w:name w:val="Nivel1"/>
    <w:basedOn w:val="Normal"/>
    <w:pPr>
      <w:spacing w:after="35"/>
    </w:pPr>
    <w:rPr>
      <w:rFonts w:ascii="Arial" w:hAnsi="Arial"/>
      <w:b/>
      <w:sz w:val="14"/>
    </w:rPr>
  </w:style>
  <w:style w:type="paragraph" w:customStyle="1" w:styleId="Nivel3">
    <w:name w:val="Nivel3"/>
    <w:basedOn w:val="Normal"/>
    <w:rPr>
      <w:rFonts w:ascii="Arial" w:hAnsi="Arial"/>
      <w:i/>
      <w:sz w:val="14"/>
    </w:rPr>
  </w:style>
  <w:style w:type="paragraph" w:customStyle="1" w:styleId="Nivel2">
    <w:name w:val="Nivel2"/>
    <w:basedOn w:val="Normal"/>
    <w:pPr>
      <w:spacing w:before="35"/>
    </w:pPr>
    <w:rPr>
      <w:rFonts w:ascii="Arial" w:hAnsi="Arial"/>
      <w:sz w:val="14"/>
    </w:rPr>
  </w:style>
  <w:style w:type="character" w:customStyle="1" w:styleId="PiedepginaCar">
    <w:name w:val="Pie de página Car"/>
    <w:basedOn w:val="Fuentedeprrafopredeter"/>
    <w:link w:val="Piedepgina"/>
    <w:rsid w:val="00DC0DF4"/>
    <w:rPr>
      <w:sz w:val="24"/>
      <w:lang w:val="es-ES_tradnl" w:eastAsia="es-ES_tradnl"/>
    </w:rPr>
  </w:style>
  <w:style w:type="paragraph" w:styleId="Textoindependiente3">
    <w:name w:val="Body Text 3"/>
    <w:basedOn w:val="Normal"/>
    <w:link w:val="Textoindependiente3Car"/>
    <w:semiHidden/>
    <w:unhideWhenUsed/>
    <w:rsid w:val="009017F8"/>
    <w:pPr>
      <w:jc w:val="both"/>
    </w:pPr>
    <w:rPr>
      <w:sz w:val="28"/>
      <w:lang w:val="es-ES_tradnl" w:eastAsia="es-ES"/>
    </w:rPr>
  </w:style>
  <w:style w:type="character" w:customStyle="1" w:styleId="Textoindependiente3Car">
    <w:name w:val="Texto independiente 3 Car"/>
    <w:basedOn w:val="Fuentedeprrafopredeter"/>
    <w:link w:val="Textoindependiente3"/>
    <w:semiHidden/>
    <w:rsid w:val="009017F8"/>
    <w:rPr>
      <w:sz w:val="28"/>
      <w:lang w:val="es-ES_tradnl"/>
    </w:rPr>
  </w:style>
  <w:style w:type="paragraph" w:customStyle="1" w:styleId="bloquetexto1">
    <w:name w:val="bloquetexto1"/>
    <w:basedOn w:val="Normal"/>
    <w:rsid w:val="009017F8"/>
    <w:pPr>
      <w:spacing w:after="150"/>
      <w:jc w:val="both"/>
    </w:pPr>
    <w:rPr>
      <w:sz w:val="24"/>
      <w:szCs w:val="24"/>
      <w:lang w:val="eu-ES" w:eastAsia="eu-ES"/>
    </w:rPr>
  </w:style>
  <w:style w:type="table" w:styleId="Tablaconcuadrcula">
    <w:name w:val="Table Grid"/>
    <w:basedOn w:val="Tablanormal"/>
    <w:uiPriority w:val="59"/>
    <w:rsid w:val="00901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E1338"/>
    <w:pPr>
      <w:ind w:left="708"/>
    </w:pPr>
    <w:rPr>
      <w:lang w:val="es-ES_tradnl"/>
    </w:rPr>
  </w:style>
  <w:style w:type="character" w:customStyle="1" w:styleId="Lodia1">
    <w:name w:val="Lodia1"/>
    <w:uiPriority w:val="99"/>
    <w:rsid w:val="004E1338"/>
    <w:rPr>
      <w:rFonts w:ascii="MetaPro-Bold" w:hAnsi="MetaPro-Bold" w:cs="MetaPro-Bold"/>
      <w:color w:val="61564B"/>
      <w:sz w:val="24"/>
      <w:szCs w:val="24"/>
    </w:rPr>
  </w:style>
  <w:style w:type="paragraph" w:customStyle="1" w:styleId="Default">
    <w:name w:val="Default"/>
    <w:rsid w:val="004E1338"/>
    <w:pPr>
      <w:autoSpaceDE w:val="0"/>
      <w:autoSpaceDN w:val="0"/>
      <w:adjustRightInd w:val="0"/>
    </w:pPr>
    <w:rPr>
      <w:rFonts w:ascii="Arial" w:eastAsia="Calibri" w:hAnsi="Arial" w:cs="Arial"/>
      <w:color w:val="000000"/>
      <w:sz w:val="24"/>
      <w:szCs w:val="24"/>
      <w:lang w:eastAsia="en-US"/>
    </w:rPr>
  </w:style>
  <w:style w:type="paragraph" w:customStyle="1" w:styleId="xmsonormal">
    <w:name w:val="x_msonormal"/>
    <w:basedOn w:val="Normal"/>
    <w:uiPriority w:val="99"/>
    <w:rsid w:val="004E1338"/>
    <w:rPr>
      <w:rFonts w:ascii="Calibri" w:eastAsiaTheme="minorHAnsi" w:hAnsi="Calibri" w:cs="Calibri"/>
      <w:sz w:val="22"/>
      <w:szCs w:val="22"/>
      <w:lang w:eastAsia="es-ES"/>
    </w:rPr>
  </w:style>
  <w:style w:type="paragraph" w:customStyle="1" w:styleId="EstiloJustificado">
    <w:name w:val="Estilo Justificado"/>
    <w:basedOn w:val="Normal"/>
    <w:rsid w:val="009172B8"/>
    <w:pPr>
      <w:jc w:val="both"/>
    </w:pPr>
    <w:rPr>
      <w:sz w:val="24"/>
      <w:lang w:val="es-ES_tradnl"/>
    </w:rPr>
  </w:style>
  <w:style w:type="paragraph" w:customStyle="1" w:styleId="paragraph">
    <w:name w:val="paragraph"/>
    <w:basedOn w:val="Normal"/>
    <w:rsid w:val="009172B8"/>
    <w:pPr>
      <w:spacing w:before="100" w:beforeAutospacing="1" w:after="100" w:afterAutospacing="1"/>
    </w:pPr>
    <w:rPr>
      <w:sz w:val="24"/>
      <w:szCs w:val="24"/>
      <w:lang w:val="eu-ES" w:eastAsia="eu-ES"/>
    </w:rPr>
  </w:style>
  <w:style w:type="character" w:customStyle="1" w:styleId="normaltextrun">
    <w:name w:val="normaltextrun"/>
    <w:rsid w:val="009172B8"/>
  </w:style>
  <w:style w:type="character" w:customStyle="1" w:styleId="eop">
    <w:name w:val="eop"/>
    <w:rsid w:val="009172B8"/>
  </w:style>
  <w:style w:type="character" w:customStyle="1" w:styleId="Ttulo1Car">
    <w:name w:val="Título 1 Car"/>
    <w:link w:val="Ttulo1"/>
    <w:uiPriority w:val="9"/>
    <w:rsid w:val="009172B8"/>
    <w:rPr>
      <w:b/>
      <w:sz w:val="22"/>
      <w:szCs w:val="22"/>
      <w:lang w:val="es-ES_tradnl" w:eastAsia="es-ES_tradnl"/>
    </w:rPr>
  </w:style>
  <w:style w:type="paragraph" w:customStyle="1" w:styleId="Hitzarmena">
    <w:name w:val="Hitzarmena"/>
    <w:basedOn w:val="Normal"/>
    <w:rsid w:val="009172B8"/>
    <w:pPr>
      <w:tabs>
        <w:tab w:val="left" w:pos="284"/>
      </w:tabs>
      <w:spacing w:before="240" w:after="120" w:line="360" w:lineRule="auto"/>
      <w:jc w:val="both"/>
    </w:pPr>
    <w:rPr>
      <w:snapToGrid w:val="0"/>
      <w:lang w:val="eu-ES" w:eastAsia="es-ES"/>
    </w:rPr>
  </w:style>
  <w:style w:type="paragraph" w:styleId="Ttulo">
    <w:name w:val="Title"/>
    <w:basedOn w:val="Ttulo2"/>
    <w:next w:val="Normal"/>
    <w:link w:val="TtuloCar"/>
    <w:qFormat/>
    <w:rsid w:val="009172B8"/>
    <w:pPr>
      <w:jc w:val="center"/>
    </w:pPr>
  </w:style>
  <w:style w:type="character" w:customStyle="1" w:styleId="TtuloCar">
    <w:name w:val="Título Car"/>
    <w:basedOn w:val="Fuentedeprrafopredeter"/>
    <w:link w:val="Ttulo"/>
    <w:rsid w:val="009172B8"/>
    <w:rPr>
      <w:b/>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687513">
      <w:bodyDiv w:val="1"/>
      <w:marLeft w:val="0"/>
      <w:marRight w:val="0"/>
      <w:marTop w:val="0"/>
      <w:marBottom w:val="0"/>
      <w:divBdr>
        <w:top w:val="none" w:sz="0" w:space="0" w:color="auto"/>
        <w:left w:val="none" w:sz="0" w:space="0" w:color="auto"/>
        <w:bottom w:val="none" w:sz="0" w:space="0" w:color="auto"/>
        <w:right w:val="none" w:sz="0" w:space="0" w:color="auto"/>
      </w:divBdr>
      <w:divsChild>
        <w:div w:id="1725106285">
          <w:marLeft w:val="0"/>
          <w:marRight w:val="0"/>
          <w:marTop w:val="0"/>
          <w:marBottom w:val="0"/>
          <w:divBdr>
            <w:top w:val="none" w:sz="0" w:space="0" w:color="auto"/>
            <w:left w:val="none" w:sz="0" w:space="0" w:color="auto"/>
            <w:bottom w:val="single" w:sz="4" w:space="1" w:color="auto"/>
            <w:right w:val="none" w:sz="0" w:space="0" w:color="auto"/>
          </w:divBdr>
        </w:div>
        <w:div w:id="1269385103">
          <w:marLeft w:val="0"/>
          <w:marRight w:val="0"/>
          <w:marTop w:val="0"/>
          <w:marBottom w:val="0"/>
          <w:divBdr>
            <w:top w:val="none" w:sz="0" w:space="0" w:color="auto"/>
            <w:left w:val="none" w:sz="0" w:space="0" w:color="auto"/>
            <w:bottom w:val="single" w:sz="4" w:space="1" w:color="auto"/>
            <w:right w:val="none" w:sz="0" w:space="0" w:color="auto"/>
          </w:divBdr>
        </w:div>
        <w:div w:id="1729306921">
          <w:marLeft w:val="0"/>
          <w:marRight w:val="0"/>
          <w:marTop w:val="0"/>
          <w:marBottom w:val="0"/>
          <w:divBdr>
            <w:top w:val="none" w:sz="0" w:space="0" w:color="auto"/>
            <w:left w:val="none" w:sz="0" w:space="0" w:color="auto"/>
            <w:bottom w:val="single" w:sz="4" w:space="1" w:color="auto"/>
            <w:right w:val="none" w:sz="0" w:space="0" w:color="auto"/>
          </w:divBdr>
        </w:div>
        <w:div w:id="684015777">
          <w:marLeft w:val="0"/>
          <w:marRight w:val="0"/>
          <w:marTop w:val="0"/>
          <w:marBottom w:val="0"/>
          <w:divBdr>
            <w:top w:val="none" w:sz="0" w:space="0" w:color="auto"/>
            <w:left w:val="none" w:sz="0" w:space="0" w:color="auto"/>
            <w:bottom w:val="single" w:sz="4" w:space="1" w:color="auto"/>
            <w:right w:val="none" w:sz="0" w:space="0" w:color="auto"/>
          </w:divBdr>
        </w:div>
        <w:div w:id="2023243621">
          <w:marLeft w:val="0"/>
          <w:marRight w:val="0"/>
          <w:marTop w:val="0"/>
          <w:marBottom w:val="0"/>
          <w:divBdr>
            <w:top w:val="none" w:sz="0" w:space="0" w:color="auto"/>
            <w:left w:val="none" w:sz="0" w:space="0" w:color="auto"/>
            <w:bottom w:val="single" w:sz="4" w:space="1" w:color="auto"/>
            <w:right w:val="none" w:sz="0" w:space="0" w:color="auto"/>
          </w:divBdr>
        </w:div>
        <w:div w:id="728453894">
          <w:marLeft w:val="0"/>
          <w:marRight w:val="0"/>
          <w:marTop w:val="0"/>
          <w:marBottom w:val="0"/>
          <w:divBdr>
            <w:top w:val="none" w:sz="0" w:space="0" w:color="auto"/>
            <w:left w:val="none" w:sz="0" w:space="0" w:color="auto"/>
            <w:bottom w:val="single" w:sz="4" w:space="1" w:color="auto"/>
            <w:right w:val="none" w:sz="0" w:space="0" w:color="auto"/>
          </w:divBdr>
        </w:div>
        <w:div w:id="509687186">
          <w:marLeft w:val="0"/>
          <w:marRight w:val="0"/>
          <w:marTop w:val="0"/>
          <w:marBottom w:val="0"/>
          <w:divBdr>
            <w:top w:val="none" w:sz="0" w:space="0" w:color="auto"/>
            <w:left w:val="none" w:sz="0" w:space="0" w:color="auto"/>
            <w:bottom w:val="single" w:sz="4" w:space="1" w:color="auto"/>
            <w:right w:val="none" w:sz="0" w:space="0" w:color="auto"/>
          </w:divBdr>
        </w:div>
        <w:div w:id="1266694875">
          <w:marLeft w:val="0"/>
          <w:marRight w:val="0"/>
          <w:marTop w:val="0"/>
          <w:marBottom w:val="0"/>
          <w:divBdr>
            <w:top w:val="none" w:sz="0" w:space="0" w:color="auto"/>
            <w:left w:val="none" w:sz="0" w:space="0" w:color="auto"/>
            <w:bottom w:val="single" w:sz="4" w:space="1" w:color="auto"/>
            <w:right w:val="none" w:sz="0" w:space="0" w:color="auto"/>
          </w:divBdr>
        </w:div>
        <w:div w:id="1900743291">
          <w:marLeft w:val="0"/>
          <w:marRight w:val="0"/>
          <w:marTop w:val="0"/>
          <w:marBottom w:val="0"/>
          <w:divBdr>
            <w:top w:val="none" w:sz="0" w:space="0" w:color="auto"/>
            <w:left w:val="none" w:sz="0" w:space="0" w:color="auto"/>
            <w:bottom w:val="single" w:sz="4" w:space="1" w:color="auto"/>
            <w:right w:val="none" w:sz="0" w:space="0" w:color="auto"/>
          </w:divBdr>
        </w:div>
        <w:div w:id="159734022">
          <w:marLeft w:val="0"/>
          <w:marRight w:val="0"/>
          <w:marTop w:val="0"/>
          <w:marBottom w:val="0"/>
          <w:divBdr>
            <w:top w:val="none" w:sz="0" w:space="0" w:color="auto"/>
            <w:left w:val="none" w:sz="0" w:space="0" w:color="auto"/>
            <w:bottom w:val="single" w:sz="4" w:space="1" w:color="auto"/>
            <w:right w:val="none" w:sz="0" w:space="0" w:color="auto"/>
          </w:divBdr>
        </w:div>
        <w:div w:id="1527987372">
          <w:marLeft w:val="0"/>
          <w:marRight w:val="0"/>
          <w:marTop w:val="0"/>
          <w:marBottom w:val="0"/>
          <w:divBdr>
            <w:top w:val="none" w:sz="0" w:space="0" w:color="auto"/>
            <w:left w:val="none" w:sz="0" w:space="0" w:color="auto"/>
            <w:bottom w:val="single" w:sz="4" w:space="1" w:color="auto"/>
            <w:right w:val="none" w:sz="0" w:space="0" w:color="auto"/>
          </w:divBdr>
        </w:div>
        <w:div w:id="462695059">
          <w:marLeft w:val="0"/>
          <w:marRight w:val="0"/>
          <w:marTop w:val="0"/>
          <w:marBottom w:val="0"/>
          <w:divBdr>
            <w:top w:val="none" w:sz="0" w:space="0" w:color="auto"/>
            <w:left w:val="none" w:sz="0" w:space="0" w:color="auto"/>
            <w:bottom w:val="single" w:sz="4" w:space="1" w:color="auto"/>
            <w:right w:val="none" w:sz="0" w:space="0" w:color="auto"/>
          </w:divBdr>
        </w:div>
        <w:div w:id="1472554241">
          <w:marLeft w:val="0"/>
          <w:marRight w:val="0"/>
          <w:marTop w:val="0"/>
          <w:marBottom w:val="0"/>
          <w:divBdr>
            <w:top w:val="none" w:sz="0" w:space="0" w:color="auto"/>
            <w:left w:val="none" w:sz="0" w:space="0" w:color="auto"/>
            <w:bottom w:val="single" w:sz="4" w:space="1" w:color="auto"/>
            <w:right w:val="none" w:sz="0" w:space="0" w:color="auto"/>
          </w:divBdr>
        </w:div>
        <w:div w:id="2117476464">
          <w:marLeft w:val="0"/>
          <w:marRight w:val="0"/>
          <w:marTop w:val="0"/>
          <w:marBottom w:val="0"/>
          <w:divBdr>
            <w:top w:val="none" w:sz="0" w:space="0" w:color="auto"/>
            <w:left w:val="none" w:sz="0" w:space="0" w:color="auto"/>
            <w:bottom w:val="single" w:sz="4" w:space="1" w:color="auto"/>
            <w:right w:val="none" w:sz="0" w:space="0" w:color="auto"/>
          </w:divBdr>
        </w:div>
        <w:div w:id="1771119436">
          <w:marLeft w:val="0"/>
          <w:marRight w:val="0"/>
          <w:marTop w:val="0"/>
          <w:marBottom w:val="0"/>
          <w:divBdr>
            <w:top w:val="none" w:sz="0" w:space="0" w:color="auto"/>
            <w:left w:val="none" w:sz="0" w:space="0" w:color="auto"/>
            <w:bottom w:val="single" w:sz="4" w:space="1" w:color="auto"/>
            <w:right w:val="none" w:sz="0" w:space="0" w:color="auto"/>
          </w:divBdr>
        </w:div>
        <w:div w:id="550307400">
          <w:marLeft w:val="0"/>
          <w:marRight w:val="0"/>
          <w:marTop w:val="0"/>
          <w:marBottom w:val="0"/>
          <w:divBdr>
            <w:top w:val="none" w:sz="0" w:space="0" w:color="auto"/>
            <w:left w:val="none" w:sz="0" w:space="0" w:color="auto"/>
            <w:bottom w:val="single" w:sz="4" w:space="1" w:color="auto"/>
            <w:right w:val="none" w:sz="0" w:space="0" w:color="auto"/>
          </w:divBdr>
        </w:div>
        <w:div w:id="215358899">
          <w:marLeft w:val="0"/>
          <w:marRight w:val="0"/>
          <w:marTop w:val="0"/>
          <w:marBottom w:val="0"/>
          <w:divBdr>
            <w:top w:val="none" w:sz="0" w:space="0" w:color="auto"/>
            <w:left w:val="none" w:sz="0" w:space="0" w:color="auto"/>
            <w:bottom w:val="single" w:sz="4" w:space="1" w:color="auto"/>
            <w:right w:val="none" w:sz="0" w:space="0" w:color="auto"/>
          </w:divBdr>
        </w:div>
        <w:div w:id="1850171213">
          <w:marLeft w:val="0"/>
          <w:marRight w:val="0"/>
          <w:marTop w:val="0"/>
          <w:marBottom w:val="0"/>
          <w:divBdr>
            <w:top w:val="none" w:sz="0" w:space="0" w:color="auto"/>
            <w:left w:val="none" w:sz="0" w:space="0" w:color="auto"/>
            <w:bottom w:val="single" w:sz="4" w:space="1" w:color="auto"/>
            <w:right w:val="none" w:sz="0" w:space="0" w:color="auto"/>
          </w:divBdr>
        </w:div>
        <w:div w:id="748772224">
          <w:marLeft w:val="0"/>
          <w:marRight w:val="0"/>
          <w:marTop w:val="0"/>
          <w:marBottom w:val="0"/>
          <w:divBdr>
            <w:top w:val="none" w:sz="0" w:space="0" w:color="auto"/>
            <w:left w:val="none" w:sz="0" w:space="0" w:color="auto"/>
            <w:bottom w:val="single" w:sz="4" w:space="1" w:color="auto"/>
            <w:right w:val="none" w:sz="0" w:space="0" w:color="auto"/>
          </w:divBdr>
        </w:div>
        <w:div w:id="1837260916">
          <w:marLeft w:val="0"/>
          <w:marRight w:val="0"/>
          <w:marTop w:val="0"/>
          <w:marBottom w:val="0"/>
          <w:divBdr>
            <w:top w:val="none" w:sz="0" w:space="0" w:color="auto"/>
            <w:left w:val="none" w:sz="0" w:space="0" w:color="auto"/>
            <w:bottom w:val="single" w:sz="4" w:space="1" w:color="auto"/>
            <w:right w:val="none" w:sz="0" w:space="0" w:color="auto"/>
          </w:divBdr>
        </w:div>
        <w:div w:id="2004551645">
          <w:marLeft w:val="0"/>
          <w:marRight w:val="0"/>
          <w:marTop w:val="0"/>
          <w:marBottom w:val="0"/>
          <w:divBdr>
            <w:top w:val="none" w:sz="0" w:space="0" w:color="auto"/>
            <w:left w:val="none" w:sz="0" w:space="0" w:color="auto"/>
            <w:bottom w:val="single" w:sz="4" w:space="1" w:color="auto"/>
            <w:right w:val="none" w:sz="0" w:space="0" w:color="auto"/>
          </w:divBdr>
        </w:div>
        <w:div w:id="917516515">
          <w:marLeft w:val="0"/>
          <w:marRight w:val="0"/>
          <w:marTop w:val="0"/>
          <w:marBottom w:val="0"/>
          <w:divBdr>
            <w:top w:val="none" w:sz="0" w:space="0" w:color="auto"/>
            <w:left w:val="none" w:sz="0" w:space="0" w:color="auto"/>
            <w:bottom w:val="single" w:sz="4" w:space="1" w:color="auto"/>
            <w:right w:val="none" w:sz="0" w:space="0" w:color="auto"/>
          </w:divBdr>
        </w:div>
        <w:div w:id="44915670">
          <w:marLeft w:val="0"/>
          <w:marRight w:val="0"/>
          <w:marTop w:val="0"/>
          <w:marBottom w:val="0"/>
          <w:divBdr>
            <w:top w:val="none" w:sz="0" w:space="0" w:color="auto"/>
            <w:left w:val="none" w:sz="0" w:space="0" w:color="auto"/>
            <w:bottom w:val="single" w:sz="4" w:space="1" w:color="auto"/>
            <w:right w:val="none" w:sz="0" w:space="0" w:color="auto"/>
          </w:divBdr>
        </w:div>
        <w:div w:id="1030492721">
          <w:marLeft w:val="0"/>
          <w:marRight w:val="0"/>
          <w:marTop w:val="0"/>
          <w:marBottom w:val="0"/>
          <w:divBdr>
            <w:top w:val="none" w:sz="0" w:space="0" w:color="auto"/>
            <w:left w:val="none" w:sz="0" w:space="0" w:color="auto"/>
            <w:bottom w:val="single" w:sz="4" w:space="1" w:color="auto"/>
            <w:right w:val="none" w:sz="0" w:space="0" w:color="auto"/>
          </w:divBdr>
        </w:div>
        <w:div w:id="1819302473">
          <w:marLeft w:val="0"/>
          <w:marRight w:val="0"/>
          <w:marTop w:val="0"/>
          <w:marBottom w:val="0"/>
          <w:divBdr>
            <w:top w:val="none" w:sz="0" w:space="0" w:color="auto"/>
            <w:left w:val="none" w:sz="0" w:space="0" w:color="auto"/>
            <w:bottom w:val="single" w:sz="4" w:space="1" w:color="auto"/>
            <w:right w:val="none" w:sz="0" w:space="0" w:color="auto"/>
          </w:divBdr>
        </w:div>
        <w:div w:id="1345748576">
          <w:marLeft w:val="0"/>
          <w:marRight w:val="0"/>
          <w:marTop w:val="0"/>
          <w:marBottom w:val="0"/>
          <w:divBdr>
            <w:top w:val="none" w:sz="0" w:space="0" w:color="auto"/>
            <w:left w:val="none" w:sz="0" w:space="0" w:color="auto"/>
            <w:bottom w:val="single" w:sz="4" w:space="1" w:color="auto"/>
            <w:right w:val="none" w:sz="0" w:space="0" w:color="auto"/>
          </w:divBdr>
        </w:div>
        <w:div w:id="1768231244">
          <w:marLeft w:val="0"/>
          <w:marRight w:val="0"/>
          <w:marTop w:val="0"/>
          <w:marBottom w:val="0"/>
          <w:divBdr>
            <w:top w:val="none" w:sz="0" w:space="0" w:color="auto"/>
            <w:left w:val="none" w:sz="0" w:space="0" w:color="auto"/>
            <w:bottom w:val="single" w:sz="4" w:space="1" w:color="auto"/>
            <w:right w:val="none" w:sz="0" w:space="0" w:color="auto"/>
          </w:divBdr>
        </w:div>
        <w:div w:id="746344228">
          <w:marLeft w:val="0"/>
          <w:marRight w:val="0"/>
          <w:marTop w:val="0"/>
          <w:marBottom w:val="0"/>
          <w:divBdr>
            <w:top w:val="none" w:sz="0" w:space="0" w:color="auto"/>
            <w:left w:val="none" w:sz="0" w:space="0" w:color="auto"/>
            <w:bottom w:val="single" w:sz="4" w:space="1" w:color="auto"/>
            <w:right w:val="none" w:sz="0" w:space="0" w:color="auto"/>
          </w:divBdr>
        </w:div>
        <w:div w:id="1003358281">
          <w:marLeft w:val="0"/>
          <w:marRight w:val="0"/>
          <w:marTop w:val="0"/>
          <w:marBottom w:val="0"/>
          <w:divBdr>
            <w:top w:val="none" w:sz="0" w:space="0" w:color="auto"/>
            <w:left w:val="none" w:sz="0" w:space="0" w:color="auto"/>
            <w:bottom w:val="single" w:sz="4" w:space="1" w:color="auto"/>
            <w:right w:val="none" w:sz="0" w:space="0" w:color="auto"/>
          </w:divBdr>
        </w:div>
        <w:div w:id="1867867286">
          <w:marLeft w:val="0"/>
          <w:marRight w:val="0"/>
          <w:marTop w:val="0"/>
          <w:marBottom w:val="0"/>
          <w:divBdr>
            <w:top w:val="none" w:sz="0" w:space="0" w:color="auto"/>
            <w:left w:val="none" w:sz="0" w:space="0" w:color="auto"/>
            <w:bottom w:val="single" w:sz="4" w:space="1" w:color="auto"/>
            <w:right w:val="none" w:sz="0" w:space="0" w:color="auto"/>
          </w:divBdr>
        </w:div>
        <w:div w:id="8534114">
          <w:marLeft w:val="0"/>
          <w:marRight w:val="0"/>
          <w:marTop w:val="0"/>
          <w:marBottom w:val="0"/>
          <w:divBdr>
            <w:top w:val="none" w:sz="0" w:space="0" w:color="auto"/>
            <w:left w:val="none" w:sz="0" w:space="0" w:color="auto"/>
            <w:bottom w:val="single" w:sz="4" w:space="1" w:color="auto"/>
            <w:right w:val="none" w:sz="0" w:space="0" w:color="auto"/>
          </w:divBdr>
        </w:div>
        <w:div w:id="228662173">
          <w:marLeft w:val="0"/>
          <w:marRight w:val="0"/>
          <w:marTop w:val="0"/>
          <w:marBottom w:val="0"/>
          <w:divBdr>
            <w:top w:val="none" w:sz="0" w:space="0" w:color="auto"/>
            <w:left w:val="none" w:sz="0" w:space="0" w:color="auto"/>
            <w:bottom w:val="single" w:sz="4" w:space="1" w:color="auto"/>
            <w:right w:val="none" w:sz="0" w:space="0" w:color="auto"/>
          </w:divBdr>
        </w:div>
        <w:div w:id="1547448760">
          <w:marLeft w:val="0"/>
          <w:marRight w:val="0"/>
          <w:marTop w:val="0"/>
          <w:marBottom w:val="0"/>
          <w:divBdr>
            <w:top w:val="none" w:sz="0" w:space="0" w:color="auto"/>
            <w:left w:val="none" w:sz="0" w:space="0" w:color="auto"/>
            <w:bottom w:val="single" w:sz="4" w:space="1" w:color="auto"/>
            <w:right w:val="none" w:sz="0" w:space="0" w:color="auto"/>
          </w:divBdr>
        </w:div>
        <w:div w:id="128019997">
          <w:marLeft w:val="0"/>
          <w:marRight w:val="0"/>
          <w:marTop w:val="0"/>
          <w:marBottom w:val="0"/>
          <w:divBdr>
            <w:top w:val="none" w:sz="0" w:space="0" w:color="auto"/>
            <w:left w:val="none" w:sz="0" w:space="0" w:color="auto"/>
            <w:bottom w:val="single" w:sz="4" w:space="1" w:color="auto"/>
            <w:right w:val="none" w:sz="0" w:space="0" w:color="auto"/>
          </w:divBdr>
        </w:div>
        <w:div w:id="1908224474">
          <w:marLeft w:val="0"/>
          <w:marRight w:val="0"/>
          <w:marTop w:val="0"/>
          <w:marBottom w:val="0"/>
          <w:divBdr>
            <w:top w:val="none" w:sz="0" w:space="0" w:color="auto"/>
            <w:left w:val="none" w:sz="0" w:space="0" w:color="auto"/>
            <w:bottom w:val="single" w:sz="4" w:space="1" w:color="auto"/>
            <w:right w:val="none" w:sz="0" w:space="0" w:color="auto"/>
          </w:divBdr>
        </w:div>
        <w:div w:id="229465160">
          <w:marLeft w:val="0"/>
          <w:marRight w:val="0"/>
          <w:marTop w:val="0"/>
          <w:marBottom w:val="0"/>
          <w:divBdr>
            <w:top w:val="none" w:sz="0" w:space="0" w:color="auto"/>
            <w:left w:val="none" w:sz="0" w:space="0" w:color="auto"/>
            <w:bottom w:val="single" w:sz="4" w:space="1" w:color="auto"/>
            <w:right w:val="none" w:sz="0" w:space="0" w:color="auto"/>
          </w:divBdr>
        </w:div>
        <w:div w:id="1459031243">
          <w:marLeft w:val="0"/>
          <w:marRight w:val="0"/>
          <w:marTop w:val="0"/>
          <w:marBottom w:val="0"/>
          <w:divBdr>
            <w:top w:val="none" w:sz="0" w:space="0" w:color="auto"/>
            <w:left w:val="none" w:sz="0" w:space="0" w:color="auto"/>
            <w:bottom w:val="single" w:sz="4" w:space="1" w:color="auto"/>
            <w:right w:val="none" w:sz="0" w:space="0" w:color="auto"/>
          </w:divBdr>
        </w:div>
        <w:div w:id="1390881054">
          <w:marLeft w:val="0"/>
          <w:marRight w:val="0"/>
          <w:marTop w:val="0"/>
          <w:marBottom w:val="0"/>
          <w:divBdr>
            <w:top w:val="none" w:sz="0" w:space="0" w:color="auto"/>
            <w:left w:val="none" w:sz="0" w:space="0" w:color="auto"/>
            <w:bottom w:val="single" w:sz="4" w:space="1" w:color="auto"/>
            <w:right w:val="none" w:sz="0" w:space="0" w:color="auto"/>
          </w:divBdr>
        </w:div>
        <w:div w:id="2111462893">
          <w:marLeft w:val="0"/>
          <w:marRight w:val="0"/>
          <w:marTop w:val="0"/>
          <w:marBottom w:val="0"/>
          <w:divBdr>
            <w:top w:val="none" w:sz="0" w:space="0" w:color="auto"/>
            <w:left w:val="none" w:sz="0" w:space="0" w:color="auto"/>
            <w:bottom w:val="single" w:sz="4" w:space="1" w:color="auto"/>
            <w:right w:val="none" w:sz="0" w:space="0" w:color="auto"/>
          </w:divBdr>
        </w:div>
        <w:div w:id="1919293010">
          <w:marLeft w:val="0"/>
          <w:marRight w:val="0"/>
          <w:marTop w:val="0"/>
          <w:marBottom w:val="0"/>
          <w:divBdr>
            <w:top w:val="none" w:sz="0" w:space="0" w:color="auto"/>
            <w:left w:val="none" w:sz="0" w:space="0" w:color="auto"/>
            <w:bottom w:val="single" w:sz="4" w:space="1" w:color="auto"/>
            <w:right w:val="none" w:sz="0" w:space="0" w:color="auto"/>
          </w:divBdr>
        </w:div>
        <w:div w:id="1563060621">
          <w:marLeft w:val="0"/>
          <w:marRight w:val="0"/>
          <w:marTop w:val="0"/>
          <w:marBottom w:val="0"/>
          <w:divBdr>
            <w:top w:val="none" w:sz="0" w:space="0" w:color="auto"/>
            <w:left w:val="none" w:sz="0" w:space="0" w:color="auto"/>
            <w:bottom w:val="single" w:sz="4" w:space="1" w:color="auto"/>
            <w:right w:val="none" w:sz="0" w:space="0" w:color="auto"/>
          </w:divBdr>
        </w:div>
        <w:div w:id="1544244971">
          <w:marLeft w:val="0"/>
          <w:marRight w:val="0"/>
          <w:marTop w:val="0"/>
          <w:marBottom w:val="0"/>
          <w:divBdr>
            <w:top w:val="none" w:sz="0" w:space="0" w:color="auto"/>
            <w:left w:val="none" w:sz="0" w:space="0" w:color="auto"/>
            <w:bottom w:val="single" w:sz="4" w:space="1" w:color="auto"/>
            <w:right w:val="none" w:sz="0" w:space="0" w:color="auto"/>
          </w:divBdr>
        </w:div>
        <w:div w:id="643854670">
          <w:marLeft w:val="0"/>
          <w:marRight w:val="0"/>
          <w:marTop w:val="0"/>
          <w:marBottom w:val="0"/>
          <w:divBdr>
            <w:top w:val="none" w:sz="0" w:space="0" w:color="auto"/>
            <w:left w:val="none" w:sz="0" w:space="0" w:color="auto"/>
            <w:bottom w:val="single" w:sz="4" w:space="1" w:color="auto"/>
            <w:right w:val="none" w:sz="0" w:space="0" w:color="auto"/>
          </w:divBdr>
        </w:div>
        <w:div w:id="2031563034">
          <w:marLeft w:val="0"/>
          <w:marRight w:val="0"/>
          <w:marTop w:val="0"/>
          <w:marBottom w:val="0"/>
          <w:divBdr>
            <w:top w:val="none" w:sz="0" w:space="0" w:color="auto"/>
            <w:left w:val="none" w:sz="0" w:space="0" w:color="auto"/>
            <w:bottom w:val="single" w:sz="4" w:space="1" w:color="auto"/>
            <w:right w:val="none" w:sz="0" w:space="0" w:color="auto"/>
          </w:divBdr>
        </w:div>
        <w:div w:id="1126048289">
          <w:marLeft w:val="0"/>
          <w:marRight w:val="0"/>
          <w:marTop w:val="0"/>
          <w:marBottom w:val="0"/>
          <w:divBdr>
            <w:top w:val="none" w:sz="0" w:space="0" w:color="auto"/>
            <w:left w:val="none" w:sz="0" w:space="0" w:color="auto"/>
            <w:bottom w:val="single" w:sz="4" w:space="1" w:color="auto"/>
            <w:right w:val="none" w:sz="0" w:space="0" w:color="auto"/>
          </w:divBdr>
        </w:div>
        <w:div w:id="1484002892">
          <w:marLeft w:val="0"/>
          <w:marRight w:val="0"/>
          <w:marTop w:val="0"/>
          <w:marBottom w:val="0"/>
          <w:divBdr>
            <w:top w:val="none" w:sz="0" w:space="0" w:color="auto"/>
            <w:left w:val="none" w:sz="0" w:space="0" w:color="auto"/>
            <w:bottom w:val="single" w:sz="4" w:space="1" w:color="auto"/>
            <w:right w:val="none" w:sz="0" w:space="0" w:color="auto"/>
          </w:divBdr>
        </w:div>
        <w:div w:id="2084910477">
          <w:marLeft w:val="0"/>
          <w:marRight w:val="0"/>
          <w:marTop w:val="0"/>
          <w:marBottom w:val="0"/>
          <w:divBdr>
            <w:top w:val="none" w:sz="0" w:space="0" w:color="auto"/>
            <w:left w:val="none" w:sz="0" w:space="0" w:color="auto"/>
            <w:bottom w:val="single" w:sz="4" w:space="1" w:color="auto"/>
            <w:right w:val="none" w:sz="0" w:space="0" w:color="auto"/>
          </w:divBdr>
        </w:div>
        <w:div w:id="1759595745">
          <w:marLeft w:val="0"/>
          <w:marRight w:val="0"/>
          <w:marTop w:val="0"/>
          <w:marBottom w:val="0"/>
          <w:divBdr>
            <w:top w:val="none" w:sz="0" w:space="0" w:color="auto"/>
            <w:left w:val="none" w:sz="0" w:space="0" w:color="auto"/>
            <w:bottom w:val="single" w:sz="4" w:space="1" w:color="auto"/>
            <w:right w:val="none" w:sz="0" w:space="0" w:color="auto"/>
          </w:divBdr>
        </w:div>
        <w:div w:id="2039356743">
          <w:marLeft w:val="0"/>
          <w:marRight w:val="0"/>
          <w:marTop w:val="0"/>
          <w:marBottom w:val="0"/>
          <w:divBdr>
            <w:top w:val="none" w:sz="0" w:space="0" w:color="auto"/>
            <w:left w:val="none" w:sz="0" w:space="0" w:color="auto"/>
            <w:bottom w:val="single" w:sz="4" w:space="1" w:color="auto"/>
            <w:right w:val="none" w:sz="0" w:space="0" w:color="auto"/>
          </w:divBdr>
        </w:div>
        <w:div w:id="1132358743">
          <w:marLeft w:val="0"/>
          <w:marRight w:val="0"/>
          <w:marTop w:val="0"/>
          <w:marBottom w:val="0"/>
          <w:divBdr>
            <w:top w:val="none" w:sz="0" w:space="0" w:color="auto"/>
            <w:left w:val="none" w:sz="0" w:space="0" w:color="auto"/>
            <w:bottom w:val="single" w:sz="4" w:space="1" w:color="auto"/>
            <w:right w:val="none" w:sz="0" w:space="0" w:color="auto"/>
          </w:divBdr>
        </w:div>
        <w:div w:id="1794443987">
          <w:marLeft w:val="0"/>
          <w:marRight w:val="0"/>
          <w:marTop w:val="0"/>
          <w:marBottom w:val="0"/>
          <w:divBdr>
            <w:top w:val="none" w:sz="0" w:space="0" w:color="auto"/>
            <w:left w:val="none" w:sz="0" w:space="0" w:color="auto"/>
            <w:bottom w:val="single" w:sz="4" w:space="1" w:color="auto"/>
            <w:right w:val="none" w:sz="0" w:space="0" w:color="auto"/>
          </w:divBdr>
        </w:div>
        <w:div w:id="1184200054">
          <w:marLeft w:val="0"/>
          <w:marRight w:val="0"/>
          <w:marTop w:val="0"/>
          <w:marBottom w:val="0"/>
          <w:divBdr>
            <w:top w:val="none" w:sz="0" w:space="0" w:color="auto"/>
            <w:left w:val="none" w:sz="0" w:space="0" w:color="auto"/>
            <w:bottom w:val="single" w:sz="4" w:space="1" w:color="auto"/>
            <w:right w:val="none" w:sz="0" w:space="0" w:color="auto"/>
          </w:divBdr>
        </w:div>
        <w:div w:id="1724787760">
          <w:marLeft w:val="0"/>
          <w:marRight w:val="0"/>
          <w:marTop w:val="0"/>
          <w:marBottom w:val="0"/>
          <w:divBdr>
            <w:top w:val="none" w:sz="0" w:space="0" w:color="auto"/>
            <w:left w:val="none" w:sz="0" w:space="0" w:color="auto"/>
            <w:bottom w:val="single" w:sz="4" w:space="1" w:color="auto"/>
            <w:right w:val="none" w:sz="0" w:space="0" w:color="auto"/>
          </w:divBdr>
        </w:div>
        <w:div w:id="958336377">
          <w:marLeft w:val="0"/>
          <w:marRight w:val="0"/>
          <w:marTop w:val="0"/>
          <w:marBottom w:val="0"/>
          <w:divBdr>
            <w:top w:val="none" w:sz="0" w:space="0" w:color="auto"/>
            <w:left w:val="none" w:sz="0" w:space="0" w:color="auto"/>
            <w:bottom w:val="single" w:sz="4" w:space="1" w:color="auto"/>
            <w:right w:val="none" w:sz="0" w:space="0" w:color="auto"/>
          </w:divBdr>
        </w:div>
        <w:div w:id="1475565399">
          <w:marLeft w:val="0"/>
          <w:marRight w:val="0"/>
          <w:marTop w:val="0"/>
          <w:marBottom w:val="0"/>
          <w:divBdr>
            <w:top w:val="none" w:sz="0" w:space="0" w:color="auto"/>
            <w:left w:val="none" w:sz="0" w:space="0" w:color="auto"/>
            <w:bottom w:val="single" w:sz="4" w:space="1" w:color="auto"/>
            <w:right w:val="none" w:sz="0" w:space="0" w:color="auto"/>
          </w:divBdr>
        </w:div>
        <w:div w:id="1098060814">
          <w:marLeft w:val="0"/>
          <w:marRight w:val="0"/>
          <w:marTop w:val="0"/>
          <w:marBottom w:val="0"/>
          <w:divBdr>
            <w:top w:val="none" w:sz="0" w:space="0" w:color="auto"/>
            <w:left w:val="none" w:sz="0" w:space="0" w:color="auto"/>
            <w:bottom w:val="single" w:sz="4" w:space="1" w:color="auto"/>
            <w:right w:val="none" w:sz="0" w:space="0" w:color="auto"/>
          </w:divBdr>
        </w:div>
        <w:div w:id="2051608479">
          <w:marLeft w:val="0"/>
          <w:marRight w:val="0"/>
          <w:marTop w:val="0"/>
          <w:marBottom w:val="0"/>
          <w:divBdr>
            <w:top w:val="none" w:sz="0" w:space="0" w:color="auto"/>
            <w:left w:val="none" w:sz="0" w:space="0" w:color="auto"/>
            <w:bottom w:val="single" w:sz="4" w:space="1" w:color="auto"/>
            <w:right w:val="none" w:sz="0" w:space="0" w:color="auto"/>
          </w:divBdr>
        </w:div>
        <w:div w:id="1601452880">
          <w:marLeft w:val="0"/>
          <w:marRight w:val="0"/>
          <w:marTop w:val="0"/>
          <w:marBottom w:val="0"/>
          <w:divBdr>
            <w:top w:val="none" w:sz="0" w:space="0" w:color="auto"/>
            <w:left w:val="none" w:sz="0" w:space="0" w:color="auto"/>
            <w:bottom w:val="single" w:sz="4" w:space="1" w:color="auto"/>
            <w:right w:val="none" w:sz="0" w:space="0" w:color="auto"/>
          </w:divBdr>
        </w:div>
        <w:div w:id="89786989">
          <w:marLeft w:val="0"/>
          <w:marRight w:val="0"/>
          <w:marTop w:val="0"/>
          <w:marBottom w:val="0"/>
          <w:divBdr>
            <w:top w:val="none" w:sz="0" w:space="0" w:color="auto"/>
            <w:left w:val="none" w:sz="0" w:space="0" w:color="auto"/>
            <w:bottom w:val="single" w:sz="4" w:space="1" w:color="auto"/>
            <w:right w:val="none" w:sz="0" w:space="0" w:color="auto"/>
          </w:divBdr>
        </w:div>
        <w:div w:id="165825434">
          <w:marLeft w:val="0"/>
          <w:marRight w:val="0"/>
          <w:marTop w:val="0"/>
          <w:marBottom w:val="0"/>
          <w:divBdr>
            <w:top w:val="none" w:sz="0" w:space="0" w:color="auto"/>
            <w:left w:val="none" w:sz="0" w:space="0" w:color="auto"/>
            <w:bottom w:val="single" w:sz="4" w:space="1" w:color="auto"/>
            <w:right w:val="none" w:sz="0" w:space="0" w:color="auto"/>
          </w:divBdr>
        </w:div>
        <w:div w:id="1936282523">
          <w:marLeft w:val="0"/>
          <w:marRight w:val="0"/>
          <w:marTop w:val="0"/>
          <w:marBottom w:val="0"/>
          <w:divBdr>
            <w:top w:val="none" w:sz="0" w:space="0" w:color="auto"/>
            <w:left w:val="none" w:sz="0" w:space="0" w:color="auto"/>
            <w:bottom w:val="single" w:sz="4" w:space="1" w:color="auto"/>
            <w:right w:val="none" w:sz="0" w:space="0" w:color="auto"/>
          </w:divBdr>
        </w:div>
        <w:div w:id="1912881604">
          <w:marLeft w:val="0"/>
          <w:marRight w:val="0"/>
          <w:marTop w:val="0"/>
          <w:marBottom w:val="0"/>
          <w:divBdr>
            <w:top w:val="none" w:sz="0" w:space="0" w:color="auto"/>
            <w:left w:val="none" w:sz="0" w:space="0" w:color="auto"/>
            <w:bottom w:val="single" w:sz="4" w:space="1" w:color="auto"/>
            <w:right w:val="none" w:sz="0" w:space="0" w:color="auto"/>
          </w:divBdr>
        </w:div>
        <w:div w:id="365713288">
          <w:marLeft w:val="0"/>
          <w:marRight w:val="0"/>
          <w:marTop w:val="0"/>
          <w:marBottom w:val="0"/>
          <w:divBdr>
            <w:top w:val="none" w:sz="0" w:space="0" w:color="auto"/>
            <w:left w:val="none" w:sz="0" w:space="0" w:color="auto"/>
            <w:bottom w:val="single" w:sz="4" w:space="1" w:color="auto"/>
            <w:right w:val="none" w:sz="0" w:space="0" w:color="auto"/>
          </w:divBdr>
        </w:div>
        <w:div w:id="385492675">
          <w:marLeft w:val="0"/>
          <w:marRight w:val="0"/>
          <w:marTop w:val="0"/>
          <w:marBottom w:val="0"/>
          <w:divBdr>
            <w:top w:val="none" w:sz="0" w:space="0" w:color="auto"/>
            <w:left w:val="none" w:sz="0" w:space="0" w:color="auto"/>
            <w:bottom w:val="single" w:sz="4" w:space="1" w:color="auto"/>
            <w:right w:val="none" w:sz="0" w:space="0" w:color="auto"/>
          </w:divBdr>
        </w:div>
        <w:div w:id="330791366">
          <w:marLeft w:val="0"/>
          <w:marRight w:val="0"/>
          <w:marTop w:val="0"/>
          <w:marBottom w:val="0"/>
          <w:divBdr>
            <w:top w:val="none" w:sz="0" w:space="0" w:color="auto"/>
            <w:left w:val="none" w:sz="0" w:space="0" w:color="auto"/>
            <w:bottom w:val="single" w:sz="4" w:space="1" w:color="auto"/>
            <w:right w:val="none" w:sz="0" w:space="0" w:color="auto"/>
          </w:divBdr>
        </w:div>
        <w:div w:id="1163352132">
          <w:marLeft w:val="0"/>
          <w:marRight w:val="0"/>
          <w:marTop w:val="0"/>
          <w:marBottom w:val="0"/>
          <w:divBdr>
            <w:top w:val="none" w:sz="0" w:space="0" w:color="auto"/>
            <w:left w:val="none" w:sz="0" w:space="0" w:color="auto"/>
            <w:bottom w:val="single" w:sz="4" w:space="1" w:color="auto"/>
            <w:right w:val="none" w:sz="0" w:space="0" w:color="auto"/>
          </w:divBdr>
        </w:div>
        <w:div w:id="1021668387">
          <w:marLeft w:val="0"/>
          <w:marRight w:val="0"/>
          <w:marTop w:val="0"/>
          <w:marBottom w:val="0"/>
          <w:divBdr>
            <w:top w:val="none" w:sz="0" w:space="0" w:color="auto"/>
            <w:left w:val="none" w:sz="0" w:space="0" w:color="auto"/>
            <w:bottom w:val="single" w:sz="4" w:space="1" w:color="auto"/>
            <w:right w:val="none" w:sz="0" w:space="0" w:color="auto"/>
          </w:divBdr>
        </w:div>
        <w:div w:id="687483199">
          <w:marLeft w:val="0"/>
          <w:marRight w:val="0"/>
          <w:marTop w:val="0"/>
          <w:marBottom w:val="0"/>
          <w:divBdr>
            <w:top w:val="none" w:sz="0" w:space="0" w:color="auto"/>
            <w:left w:val="none" w:sz="0" w:space="0" w:color="auto"/>
            <w:bottom w:val="single" w:sz="4" w:space="1" w:color="auto"/>
            <w:right w:val="none" w:sz="0" w:space="0" w:color="auto"/>
          </w:divBdr>
        </w:div>
        <w:div w:id="1638484343">
          <w:marLeft w:val="0"/>
          <w:marRight w:val="0"/>
          <w:marTop w:val="0"/>
          <w:marBottom w:val="0"/>
          <w:divBdr>
            <w:top w:val="none" w:sz="0" w:space="0" w:color="auto"/>
            <w:left w:val="none" w:sz="0" w:space="0" w:color="auto"/>
            <w:bottom w:val="single" w:sz="4" w:space="1" w:color="auto"/>
            <w:right w:val="none" w:sz="0" w:space="0" w:color="auto"/>
          </w:divBdr>
        </w:div>
        <w:div w:id="2131629669">
          <w:marLeft w:val="0"/>
          <w:marRight w:val="0"/>
          <w:marTop w:val="0"/>
          <w:marBottom w:val="0"/>
          <w:divBdr>
            <w:top w:val="none" w:sz="0" w:space="0" w:color="auto"/>
            <w:left w:val="none" w:sz="0" w:space="0" w:color="auto"/>
            <w:bottom w:val="single" w:sz="4" w:space="1" w:color="auto"/>
            <w:right w:val="none" w:sz="0" w:space="0" w:color="auto"/>
          </w:divBdr>
        </w:div>
        <w:div w:id="810248522">
          <w:marLeft w:val="0"/>
          <w:marRight w:val="0"/>
          <w:marTop w:val="0"/>
          <w:marBottom w:val="0"/>
          <w:divBdr>
            <w:top w:val="none" w:sz="0" w:space="0" w:color="auto"/>
            <w:left w:val="none" w:sz="0" w:space="0" w:color="auto"/>
            <w:bottom w:val="single" w:sz="4" w:space="1" w:color="auto"/>
            <w:right w:val="none" w:sz="0" w:space="0" w:color="auto"/>
          </w:divBdr>
        </w:div>
        <w:div w:id="1471827219">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IRUMBV\Documents\Aritz\Otros\Documentos%20administrativos\Plantillas%20Documentos\Plantilla%20Dpto%20XII%20legislatu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BC3C4219C0B4CBF50F004A6A16C40" ma:contentTypeVersion="4" ma:contentTypeDescription="Crear nuevo documento." ma:contentTypeScope="" ma:versionID="b7ad672136c816c1a74a8df2942b71e0">
  <xsd:schema xmlns:xsd="http://www.w3.org/2001/XMLSchema" xmlns:xs="http://www.w3.org/2001/XMLSchema" xmlns:p="http://schemas.microsoft.com/office/2006/metadata/properties" xmlns:ns2="46f43dac-e352-4040-9870-54a03c4152e9" xmlns:ns3="a0eed0c6-a2f9-4b40-929b-2662350a63c6" targetNamespace="http://schemas.microsoft.com/office/2006/metadata/properties" ma:root="true" ma:fieldsID="f9c1ef9a317b2726beed536918b23eaa" ns2:_="" ns3:_="">
    <xsd:import namespace="46f43dac-e352-4040-9870-54a03c4152e9"/>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43dac-e352-4040-9870-54a03c415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C8588A-5CD2-47EC-895A-363321C8C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43dac-e352-4040-9870-54a03c4152e9"/>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739CA-0CC4-4300-825A-0D07ACC3A4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2E30E8-3722-44E0-B091-8E550011E2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Dpto XII legislatura.dotx</Template>
  <TotalTime>234</TotalTime>
  <Pages>11</Pages>
  <Words>4990</Words>
  <Characters>27448</Characters>
  <Application>Microsoft Office Word</Application>
  <DocSecurity>0</DocSecurity>
  <Lines>228</Lines>
  <Paragraphs>64</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Plantilla normalizada para WORD</vt:lpstr>
      <vt:lpstr>Plantilla normalizada para WORD</vt:lpstr>
    </vt:vector>
  </TitlesOfParts>
  <Company>EJIE</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Virumbrales Vinagret, Aritz</dc:creator>
  <cp:lastModifiedBy>Vea-Murguia Anda, Ana</cp:lastModifiedBy>
  <cp:revision>30</cp:revision>
  <cp:lastPrinted>2001-01-19T12:35:00Z</cp:lastPrinted>
  <dcterms:created xsi:type="dcterms:W3CDTF">2022-03-21T11:00:00Z</dcterms:created>
  <dcterms:modified xsi:type="dcterms:W3CDTF">2022-06-08T11:31:00Z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0x0101002A9BC3C4219C0B4CBF50F004A6A16C40</vt:lpwstr>
  </property>
</Properties>
</file>