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0519" w14:textId="777AD772" w:rsidR="00FE4746" w:rsidRPr="004040E8" w:rsidRDefault="00FE4746" w:rsidP="00FE4746">
      <w:pPr>
        <w:autoSpaceDE w:val="0"/>
        <w:autoSpaceDN w:val="0"/>
        <w:adjustRightInd w:val="0"/>
        <w:spacing w:before="100" w:beforeAutospacing="1" w:after="100" w:afterAutospacing="1"/>
        <w:rPr>
          <w:b/>
          <w:bCs/>
          <w:sz w:val="28"/>
          <w:szCs w:val="28"/>
        </w:rPr>
      </w:pPr>
      <w:r w:rsidRPr="004040E8">
        <w:rPr>
          <w:b/>
          <w:bCs/>
          <w:sz w:val="28"/>
          <w:szCs w:val="28"/>
        </w:rPr>
        <w:t>ACTIVIDADES ADMINISTRATIVAS EXTERNALIZADAS MEDIANTE CONTRATOS DE ASISTENCIA</w:t>
      </w:r>
      <w:r w:rsidR="004946B0" w:rsidRPr="004040E8">
        <w:rPr>
          <w:b/>
          <w:bCs/>
          <w:sz w:val="28"/>
          <w:szCs w:val="28"/>
        </w:rPr>
        <w:t xml:space="preserve"> </w:t>
      </w:r>
      <w:r w:rsidR="00AA5C08" w:rsidRPr="004040E8">
        <w:rPr>
          <w:b/>
          <w:bCs/>
          <w:sz w:val="28"/>
          <w:szCs w:val="28"/>
        </w:rPr>
        <w:t>- 2021</w:t>
      </w:r>
    </w:p>
    <w:p w14:paraId="0612497B" w14:textId="77777777" w:rsidR="00FE4746" w:rsidRPr="00552083" w:rsidRDefault="00FE4746" w:rsidP="00FE4746">
      <w:pPr>
        <w:pStyle w:val="Prrafodelista"/>
        <w:autoSpaceDE w:val="0"/>
        <w:autoSpaceDN w:val="0"/>
        <w:adjustRightInd w:val="0"/>
        <w:rPr>
          <w:sz w:val="22"/>
        </w:rPr>
      </w:pPr>
    </w:p>
    <w:p w14:paraId="0699AC68" w14:textId="77777777" w:rsidR="00FE4746" w:rsidRPr="00552083" w:rsidRDefault="00FE4746" w:rsidP="004946B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552083">
        <w:rPr>
          <w:sz w:val="24"/>
          <w:szCs w:val="24"/>
        </w:rPr>
        <w:t>Adquisición, mantenimiento y formación de los aplicativos de gestión integral municipal y de otros entes locales.</w:t>
      </w:r>
    </w:p>
    <w:p w14:paraId="5077D883" w14:textId="77777777" w:rsidR="004946B0" w:rsidRPr="00552083" w:rsidRDefault="004946B0" w:rsidP="004946B0">
      <w:pPr>
        <w:pStyle w:val="Prrafodelista"/>
        <w:autoSpaceDE w:val="0"/>
        <w:autoSpaceDN w:val="0"/>
        <w:adjustRightInd w:val="0"/>
        <w:spacing w:before="120" w:after="120"/>
        <w:rPr>
          <w:sz w:val="24"/>
          <w:szCs w:val="24"/>
        </w:rPr>
      </w:pPr>
    </w:p>
    <w:p w14:paraId="20BA056A" w14:textId="77777777" w:rsidR="00FE4746" w:rsidRPr="00552083" w:rsidRDefault="004946B0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552083">
        <w:rPr>
          <w:sz w:val="24"/>
          <w:szCs w:val="24"/>
        </w:rPr>
        <w:t>Encargo</w:t>
      </w:r>
      <w:r w:rsidR="00FE4746" w:rsidRPr="00552083">
        <w:rPr>
          <w:sz w:val="24"/>
          <w:szCs w:val="24"/>
        </w:rPr>
        <w:t xml:space="preserve"> al Centro de Cálculo de Álava S.A. </w:t>
      </w:r>
      <w:r w:rsidR="00613F6F" w:rsidRPr="00552083">
        <w:rPr>
          <w:sz w:val="24"/>
          <w:szCs w:val="24"/>
        </w:rPr>
        <w:t xml:space="preserve">de </w:t>
      </w:r>
      <w:r w:rsidR="00FE4746" w:rsidRPr="00552083">
        <w:rPr>
          <w:sz w:val="24"/>
          <w:szCs w:val="24"/>
        </w:rPr>
        <w:t>los trabajos para el mantenimiento y soporte del sistema de comunicación global que sustenta el sistema de gestión informática de las Entidades Locales de Álava.</w:t>
      </w:r>
    </w:p>
    <w:p w14:paraId="1B6E7599" w14:textId="77777777" w:rsidR="004946B0" w:rsidRPr="00552083" w:rsidRDefault="004946B0" w:rsidP="004946B0">
      <w:pPr>
        <w:pStyle w:val="Prrafodelista"/>
        <w:rPr>
          <w:sz w:val="24"/>
          <w:szCs w:val="24"/>
        </w:rPr>
      </w:pPr>
    </w:p>
    <w:p w14:paraId="77A229FF" w14:textId="77777777" w:rsidR="00FE4746" w:rsidRPr="00552083" w:rsidRDefault="004946B0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552083">
        <w:rPr>
          <w:sz w:val="24"/>
          <w:szCs w:val="24"/>
        </w:rPr>
        <w:t xml:space="preserve">Encargo a </w:t>
      </w:r>
      <w:proofErr w:type="spellStart"/>
      <w:r w:rsidRPr="00552083">
        <w:rPr>
          <w:sz w:val="24"/>
          <w:szCs w:val="24"/>
        </w:rPr>
        <w:t>Indesa</w:t>
      </w:r>
      <w:proofErr w:type="spellEnd"/>
      <w:r w:rsidRPr="00552083">
        <w:rPr>
          <w:sz w:val="24"/>
          <w:szCs w:val="24"/>
        </w:rPr>
        <w:t xml:space="preserve"> 2010, S.L. para la c</w:t>
      </w:r>
      <w:r w:rsidR="00FE4746" w:rsidRPr="00552083">
        <w:rPr>
          <w:sz w:val="24"/>
          <w:szCs w:val="24"/>
        </w:rPr>
        <w:t>reación, conservación y mantenimiento de los parques locales de esparcimiento.</w:t>
      </w:r>
    </w:p>
    <w:p w14:paraId="23321D6A" w14:textId="77777777" w:rsidR="00FE4746" w:rsidRPr="00552083" w:rsidRDefault="00FE4746" w:rsidP="004946B0">
      <w:pPr>
        <w:pStyle w:val="Prrafodelista"/>
        <w:spacing w:before="120" w:after="120"/>
        <w:rPr>
          <w:sz w:val="24"/>
          <w:szCs w:val="24"/>
        </w:rPr>
      </w:pPr>
    </w:p>
    <w:p w14:paraId="549F360F" w14:textId="77777777" w:rsidR="00FE4746" w:rsidRPr="00552083" w:rsidRDefault="00FE4746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552083">
        <w:rPr>
          <w:sz w:val="24"/>
          <w:szCs w:val="24"/>
        </w:rPr>
        <w:t xml:space="preserve">Encomienda de gestión al Consorcio de Estribaciones del Gorbea para que por éste se realicen </w:t>
      </w:r>
      <w:r w:rsidRPr="00552083">
        <w:rPr>
          <w:rFonts w:cs="Times New Roman"/>
          <w:sz w:val="24"/>
          <w:szCs w:val="24"/>
        </w:rPr>
        <w:t>los trabajos de recogida de basuras de los contenedores ubicados en los parques locales de esparcimiento de Ostuño, Zabalain, Sorgimendi, Mariseka y Jugatxi.</w:t>
      </w:r>
    </w:p>
    <w:p w14:paraId="7AE9D362" w14:textId="77777777" w:rsidR="00FE4746" w:rsidRPr="00552083" w:rsidRDefault="00FE4746" w:rsidP="004946B0">
      <w:pPr>
        <w:pStyle w:val="Prrafodelista"/>
        <w:spacing w:before="120" w:after="120"/>
        <w:rPr>
          <w:sz w:val="24"/>
          <w:szCs w:val="24"/>
        </w:rPr>
      </w:pPr>
    </w:p>
    <w:p w14:paraId="1F02350D" w14:textId="3F3163B1" w:rsidR="00FE4746" w:rsidRPr="00552083" w:rsidRDefault="00FE4746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552083">
        <w:rPr>
          <w:sz w:val="24"/>
          <w:szCs w:val="24"/>
        </w:rPr>
        <w:t xml:space="preserve">Encomienda de gestión con la Cuadrilla de Laguardia-Rioja Alavesa para que por ésta se realicen los trabajos de recogida de basura de los contenedores ubicados en los parques locales de San Ginés, Samaniego, </w:t>
      </w:r>
      <w:proofErr w:type="spellStart"/>
      <w:r w:rsidRPr="00552083">
        <w:rPr>
          <w:sz w:val="24"/>
          <w:szCs w:val="24"/>
        </w:rPr>
        <w:t>Berberana</w:t>
      </w:r>
      <w:proofErr w:type="spellEnd"/>
      <w:r w:rsidRPr="00552083">
        <w:rPr>
          <w:sz w:val="24"/>
          <w:szCs w:val="24"/>
        </w:rPr>
        <w:t>, San Justo</w:t>
      </w:r>
      <w:r w:rsidR="00552083" w:rsidRPr="00552083">
        <w:rPr>
          <w:sz w:val="24"/>
          <w:szCs w:val="24"/>
        </w:rPr>
        <w:t>,</w:t>
      </w:r>
      <w:r w:rsidRPr="00552083">
        <w:rPr>
          <w:sz w:val="24"/>
          <w:szCs w:val="24"/>
        </w:rPr>
        <w:t xml:space="preserve"> </w:t>
      </w:r>
      <w:proofErr w:type="spellStart"/>
      <w:r w:rsidRPr="00552083">
        <w:rPr>
          <w:sz w:val="24"/>
          <w:szCs w:val="24"/>
        </w:rPr>
        <w:t>Bercijana</w:t>
      </w:r>
      <w:proofErr w:type="spellEnd"/>
      <w:r w:rsidR="00552083" w:rsidRPr="00552083">
        <w:rPr>
          <w:sz w:val="24"/>
          <w:szCs w:val="24"/>
        </w:rPr>
        <w:t xml:space="preserve"> y </w:t>
      </w:r>
      <w:r w:rsidRPr="00552083">
        <w:rPr>
          <w:sz w:val="24"/>
          <w:szCs w:val="24"/>
        </w:rPr>
        <w:t>La Poveda</w:t>
      </w:r>
      <w:r w:rsidR="00552083" w:rsidRPr="00552083">
        <w:rPr>
          <w:sz w:val="24"/>
          <w:szCs w:val="24"/>
        </w:rPr>
        <w:t>.</w:t>
      </w:r>
    </w:p>
    <w:p w14:paraId="3E6FF4ED" w14:textId="77777777" w:rsidR="00552083" w:rsidRPr="00552083" w:rsidRDefault="00552083" w:rsidP="00552083">
      <w:pPr>
        <w:pStyle w:val="Prrafodelista"/>
        <w:rPr>
          <w:sz w:val="24"/>
          <w:szCs w:val="24"/>
        </w:rPr>
      </w:pPr>
    </w:p>
    <w:p w14:paraId="64CA42C2" w14:textId="77777777" w:rsidR="00552083" w:rsidRPr="00552083" w:rsidRDefault="00552083" w:rsidP="00552083">
      <w:pPr>
        <w:pStyle w:val="Prrafodelista"/>
        <w:spacing w:before="120" w:after="120"/>
        <w:jc w:val="both"/>
        <w:rPr>
          <w:sz w:val="24"/>
          <w:szCs w:val="24"/>
        </w:rPr>
      </w:pPr>
    </w:p>
    <w:p w14:paraId="32B9FC08" w14:textId="5A9DE3E6" w:rsidR="00FE4746" w:rsidRPr="00552083" w:rsidRDefault="00FE4746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552083">
        <w:rPr>
          <w:sz w:val="24"/>
          <w:szCs w:val="24"/>
        </w:rPr>
        <w:t xml:space="preserve">Encomienda de gestión con la Cuadrilla de Montaña </w:t>
      </w:r>
      <w:proofErr w:type="gramStart"/>
      <w:r w:rsidRPr="00552083">
        <w:rPr>
          <w:sz w:val="24"/>
          <w:szCs w:val="24"/>
        </w:rPr>
        <w:t>Alavesa  para</w:t>
      </w:r>
      <w:proofErr w:type="gramEnd"/>
      <w:r w:rsidRPr="00552083">
        <w:rPr>
          <w:sz w:val="24"/>
          <w:szCs w:val="24"/>
        </w:rPr>
        <w:t xml:space="preserve"> que por </w:t>
      </w:r>
      <w:r w:rsidR="001655A5">
        <w:rPr>
          <w:sz w:val="24"/>
          <w:szCs w:val="24"/>
        </w:rPr>
        <w:t>e</w:t>
      </w:r>
      <w:r w:rsidRPr="00552083">
        <w:rPr>
          <w:sz w:val="24"/>
          <w:szCs w:val="24"/>
        </w:rPr>
        <w:t>sta se realicen los trabajos de recogida de basura de los contenedores ubicados en los parques locales de esparcimiento de San Vítor,</w:t>
      </w:r>
      <w:r w:rsidR="00552083" w:rsidRPr="00552083">
        <w:rPr>
          <w:sz w:val="24"/>
          <w:szCs w:val="24"/>
        </w:rPr>
        <w:t xml:space="preserve"> </w:t>
      </w:r>
      <w:r w:rsidRPr="00552083">
        <w:rPr>
          <w:sz w:val="24"/>
          <w:szCs w:val="24"/>
        </w:rPr>
        <w:t xml:space="preserve">Fresnedo, </w:t>
      </w:r>
      <w:proofErr w:type="spellStart"/>
      <w:r w:rsidRPr="00552083">
        <w:rPr>
          <w:sz w:val="24"/>
          <w:szCs w:val="24"/>
        </w:rPr>
        <w:t>Ibernalo</w:t>
      </w:r>
      <w:proofErr w:type="spellEnd"/>
      <w:r w:rsidRPr="00552083">
        <w:rPr>
          <w:sz w:val="24"/>
          <w:szCs w:val="24"/>
        </w:rPr>
        <w:t xml:space="preserve">, Santa Lucía, </w:t>
      </w:r>
      <w:proofErr w:type="spellStart"/>
      <w:r w:rsidRPr="00552083">
        <w:rPr>
          <w:sz w:val="24"/>
          <w:szCs w:val="24"/>
        </w:rPr>
        <w:t>Okon</w:t>
      </w:r>
      <w:proofErr w:type="spellEnd"/>
      <w:r w:rsidRPr="00552083">
        <w:rPr>
          <w:sz w:val="24"/>
          <w:szCs w:val="24"/>
        </w:rPr>
        <w:t xml:space="preserve"> y Santa Teodosia. </w:t>
      </w:r>
    </w:p>
    <w:p w14:paraId="24067D40" w14:textId="77777777" w:rsidR="00FE4746" w:rsidRPr="00552083" w:rsidRDefault="00FE4746" w:rsidP="004946B0">
      <w:pPr>
        <w:pStyle w:val="Prrafodelista"/>
        <w:spacing w:before="120" w:after="120"/>
        <w:jc w:val="both"/>
        <w:rPr>
          <w:sz w:val="24"/>
          <w:szCs w:val="24"/>
        </w:rPr>
      </w:pPr>
    </w:p>
    <w:p w14:paraId="27FFB886" w14:textId="77777777" w:rsidR="00FE4746" w:rsidRPr="00552083" w:rsidRDefault="00FE4746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552083">
        <w:rPr>
          <w:sz w:val="24"/>
          <w:szCs w:val="24"/>
        </w:rPr>
        <w:t xml:space="preserve">Encomienda de gestión a la Cuadrilla de Añana para que por ésta se realicen los trabajos de recogida de basuras de los contenedores ubicados en los parques locales de esparcimiento de </w:t>
      </w:r>
      <w:proofErr w:type="spellStart"/>
      <w:r w:rsidRPr="00552083">
        <w:rPr>
          <w:sz w:val="24"/>
          <w:szCs w:val="24"/>
        </w:rPr>
        <w:t>Eskolumbe</w:t>
      </w:r>
      <w:proofErr w:type="spellEnd"/>
      <w:r w:rsidRPr="00552083">
        <w:rPr>
          <w:sz w:val="24"/>
          <w:szCs w:val="24"/>
        </w:rPr>
        <w:t>, Espejo, Linares (</w:t>
      </w:r>
      <w:proofErr w:type="spellStart"/>
      <w:r w:rsidRPr="00552083">
        <w:rPr>
          <w:sz w:val="24"/>
          <w:szCs w:val="24"/>
        </w:rPr>
        <w:t>Berantevilla</w:t>
      </w:r>
      <w:proofErr w:type="spellEnd"/>
      <w:r w:rsidRPr="00552083">
        <w:rPr>
          <w:sz w:val="24"/>
          <w:szCs w:val="24"/>
        </w:rPr>
        <w:t xml:space="preserve">), </w:t>
      </w:r>
      <w:proofErr w:type="spellStart"/>
      <w:r w:rsidRPr="00552083">
        <w:rPr>
          <w:sz w:val="24"/>
          <w:szCs w:val="24"/>
        </w:rPr>
        <w:t>Sobrón</w:t>
      </w:r>
      <w:proofErr w:type="spellEnd"/>
      <w:r w:rsidRPr="00552083">
        <w:rPr>
          <w:sz w:val="24"/>
          <w:szCs w:val="24"/>
        </w:rPr>
        <w:t xml:space="preserve"> y San Pelayo (</w:t>
      </w:r>
      <w:proofErr w:type="spellStart"/>
      <w:r w:rsidRPr="00552083">
        <w:rPr>
          <w:sz w:val="24"/>
          <w:szCs w:val="24"/>
        </w:rPr>
        <w:t>Víllodas</w:t>
      </w:r>
      <w:proofErr w:type="spellEnd"/>
      <w:r w:rsidRPr="00552083">
        <w:rPr>
          <w:sz w:val="24"/>
          <w:szCs w:val="24"/>
        </w:rPr>
        <w:t>).</w:t>
      </w:r>
    </w:p>
    <w:p w14:paraId="1856AFF8" w14:textId="77777777" w:rsidR="004946B0" w:rsidRPr="00552083" w:rsidRDefault="004946B0" w:rsidP="004946B0">
      <w:pPr>
        <w:pStyle w:val="Prrafodelista"/>
        <w:spacing w:before="120" w:after="120"/>
        <w:jc w:val="both"/>
        <w:rPr>
          <w:sz w:val="24"/>
          <w:szCs w:val="24"/>
        </w:rPr>
      </w:pPr>
    </w:p>
    <w:p w14:paraId="50A974EA" w14:textId="77777777" w:rsidR="00FE4746" w:rsidRPr="00552083" w:rsidRDefault="00FE4746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552083">
        <w:rPr>
          <w:sz w:val="24"/>
          <w:szCs w:val="24"/>
        </w:rPr>
        <w:t>Actuaciones varias destinadas a la promoción de las entidades locales.</w:t>
      </w:r>
    </w:p>
    <w:p w14:paraId="0FF71B37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p w14:paraId="15DBB72B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p w14:paraId="290EAA37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sectPr w:rsidR="004946B0" w:rsidRPr="00CB080F" w:rsidSect="00E66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373" w:right="1134" w:bottom="2098" w:left="1418" w:header="851" w:footer="71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B076" w14:textId="77777777" w:rsidR="00AC45A4" w:rsidRDefault="00AC45A4">
      <w:r>
        <w:separator/>
      </w:r>
    </w:p>
  </w:endnote>
  <w:endnote w:type="continuationSeparator" w:id="0">
    <w:p w14:paraId="4FE4D11D" w14:textId="77777777" w:rsidR="00AC45A4" w:rsidRDefault="00AC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D819" w14:textId="77777777" w:rsidR="00015828" w:rsidRDefault="000158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DEF4" w14:textId="6174F832" w:rsidR="00AC7CB2" w:rsidRPr="007548DF" w:rsidRDefault="007548DF" w:rsidP="007548DF">
    <w:pPr>
      <w:pStyle w:val="Piedepgina"/>
      <w:pBdr>
        <w:top w:val="single" w:sz="12" w:space="1" w:color="auto"/>
      </w:pBdr>
      <w:tabs>
        <w:tab w:val="clear" w:pos="4252"/>
        <w:tab w:val="clear" w:pos="8504"/>
      </w:tabs>
      <w:jc w:val="right"/>
      <w:rPr>
        <w:rFonts w:ascii="Arial" w:hAnsi="Arial"/>
      </w:rPr>
    </w:pPr>
    <w:r w:rsidRPr="007548DF">
      <w:rPr>
        <w:rStyle w:val="Nmerodepgina"/>
        <w:rFonts w:ascii="Arial" w:hAnsi="Arial"/>
      </w:rPr>
      <w:t xml:space="preserve">Pág. </w:t>
    </w:r>
    <w:r w:rsidR="00FF637A" w:rsidRPr="007548DF">
      <w:rPr>
        <w:rStyle w:val="Nmerodepgina"/>
        <w:rFonts w:ascii="Arial" w:hAnsi="Arial"/>
      </w:rPr>
      <w:fldChar w:fldCharType="begin"/>
    </w:r>
    <w:r w:rsidR="00FF637A" w:rsidRPr="007548DF">
      <w:rPr>
        <w:rStyle w:val="Nmerodepgina"/>
        <w:rFonts w:ascii="Arial" w:hAnsi="Arial"/>
      </w:rPr>
      <w:instrText xml:space="preserve"> PAGE </w:instrText>
    </w:r>
    <w:r w:rsidR="00FF637A" w:rsidRPr="007548DF">
      <w:rPr>
        <w:rStyle w:val="Nmerodepgina"/>
        <w:rFonts w:ascii="Arial" w:hAnsi="Arial"/>
      </w:rPr>
      <w:fldChar w:fldCharType="separate"/>
    </w:r>
    <w:r w:rsidR="00BE451B">
      <w:rPr>
        <w:rStyle w:val="Nmerodepgina"/>
        <w:rFonts w:ascii="Arial" w:hAnsi="Arial"/>
        <w:noProof/>
      </w:rPr>
      <w:t>1</w:t>
    </w:r>
    <w:r w:rsidR="00FF637A" w:rsidRPr="007548DF">
      <w:rPr>
        <w:rStyle w:val="Nmerodepgina"/>
        <w:rFonts w:ascii="Arial" w:hAnsi="Arial"/>
      </w:rPr>
      <w:fldChar w:fldCharType="end"/>
    </w:r>
    <w:r w:rsidR="004946B0">
      <w:rPr>
        <w:rStyle w:val="Nmerodepgina"/>
        <w:rFonts w:ascii="Arial" w:hAnsi="Arial"/>
      </w:rPr>
      <w:t xml:space="preserve"> (</w:t>
    </w:r>
    <w:r w:rsidR="00015828">
      <w:rPr>
        <w:rStyle w:val="Nmerodepgina"/>
        <w:rFonts w:ascii="Arial" w:hAnsi="Arial"/>
      </w:rPr>
      <w:t>mayo 2021</w:t>
    </w:r>
    <w:r w:rsidR="004946B0">
      <w:rPr>
        <w:rStyle w:val="Nmerodepgina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96C1" w14:textId="77777777" w:rsidR="00AC7CB2" w:rsidRPr="00E663F7" w:rsidRDefault="00E663F7" w:rsidP="00E663F7">
    <w:pPr>
      <w:pStyle w:val="Encabezado"/>
      <w:pBdr>
        <w:top w:val="single" w:sz="4" w:space="1" w:color="auto"/>
      </w:pBdr>
      <w:tabs>
        <w:tab w:val="clear" w:pos="4252"/>
        <w:tab w:val="clear" w:pos="8504"/>
        <w:tab w:val="left" w:pos="4253"/>
        <w:tab w:val="left" w:pos="7371"/>
      </w:tabs>
      <w:spacing w:before="120" w:after="40" w:line="240" w:lineRule="exact"/>
      <w:ind w:left="-68"/>
      <w:jc w:val="right"/>
      <w:rPr>
        <w:rFonts w:ascii="Arial" w:hAnsi="Arial"/>
        <w:noProof/>
        <w:sz w:val="18"/>
      </w:rPr>
    </w:pPr>
    <w:r w:rsidRPr="00E663F7">
      <w:rPr>
        <w:rFonts w:ascii="Arial" w:hAnsi="Arial"/>
        <w:noProof/>
        <w:sz w:val="18"/>
      </w:rPr>
      <w:t xml:space="preserve">Pág. </w:t>
    </w:r>
    <w:r w:rsidRPr="00E663F7">
      <w:rPr>
        <w:rFonts w:ascii="Arial" w:hAnsi="Arial"/>
        <w:noProof/>
        <w:sz w:val="18"/>
      </w:rPr>
      <w:fldChar w:fldCharType="begin"/>
    </w:r>
    <w:r w:rsidRPr="00E663F7">
      <w:rPr>
        <w:rFonts w:ascii="Arial" w:hAnsi="Arial"/>
        <w:noProof/>
        <w:sz w:val="18"/>
      </w:rPr>
      <w:instrText>PAGE   \* MERGEFORMAT</w:instrText>
    </w:r>
    <w:r w:rsidRPr="00E663F7">
      <w:rPr>
        <w:rFonts w:ascii="Arial" w:hAnsi="Arial"/>
        <w:noProof/>
        <w:sz w:val="18"/>
      </w:rPr>
      <w:fldChar w:fldCharType="separate"/>
    </w:r>
    <w:r w:rsidRPr="00E663F7">
      <w:rPr>
        <w:rFonts w:ascii="Arial" w:hAnsi="Arial"/>
        <w:noProof/>
        <w:sz w:val="18"/>
        <w:lang w:val="es-ES"/>
      </w:rPr>
      <w:t>1</w:t>
    </w:r>
    <w:r w:rsidRPr="00E663F7">
      <w:rPr>
        <w:rFonts w:ascii="Arial" w:hAnsi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BF4C" w14:textId="77777777" w:rsidR="00AC45A4" w:rsidRDefault="00AC45A4">
      <w:r>
        <w:separator/>
      </w:r>
    </w:p>
  </w:footnote>
  <w:footnote w:type="continuationSeparator" w:id="0">
    <w:p w14:paraId="6E632F76" w14:textId="77777777" w:rsidR="00AC45A4" w:rsidRDefault="00AC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FAF9" w14:textId="77777777" w:rsidR="00015828" w:rsidRDefault="000158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60"/>
      <w:gridCol w:w="5793"/>
    </w:tblGrid>
    <w:tr w:rsidR="00E663F7" w14:paraId="1545353B" w14:textId="77777777" w:rsidTr="00883346">
      <w:tc>
        <w:tcPr>
          <w:tcW w:w="3686" w:type="dxa"/>
          <w:tcBorders>
            <w:bottom w:val="single" w:sz="4" w:space="0" w:color="auto"/>
          </w:tcBorders>
        </w:tcPr>
        <w:p w14:paraId="17A9E14E" w14:textId="77777777" w:rsidR="00E663F7" w:rsidRDefault="00E663F7" w:rsidP="00883346">
          <w:pPr>
            <w:pStyle w:val="Encabezado"/>
            <w:tabs>
              <w:tab w:val="clear" w:pos="4252"/>
              <w:tab w:val="clear" w:pos="8504"/>
            </w:tabs>
            <w:spacing w:after="24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ECF1A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713343951" r:id="rId2"/>
            </w:object>
          </w:r>
        </w:p>
        <w:p w14:paraId="6B353471" w14:textId="77777777" w:rsidR="00E663F7" w:rsidRDefault="00E663F7" w:rsidP="00883346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160" w:type="dxa"/>
          <w:tcBorders>
            <w:right w:val="single" w:sz="4" w:space="0" w:color="auto"/>
          </w:tcBorders>
        </w:tcPr>
        <w:p w14:paraId="7329BB59" w14:textId="77777777" w:rsidR="00E663F7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rPr>
              <w:rFonts w:ascii="Arial" w:hAnsi="Arial"/>
              <w:noProof/>
              <w:sz w:val="18"/>
            </w:rPr>
          </w:pPr>
        </w:p>
      </w:tc>
      <w:tc>
        <w:tcPr>
          <w:tcW w:w="57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053F8B" w14:textId="77777777" w:rsidR="00E663F7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1B6374DD" w14:textId="77777777" w:rsidR="00E663F7" w:rsidRPr="004F4E52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5187130F" w14:textId="4DA57C41" w:rsidR="00E663F7" w:rsidRDefault="00FE4746" w:rsidP="00883346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noProof/>
            </w:rPr>
            <w:t>DEPARTAMENTO DE EQUILIBRIO TERRITORIAL</w:t>
          </w:r>
        </w:p>
        <w:p w14:paraId="45F2F8F2" w14:textId="77777777" w:rsidR="00FE4746" w:rsidRPr="00965157" w:rsidRDefault="00FE4746" w:rsidP="00883346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  <w:sz w:val="22"/>
              <w:szCs w:val="22"/>
            </w:rPr>
          </w:pPr>
          <w:r w:rsidRPr="00965157">
            <w:rPr>
              <w:rFonts w:ascii="Arial" w:hAnsi="Arial"/>
              <w:b/>
              <w:noProof/>
              <w:sz w:val="22"/>
              <w:szCs w:val="22"/>
            </w:rPr>
            <w:t>DIRECCIÓN DE EQUILIBRIO TERRITORIAL</w:t>
          </w:r>
        </w:p>
      </w:tc>
    </w:tr>
  </w:tbl>
  <w:p w14:paraId="1B17DFB1" w14:textId="77777777" w:rsidR="00E663F7" w:rsidRDefault="00E663F7" w:rsidP="00FE4746">
    <w:pPr>
      <w:pStyle w:val="Encabezado"/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60"/>
      <w:gridCol w:w="5793"/>
    </w:tblGrid>
    <w:tr w:rsidR="004F4E52" w14:paraId="6FF06650" w14:textId="77777777" w:rsidTr="004F4E52">
      <w:tc>
        <w:tcPr>
          <w:tcW w:w="3686" w:type="dxa"/>
          <w:tcBorders>
            <w:bottom w:val="single" w:sz="4" w:space="0" w:color="auto"/>
          </w:tcBorders>
        </w:tcPr>
        <w:p w14:paraId="714D8034" w14:textId="77777777" w:rsidR="004F4E52" w:rsidRDefault="004F4E52">
          <w:pPr>
            <w:pStyle w:val="Encabezado"/>
            <w:tabs>
              <w:tab w:val="clear" w:pos="4252"/>
              <w:tab w:val="clear" w:pos="8504"/>
            </w:tabs>
            <w:spacing w:after="24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4A3CFF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5pt;height:56.25pt" fillcolor="window">
                <v:imagedata r:id="rId1" o:title=""/>
              </v:shape>
              <o:OLEObject Type="Embed" ProgID="Word.Picture.8" ShapeID="_x0000_i1026" DrawAspect="Content" ObjectID="_1713343952" r:id="rId2"/>
            </w:object>
          </w:r>
        </w:p>
        <w:p w14:paraId="453C40E7" w14:textId="77777777" w:rsidR="004F4E52" w:rsidRDefault="004F4E52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160" w:type="dxa"/>
          <w:tcBorders>
            <w:right w:val="single" w:sz="4" w:space="0" w:color="auto"/>
          </w:tcBorders>
        </w:tcPr>
        <w:p w14:paraId="3392BB0E" w14:textId="77777777" w:rsidR="004F4E52" w:rsidRDefault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rPr>
              <w:rFonts w:ascii="Arial" w:hAnsi="Arial"/>
              <w:noProof/>
              <w:sz w:val="18"/>
            </w:rPr>
          </w:pPr>
        </w:p>
      </w:tc>
      <w:tc>
        <w:tcPr>
          <w:tcW w:w="57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1ED976" w14:textId="77777777" w:rsidR="004F4E52" w:rsidRDefault="004F4E52" w:rsidP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7D894161" w14:textId="77777777" w:rsidR="004F4E52" w:rsidRPr="004F4E52" w:rsidRDefault="004F4E52" w:rsidP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159E2B50" w14:textId="77777777" w:rsidR="004F4E52" w:rsidRPr="004F4E52" w:rsidRDefault="004F4E52" w:rsidP="004F4E52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</w:rPr>
          </w:pPr>
          <w:r w:rsidRPr="004F4E52">
            <w:rPr>
              <w:rFonts w:ascii="Arial" w:hAnsi="Arial"/>
              <w:b/>
              <w:noProof/>
            </w:rPr>
            <w:t>CATÁLOGO DE SERVICIOS EN MATERIA DE GESTIÓN TRIBUTARIA A MUNICIPIOS Y OTRAS ENTIDADES LOCALES</w:t>
          </w:r>
        </w:p>
      </w:tc>
    </w:tr>
  </w:tbl>
  <w:p w14:paraId="74920B7D" w14:textId="77777777" w:rsidR="00AC7CB2" w:rsidRDefault="00AC7CB2" w:rsidP="004F4E52">
    <w:pPr>
      <w:pStyle w:val="Encabezado"/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753A5"/>
    <w:multiLevelType w:val="hybridMultilevel"/>
    <w:tmpl w:val="4CA010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214C2"/>
    <w:multiLevelType w:val="hybridMultilevel"/>
    <w:tmpl w:val="09FEA6B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52"/>
    <w:rsid w:val="00015828"/>
    <w:rsid w:val="000210ED"/>
    <w:rsid w:val="00151D66"/>
    <w:rsid w:val="001655A5"/>
    <w:rsid w:val="002805D3"/>
    <w:rsid w:val="002A1ED1"/>
    <w:rsid w:val="003A7585"/>
    <w:rsid w:val="004040E8"/>
    <w:rsid w:val="004165B5"/>
    <w:rsid w:val="00465CE9"/>
    <w:rsid w:val="004946B0"/>
    <w:rsid w:val="004F4E52"/>
    <w:rsid w:val="00552083"/>
    <w:rsid w:val="00566D11"/>
    <w:rsid w:val="006062B0"/>
    <w:rsid w:val="00613F6F"/>
    <w:rsid w:val="00651892"/>
    <w:rsid w:val="006A6D20"/>
    <w:rsid w:val="006B2058"/>
    <w:rsid w:val="00721753"/>
    <w:rsid w:val="007548DF"/>
    <w:rsid w:val="00833A07"/>
    <w:rsid w:val="008D6E10"/>
    <w:rsid w:val="009223D0"/>
    <w:rsid w:val="00965157"/>
    <w:rsid w:val="00986A1D"/>
    <w:rsid w:val="00AA5C08"/>
    <w:rsid w:val="00AC45A4"/>
    <w:rsid w:val="00AC7CB2"/>
    <w:rsid w:val="00BE451B"/>
    <w:rsid w:val="00C54895"/>
    <w:rsid w:val="00C677AB"/>
    <w:rsid w:val="00CB080F"/>
    <w:rsid w:val="00D573AF"/>
    <w:rsid w:val="00DB01B0"/>
    <w:rsid w:val="00DD5130"/>
    <w:rsid w:val="00E663F7"/>
    <w:rsid w:val="00F84BAF"/>
    <w:rsid w:val="00FE4746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7A0BD1CB"/>
  <w15:docId w15:val="{AECF2066-BC83-4C5D-8999-4CE3A809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customStyle="1" w:styleId="Default">
    <w:name w:val="Default"/>
    <w:rsid w:val="00E663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E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0C1E7-6282-4B10-94A4-5238CC96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Resolución de Director/a</vt:lpstr>
    </vt:vector>
  </TitlesOfParts>
  <Company>DFA-AFA</Company>
  <LinksUpToDate>false</LinksUpToDate>
  <CharactersWithSpaces>1628</CharactersWithSpaces>
  <SharedDoc>false</SharedDoc>
  <HLinks>
    <vt:vector size="6" baseType="variant">
      <vt:variant>
        <vt:i4>7667759</vt:i4>
      </vt:variant>
      <vt:variant>
        <vt:i4>1073</vt:i4>
      </vt:variant>
      <vt:variant>
        <vt:i4>1026</vt:i4>
      </vt:variant>
      <vt:variant>
        <vt:i4>1</vt:i4>
      </vt:variant>
      <vt:variant>
        <vt:lpwstr>S MBOLO 12 X 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Resolución de Director/a</dc:title>
  <dc:creator>DFA</dc:creator>
  <cp:lastModifiedBy>Arias Lopez de Lacalle, Arrate</cp:lastModifiedBy>
  <cp:revision>7</cp:revision>
  <cp:lastPrinted>2018-06-29T12:49:00Z</cp:lastPrinted>
  <dcterms:created xsi:type="dcterms:W3CDTF">2022-05-05T12:01:00Z</dcterms:created>
  <dcterms:modified xsi:type="dcterms:W3CDTF">2022-05-06T10:06:00Z</dcterms:modified>
</cp:coreProperties>
</file>