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33"/>
        <w:gridCol w:w="4537"/>
      </w:tblGrid>
      <w:tr w:rsidR="002C5A81" w:rsidRPr="00CA2446" w14:paraId="1B15700E" w14:textId="77777777" w:rsidTr="00B23FA6">
        <w:trPr>
          <w:trHeight w:val="4876"/>
        </w:trPr>
        <w:tc>
          <w:tcPr>
            <w:tcW w:w="4533" w:type="dxa"/>
            <w:tcBorders>
              <w:right w:val="single" w:sz="4" w:space="0" w:color="808080"/>
            </w:tcBorders>
            <w:shd w:val="clear" w:color="auto" w:fill="auto"/>
          </w:tcPr>
          <w:p w14:paraId="2AE863D6" w14:textId="77777777" w:rsidR="002C5A81" w:rsidRPr="00B23FA6" w:rsidRDefault="002C5A81" w:rsidP="00F21E3E">
            <w:pPr>
              <w:pStyle w:val="Ttulo1"/>
              <w:shd w:val="clear" w:color="auto" w:fill="D9D9D9"/>
              <w:spacing w:before="480" w:after="120"/>
              <w:ind w:left="57" w:right="57"/>
              <w:rPr>
                <w:rFonts w:asciiTheme="minorHAnsi" w:hAnsiTheme="minorHAnsi" w:cstheme="minorHAnsi"/>
                <w:b/>
                <w:sz w:val="28"/>
                <w:szCs w:val="28"/>
              </w:rPr>
            </w:pPr>
            <w:r w:rsidRPr="00B23FA6">
              <w:rPr>
                <w:rFonts w:asciiTheme="minorHAnsi" w:hAnsiTheme="minorHAnsi" w:cstheme="minorHAnsi"/>
                <w:b/>
                <w:sz w:val="28"/>
                <w:szCs w:val="28"/>
              </w:rPr>
              <w:t>SARRERA</w:t>
            </w:r>
          </w:p>
          <w:p w14:paraId="59736C98" w14:textId="77777777" w:rsidR="006F19A5" w:rsidRDefault="006F19A5" w:rsidP="006F19A5">
            <w:pPr>
              <w:ind w:left="57" w:right="57"/>
              <w:jc w:val="both"/>
              <w:rPr>
                <w:rFonts w:asciiTheme="minorHAnsi" w:hAnsiTheme="minorHAnsi" w:cstheme="minorHAnsi"/>
                <w:snapToGrid w:val="0"/>
                <w:sz w:val="24"/>
                <w:szCs w:val="24"/>
              </w:rPr>
            </w:pPr>
          </w:p>
          <w:p w14:paraId="304ADF49" w14:textId="207F9492" w:rsidR="002C5A81" w:rsidRPr="00B23FA6" w:rsidRDefault="002C5A81"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Aurrekontuen egonkortasunari eta iraunkortasun finantzarioari buruzko apirilaren 27ko 2/2012 Lege Organikoak (AEIFLO) besteak beste herri administrazioen kontu orokorra likidatzerakoan eta onesterakoan</w:t>
            </w:r>
            <w:r w:rsidR="00AB5CAD" w:rsidRPr="00B23FA6">
              <w:rPr>
                <w:rFonts w:asciiTheme="minorHAnsi" w:hAnsiTheme="minorHAnsi" w:cstheme="minorHAnsi"/>
                <w:snapToGrid w:val="0"/>
                <w:sz w:val="24"/>
                <w:szCs w:val="24"/>
              </w:rPr>
              <w:t xml:space="preserve"> derrigorrez bete behar diren beharkizun batzuk ezarri ditu. </w:t>
            </w:r>
          </w:p>
          <w:p w14:paraId="0BF941AD" w14:textId="4987EAB2" w:rsidR="002C5A81" w:rsidRPr="00C64EB1" w:rsidRDefault="0051571A" w:rsidP="00B23FA6">
            <w:pPr>
              <w:spacing w:before="480" w:after="120"/>
              <w:ind w:left="57" w:right="57"/>
              <w:jc w:val="both"/>
              <w:rPr>
                <w:rFonts w:asciiTheme="minorHAnsi" w:hAnsiTheme="minorHAnsi" w:cstheme="minorHAnsi"/>
                <w:sz w:val="24"/>
                <w:szCs w:val="24"/>
              </w:rPr>
            </w:pPr>
            <w:r w:rsidRPr="0051571A">
              <w:rPr>
                <w:rFonts w:asciiTheme="minorHAnsi" w:hAnsiTheme="minorHAnsi" w:cstheme="minorHAnsi"/>
                <w:sz w:val="24"/>
                <w:szCs w:val="24"/>
              </w:rPr>
              <w:t>Hala ere, betetze hori informatzea baino ez da, 2020rako eta 2021erako zerga-arauak izugarri eteten baitira, 2020ko urriaren 6ko Ministro Kontseiluaren akordioaren bidez. Etete hori 2022ko ekitaldirako berretsi zuen Diputatuen Kongresuak, 2021eko irailaren 13an, pandemiak eragindako krisia hasi zenetik Europako agintariek egindako gomendioaren ildotik.</w:t>
            </w:r>
          </w:p>
        </w:tc>
        <w:tc>
          <w:tcPr>
            <w:tcW w:w="4537" w:type="dxa"/>
            <w:tcBorders>
              <w:left w:val="single" w:sz="4" w:space="0" w:color="808080"/>
            </w:tcBorders>
            <w:shd w:val="clear" w:color="auto" w:fill="auto"/>
          </w:tcPr>
          <w:p w14:paraId="74594796" w14:textId="77777777" w:rsidR="002C5A81" w:rsidRPr="00B23FA6" w:rsidRDefault="002C5A81" w:rsidP="00F21E3E">
            <w:pPr>
              <w:pStyle w:val="Ttulo1"/>
              <w:shd w:val="clear" w:color="auto" w:fill="D9D9D9"/>
              <w:spacing w:before="480" w:after="120"/>
              <w:ind w:left="57" w:right="57"/>
              <w:rPr>
                <w:rFonts w:asciiTheme="minorHAnsi" w:hAnsiTheme="minorHAnsi" w:cstheme="minorHAnsi"/>
                <w:b/>
                <w:sz w:val="28"/>
                <w:szCs w:val="28"/>
              </w:rPr>
            </w:pPr>
            <w:r w:rsidRPr="00B23FA6">
              <w:rPr>
                <w:rFonts w:asciiTheme="minorHAnsi" w:hAnsiTheme="minorHAnsi" w:cstheme="minorHAnsi"/>
                <w:b/>
                <w:sz w:val="28"/>
                <w:szCs w:val="28"/>
              </w:rPr>
              <w:t>INTRODUCCIÓN</w:t>
            </w:r>
          </w:p>
          <w:p w14:paraId="77969F1D" w14:textId="77777777" w:rsidR="006F19A5" w:rsidRDefault="006F19A5" w:rsidP="006F19A5">
            <w:pPr>
              <w:ind w:left="57" w:right="57"/>
              <w:jc w:val="both"/>
              <w:rPr>
                <w:rFonts w:asciiTheme="minorHAnsi" w:hAnsiTheme="minorHAnsi" w:cstheme="minorHAnsi"/>
                <w:snapToGrid w:val="0"/>
                <w:sz w:val="24"/>
                <w:szCs w:val="24"/>
              </w:rPr>
            </w:pPr>
          </w:p>
          <w:p w14:paraId="734ED9C5" w14:textId="0AD063F0" w:rsidR="00B23FA6" w:rsidRDefault="00B23FA6" w:rsidP="006F19A5">
            <w:pPr>
              <w:ind w:left="57" w:right="57"/>
              <w:jc w:val="both"/>
              <w:rPr>
                <w:rFonts w:asciiTheme="minorHAnsi" w:hAnsiTheme="minorHAnsi" w:cstheme="minorHAnsi"/>
                <w:snapToGrid w:val="0"/>
                <w:sz w:val="24"/>
                <w:szCs w:val="24"/>
              </w:rPr>
            </w:pPr>
            <w:r w:rsidRPr="00F94663">
              <w:rPr>
                <w:rFonts w:asciiTheme="minorHAnsi" w:hAnsiTheme="minorHAnsi" w:cstheme="minorHAnsi"/>
                <w:snapToGrid w:val="0"/>
                <w:sz w:val="24"/>
                <w:szCs w:val="24"/>
              </w:rPr>
              <w:t>La ley Orgánica 2/2012, de 27 de abril, de Estabilidad Presupuestaria y Sostenibilidad Financiera (LOEPSF) establece una serie de requisitos a cumplir, entre otros, la Liquidación y Aprobación de la Cuenta General de las Administraciones Públicas.</w:t>
            </w:r>
          </w:p>
          <w:p w14:paraId="79333753" w14:textId="3CDE56FA" w:rsidR="006F19A5" w:rsidRDefault="006F19A5" w:rsidP="006F19A5">
            <w:pPr>
              <w:ind w:left="57" w:right="57"/>
              <w:jc w:val="both"/>
              <w:rPr>
                <w:rFonts w:asciiTheme="minorHAnsi" w:hAnsiTheme="minorHAnsi" w:cstheme="minorHAnsi"/>
                <w:snapToGrid w:val="0"/>
                <w:sz w:val="24"/>
                <w:szCs w:val="24"/>
              </w:rPr>
            </w:pPr>
          </w:p>
          <w:p w14:paraId="330554A0" w14:textId="5944D790" w:rsidR="00B23FA6" w:rsidRPr="00F94663" w:rsidRDefault="0051571A" w:rsidP="00B23FA6">
            <w:pPr>
              <w:spacing w:before="480" w:after="120"/>
              <w:ind w:left="57" w:right="57"/>
              <w:jc w:val="both"/>
              <w:rPr>
                <w:rFonts w:asciiTheme="minorHAnsi" w:hAnsiTheme="minorHAnsi" w:cstheme="minorHAnsi"/>
                <w:snapToGrid w:val="0"/>
                <w:sz w:val="24"/>
                <w:szCs w:val="24"/>
              </w:rPr>
            </w:pPr>
            <w:r w:rsidRPr="0051571A">
              <w:rPr>
                <w:rFonts w:asciiTheme="minorHAnsi" w:hAnsiTheme="minorHAnsi" w:cstheme="minorHAnsi"/>
                <w:snapToGrid w:val="0"/>
                <w:sz w:val="24"/>
                <w:szCs w:val="24"/>
              </w:rPr>
              <w:t xml:space="preserve">No obstante, este cumplimiento es meramente informativo, al suspenderse extraordinariamente, las reglas fiscales para los años 2020 y 2021 mediante acuerdo de Consejo de Ministros de 6 de octubre de 2020, y que fue ratificada dicha suspensión para el ejercicio 2022, el 13 de septiembre de 2021 por el Congreso de los Diputados, en línea con la recomendación de las autoridades europeas desde el inicio de la crisis provocada por la pandemia. </w:t>
            </w:r>
          </w:p>
          <w:p w14:paraId="071711E0" w14:textId="77777777" w:rsidR="002C5A81" w:rsidRPr="00CA2446" w:rsidRDefault="002C5A81" w:rsidP="00AB0C97">
            <w:pPr>
              <w:spacing w:before="480" w:after="120"/>
              <w:ind w:left="57" w:right="57"/>
              <w:jc w:val="both"/>
              <w:rPr>
                <w:sz w:val="24"/>
                <w:szCs w:val="24"/>
              </w:rPr>
            </w:pPr>
          </w:p>
        </w:tc>
      </w:tr>
      <w:tr w:rsidR="002C5A81" w14:paraId="5E113FFD" w14:textId="77777777" w:rsidTr="00B23FA6">
        <w:tc>
          <w:tcPr>
            <w:tcW w:w="4533" w:type="dxa"/>
            <w:tcBorders>
              <w:right w:val="single" w:sz="4" w:space="0" w:color="808080"/>
            </w:tcBorders>
            <w:shd w:val="clear" w:color="auto" w:fill="auto"/>
          </w:tcPr>
          <w:p w14:paraId="20788CF9" w14:textId="77777777" w:rsidR="002C5A81" w:rsidRDefault="002C5A81" w:rsidP="005133A3">
            <w:pPr>
              <w:ind w:right="170"/>
            </w:pPr>
          </w:p>
        </w:tc>
        <w:tc>
          <w:tcPr>
            <w:tcW w:w="4537" w:type="dxa"/>
            <w:tcBorders>
              <w:left w:val="single" w:sz="4" w:space="0" w:color="808080"/>
            </w:tcBorders>
            <w:shd w:val="clear" w:color="auto" w:fill="auto"/>
          </w:tcPr>
          <w:p w14:paraId="4BC4F5A9" w14:textId="77777777" w:rsidR="002C5A81" w:rsidRDefault="002C5A81" w:rsidP="005133A3">
            <w:pPr>
              <w:ind w:left="170"/>
            </w:pPr>
          </w:p>
        </w:tc>
      </w:tr>
    </w:tbl>
    <w:p w14:paraId="56D0C6D1" w14:textId="77777777" w:rsidR="00EC59D9" w:rsidRDefault="00EC59D9"/>
    <w:p w14:paraId="22682E13" w14:textId="77777777" w:rsidR="00EC59D9" w:rsidRDefault="00EC59D9"/>
    <w:tbl>
      <w:tblPr>
        <w:tblW w:w="0" w:type="auto"/>
        <w:tblLook w:val="01E0" w:firstRow="1" w:lastRow="1" w:firstColumn="1" w:lastColumn="1" w:noHBand="0" w:noVBand="0"/>
      </w:tblPr>
      <w:tblGrid>
        <w:gridCol w:w="4536"/>
        <w:gridCol w:w="4534"/>
      </w:tblGrid>
      <w:tr w:rsidR="00EC59D9" w:rsidRPr="00B23FA6" w14:paraId="1F12E633" w14:textId="77777777" w:rsidTr="00693004">
        <w:tc>
          <w:tcPr>
            <w:tcW w:w="4536" w:type="dxa"/>
            <w:tcBorders>
              <w:right w:val="single" w:sz="4" w:space="0" w:color="808080"/>
            </w:tcBorders>
            <w:shd w:val="clear" w:color="auto" w:fill="auto"/>
          </w:tcPr>
          <w:p w14:paraId="11BC42D5"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ARABAKO FORU ALDUNDIAREN MENPEKO ADMINISTRAZIO PUBLIKOAREN SEKTOREAREN MUGAKETA</w:t>
            </w:r>
          </w:p>
          <w:p w14:paraId="29B3D317" w14:textId="77777777" w:rsidR="006F19A5" w:rsidRDefault="006F19A5" w:rsidP="006F19A5">
            <w:pPr>
              <w:ind w:left="57" w:right="57"/>
              <w:jc w:val="both"/>
              <w:rPr>
                <w:rFonts w:asciiTheme="minorHAnsi" w:hAnsiTheme="minorHAnsi" w:cstheme="minorHAnsi"/>
                <w:snapToGrid w:val="0"/>
                <w:sz w:val="24"/>
                <w:szCs w:val="24"/>
              </w:rPr>
            </w:pPr>
          </w:p>
          <w:p w14:paraId="7E5C9421" w14:textId="72B5D286"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Izakien sektoriza</w:t>
            </w:r>
            <w:r w:rsidR="00902460" w:rsidRPr="00B23FA6">
              <w:rPr>
                <w:rFonts w:asciiTheme="minorHAnsi" w:hAnsiTheme="minorHAnsi" w:cstheme="minorHAnsi"/>
                <w:snapToGrid w:val="0"/>
                <w:sz w:val="24"/>
                <w:szCs w:val="24"/>
              </w:rPr>
              <w:t>z</w:t>
            </w:r>
            <w:r w:rsidRPr="00B23FA6">
              <w:rPr>
                <w:rFonts w:asciiTheme="minorHAnsi" w:hAnsiTheme="minorHAnsi" w:cstheme="minorHAnsi"/>
                <w:snapToGrid w:val="0"/>
                <w:sz w:val="24"/>
                <w:szCs w:val="24"/>
              </w:rPr>
              <w:t>ioa Kontseiluaren 1996ko ekainaren 25eko 2223/96 (CE) Arautegian dago definituta eta mugatuta.</w:t>
            </w:r>
          </w:p>
          <w:p w14:paraId="445A4F39" w14:textId="579E10F4" w:rsidR="006F19A5" w:rsidRDefault="006F19A5" w:rsidP="006F19A5">
            <w:pPr>
              <w:ind w:left="57" w:right="57"/>
              <w:jc w:val="both"/>
              <w:rPr>
                <w:rFonts w:asciiTheme="minorHAnsi" w:hAnsiTheme="minorHAnsi" w:cstheme="minorHAnsi"/>
                <w:snapToGrid w:val="0"/>
                <w:sz w:val="24"/>
                <w:szCs w:val="24"/>
              </w:rPr>
            </w:pPr>
          </w:p>
          <w:p w14:paraId="65FD32E9" w14:textId="77777777" w:rsidR="006F19A5" w:rsidRPr="00B23FA6" w:rsidRDefault="006F19A5" w:rsidP="006F19A5">
            <w:pPr>
              <w:ind w:left="57" w:right="57"/>
              <w:jc w:val="both"/>
              <w:rPr>
                <w:rFonts w:asciiTheme="minorHAnsi" w:hAnsiTheme="minorHAnsi" w:cstheme="minorHAnsi"/>
                <w:snapToGrid w:val="0"/>
                <w:sz w:val="24"/>
                <w:szCs w:val="24"/>
              </w:rPr>
            </w:pPr>
          </w:p>
          <w:p w14:paraId="40ABC361" w14:textId="3D96FF6B"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Estatu espainiarrean izakien sektorizazioa egiteko eta horiek zein erakunderen menpe dauden zehazteko eskumena, arestian adierazi den Arautegia betez, estatuko administrazioko Kontu Hartzailetza Orokorrarena (IGAE) da.</w:t>
            </w:r>
          </w:p>
          <w:p w14:paraId="64D17F7D" w14:textId="5414D386" w:rsidR="006F19A5" w:rsidRDefault="006F19A5" w:rsidP="006F19A5">
            <w:pPr>
              <w:ind w:left="57" w:right="57"/>
              <w:jc w:val="both"/>
              <w:rPr>
                <w:rFonts w:asciiTheme="minorHAnsi" w:hAnsiTheme="minorHAnsi" w:cstheme="minorHAnsi"/>
                <w:snapToGrid w:val="0"/>
                <w:sz w:val="24"/>
                <w:szCs w:val="24"/>
              </w:rPr>
            </w:pPr>
          </w:p>
          <w:p w14:paraId="3E0391D9" w14:textId="77777777" w:rsidR="006F19A5" w:rsidRPr="00B23FA6" w:rsidRDefault="006F19A5" w:rsidP="006F19A5">
            <w:pPr>
              <w:ind w:left="57" w:right="57"/>
              <w:jc w:val="both"/>
              <w:rPr>
                <w:rFonts w:asciiTheme="minorHAnsi" w:hAnsiTheme="minorHAnsi" w:cstheme="minorHAnsi"/>
                <w:snapToGrid w:val="0"/>
                <w:sz w:val="24"/>
                <w:szCs w:val="24"/>
              </w:rPr>
            </w:pPr>
          </w:p>
          <w:p w14:paraId="187330CA" w14:textId="0CA6293A" w:rsidR="00F21E3E" w:rsidRPr="00B23FA6" w:rsidRDefault="00F21E3E"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IGAEgandik jasotako azken txostenaren arabera (20</w:t>
            </w:r>
            <w:r w:rsidR="00B23FA6">
              <w:rPr>
                <w:rFonts w:asciiTheme="minorHAnsi" w:hAnsiTheme="minorHAnsi" w:cstheme="minorHAnsi"/>
                <w:snapToGrid w:val="0"/>
                <w:sz w:val="24"/>
                <w:szCs w:val="24"/>
              </w:rPr>
              <w:t>2</w:t>
            </w:r>
            <w:r w:rsidR="0051571A">
              <w:rPr>
                <w:rFonts w:asciiTheme="minorHAnsi" w:hAnsiTheme="minorHAnsi" w:cstheme="minorHAnsi"/>
                <w:snapToGrid w:val="0"/>
                <w:sz w:val="24"/>
                <w:szCs w:val="24"/>
              </w:rPr>
              <w:t>2</w:t>
            </w:r>
            <w:r w:rsidRPr="00B23FA6">
              <w:rPr>
                <w:rFonts w:asciiTheme="minorHAnsi" w:hAnsiTheme="minorHAnsi" w:cstheme="minorHAnsi"/>
                <w:snapToGrid w:val="0"/>
                <w:sz w:val="24"/>
                <w:szCs w:val="24"/>
              </w:rPr>
              <w:t>ko urtera aplikagarria), Arabako Foru Aldundiaren menpeko administrazio publikoaren sektorea osatzen duten erakundeak honakoak dira:</w:t>
            </w:r>
          </w:p>
          <w:p w14:paraId="162372FA" w14:textId="77777777"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Foru Administrazioa:</w:t>
            </w:r>
          </w:p>
          <w:p w14:paraId="68FEA022" w14:textId="77777777" w:rsidR="00D00ED2" w:rsidRPr="00B23FA6" w:rsidRDefault="00D00ED2" w:rsidP="00F21E3E">
            <w:pPr>
              <w:numPr>
                <w:ilvl w:val="0"/>
                <w:numId w:val="4"/>
              </w:numPr>
              <w:spacing w:before="60" w:after="200"/>
              <w:ind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Foru Aldundia</w:t>
            </w:r>
          </w:p>
          <w:p w14:paraId="0B5224DA" w14:textId="77777777" w:rsidR="00D00ED2" w:rsidRPr="00B23FA6" w:rsidRDefault="00D00ED2" w:rsidP="00F21E3E">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B02DFE" w:rsidRPr="00B23FA6">
              <w:rPr>
                <w:rFonts w:asciiTheme="minorHAnsi" w:hAnsiTheme="minorHAnsi" w:cstheme="minorHAnsi"/>
                <w:snapToGrid w:val="0"/>
                <w:sz w:val="24"/>
                <w:szCs w:val="24"/>
              </w:rPr>
              <w:t>Foru erakunde autonomoak:</w:t>
            </w:r>
            <w:r w:rsidRPr="00B23FA6">
              <w:rPr>
                <w:rFonts w:asciiTheme="minorHAnsi" w:hAnsiTheme="minorHAnsi" w:cstheme="minorHAnsi"/>
                <w:snapToGrid w:val="0"/>
                <w:sz w:val="24"/>
                <w:szCs w:val="24"/>
              </w:rPr>
              <w:t xml:space="preserve"> </w:t>
            </w:r>
          </w:p>
          <w:p w14:paraId="695C7345" w14:textId="77777777" w:rsidR="00D00ED2" w:rsidRPr="00B23FA6" w:rsidRDefault="000249E2"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Gizarte Ongizaterako Foru Erakundea</w:t>
            </w:r>
            <w:r w:rsidR="00D00ED2" w:rsidRPr="00B23FA6">
              <w:rPr>
                <w:rFonts w:asciiTheme="minorHAnsi" w:hAnsiTheme="minorHAnsi" w:cstheme="minorHAnsi"/>
                <w:snapToGrid w:val="0"/>
                <w:sz w:val="24"/>
                <w:szCs w:val="24"/>
              </w:rPr>
              <w:t xml:space="preserve"> </w:t>
            </w:r>
          </w:p>
          <w:p w14:paraId="1ABF0120" w14:textId="77777777" w:rsidR="00D00ED2" w:rsidRPr="00B23FA6" w:rsidRDefault="000249E2" w:rsidP="00F21E3E">
            <w:pPr>
              <w:numPr>
                <w:ilvl w:val="0"/>
                <w:numId w:val="10"/>
              </w:numPr>
              <w:spacing w:before="60" w:after="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Gazteriaren Foru Erakundea</w:t>
            </w:r>
          </w:p>
          <w:p w14:paraId="2C9AE10C" w14:textId="3D033BED"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Arabako </w:t>
            </w:r>
            <w:r w:rsidR="00B23FA6">
              <w:rPr>
                <w:rFonts w:asciiTheme="minorHAnsi" w:hAnsiTheme="minorHAnsi" w:cstheme="minorHAnsi"/>
                <w:snapToGrid w:val="0"/>
                <w:sz w:val="24"/>
                <w:szCs w:val="24"/>
              </w:rPr>
              <w:t>F</w:t>
            </w:r>
            <w:r w:rsidRPr="00B23FA6">
              <w:rPr>
                <w:rFonts w:asciiTheme="minorHAnsi" w:hAnsiTheme="minorHAnsi" w:cstheme="minorHAnsi"/>
                <w:snapToGrid w:val="0"/>
                <w:sz w:val="24"/>
                <w:szCs w:val="24"/>
              </w:rPr>
              <w:t>oru Suhiltzaileak</w:t>
            </w:r>
          </w:p>
          <w:p w14:paraId="4CB85A95" w14:textId="77777777"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0249E2" w:rsidRPr="00B23FA6">
              <w:rPr>
                <w:rFonts w:asciiTheme="minorHAnsi" w:hAnsiTheme="minorHAnsi" w:cstheme="minorHAnsi"/>
                <w:snapToGrid w:val="0"/>
                <w:sz w:val="24"/>
                <w:szCs w:val="24"/>
              </w:rPr>
              <w:t>Merkataritzako sozietateak</w:t>
            </w:r>
          </w:p>
          <w:p w14:paraId="5777DC12" w14:textId="7680FDB0" w:rsidR="00D00ED2" w:rsidRPr="00B23FA6" w:rsidRDefault="000249E2"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w:t>
            </w:r>
            <w:r w:rsidR="00507417" w:rsidRPr="00B23FA6">
              <w:rPr>
                <w:rFonts w:asciiTheme="minorHAnsi" w:hAnsiTheme="minorHAnsi" w:cstheme="minorHAnsi"/>
                <w:snapToGrid w:val="0"/>
                <w:sz w:val="24"/>
                <w:szCs w:val="24"/>
              </w:rPr>
              <w:t xml:space="preserve"> Garapen Agentzia</w:t>
            </w:r>
            <w:r w:rsidRPr="00B23FA6">
              <w:rPr>
                <w:rFonts w:asciiTheme="minorHAnsi" w:hAnsiTheme="minorHAnsi" w:cstheme="minorHAnsi"/>
                <w:snapToGrid w:val="0"/>
                <w:sz w:val="24"/>
                <w:szCs w:val="24"/>
              </w:rPr>
              <w:t xml:space="preserve"> </w:t>
            </w:r>
            <w:r w:rsidR="0094665C" w:rsidRPr="00B23FA6">
              <w:rPr>
                <w:rFonts w:asciiTheme="minorHAnsi" w:hAnsiTheme="minorHAnsi" w:cstheme="minorHAnsi"/>
                <w:snapToGrid w:val="0"/>
                <w:sz w:val="24"/>
                <w:szCs w:val="24"/>
              </w:rPr>
              <w:t xml:space="preserve"> SA</w:t>
            </w:r>
          </w:p>
          <w:p w14:paraId="2C42857E"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Kalkulu Gunea SA</w:t>
            </w:r>
          </w:p>
          <w:p w14:paraId="26A330FB" w14:textId="099D5355"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lang w:val="en-US"/>
              </w:rPr>
            </w:pPr>
            <w:r w:rsidRPr="00B23FA6">
              <w:rPr>
                <w:rFonts w:asciiTheme="minorHAnsi" w:hAnsiTheme="minorHAnsi" w:cstheme="minorHAnsi"/>
                <w:snapToGrid w:val="0"/>
                <w:sz w:val="24"/>
                <w:szCs w:val="24"/>
              </w:rPr>
              <w:lastRenderedPageBreak/>
              <w:t>Indesa 2010 SL</w:t>
            </w:r>
          </w:p>
          <w:p w14:paraId="18225F6F" w14:textId="77777777" w:rsidR="005A3C8E" w:rsidRPr="00B23FA6" w:rsidRDefault="005A3C8E" w:rsidP="007857F7">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79B3F4BF" w14:textId="77777777" w:rsidR="007857F7" w:rsidRPr="00B23FA6" w:rsidRDefault="007857F7" w:rsidP="007857F7">
            <w:pPr>
              <w:numPr>
                <w:ilvl w:val="0"/>
                <w:numId w:val="14"/>
              </w:numPr>
              <w:spacing w:before="60" w:after="20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VIA Promoción del Aeropuerto de Vitoria S.A.</w:t>
            </w:r>
          </w:p>
          <w:p w14:paraId="07C131E9" w14:textId="77777777" w:rsidR="00D00ED2" w:rsidRPr="00B23FA6" w:rsidRDefault="00D00ED2"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w:t>
            </w:r>
            <w:r w:rsidR="000249E2" w:rsidRPr="00B23FA6">
              <w:rPr>
                <w:rFonts w:asciiTheme="minorHAnsi" w:hAnsiTheme="minorHAnsi" w:cstheme="minorHAnsi"/>
                <w:snapToGrid w:val="0"/>
                <w:sz w:val="24"/>
                <w:szCs w:val="24"/>
              </w:rPr>
              <w:t>undazioak:</w:t>
            </w:r>
          </w:p>
          <w:p w14:paraId="19A46820" w14:textId="77777777" w:rsidR="00D00ED2" w:rsidRPr="00B23FA6" w:rsidRDefault="000249E2"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Santa Maria Katedrala Fundazioa</w:t>
            </w:r>
          </w:p>
          <w:p w14:paraId="533B5B1B" w14:textId="77777777" w:rsidR="00D00ED2" w:rsidRPr="00B23FA6" w:rsidRDefault="00497298"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Artium Fundazioa</w:t>
            </w:r>
          </w:p>
          <w:p w14:paraId="2722FF97" w14:textId="77777777" w:rsidR="00D00ED2" w:rsidRPr="00B23FA6" w:rsidRDefault="001149EF"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Kirolaraba</w:t>
            </w:r>
            <w:r w:rsidR="005D3105" w:rsidRPr="00B23FA6">
              <w:rPr>
                <w:rFonts w:asciiTheme="minorHAnsi" w:hAnsiTheme="minorHAnsi" w:cstheme="minorHAnsi"/>
                <w:snapToGrid w:val="0"/>
                <w:sz w:val="24"/>
                <w:szCs w:val="24"/>
              </w:rPr>
              <w:t xml:space="preserve"> Fundazioa </w:t>
            </w:r>
          </w:p>
          <w:p w14:paraId="04B40319" w14:textId="77777777" w:rsidR="007857F7" w:rsidRPr="00B23FA6" w:rsidRDefault="007857F7"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Añanako Gatz Harana Fundazioa</w:t>
            </w:r>
          </w:p>
          <w:p w14:paraId="08E79540" w14:textId="77777777" w:rsidR="00D00ED2" w:rsidRPr="00B23FA6" w:rsidRDefault="00D00ED2" w:rsidP="00F21E3E">
            <w:pPr>
              <w:numPr>
                <w:ilvl w:val="0"/>
                <w:numId w:val="15"/>
              </w:numPr>
              <w:spacing w:before="60"/>
              <w:ind w:left="57" w:right="57"/>
              <w:rPr>
                <w:rFonts w:asciiTheme="minorHAnsi" w:hAnsiTheme="minorHAnsi" w:cstheme="minorHAnsi"/>
                <w:sz w:val="24"/>
                <w:szCs w:val="24"/>
              </w:rPr>
            </w:pPr>
          </w:p>
        </w:tc>
        <w:tc>
          <w:tcPr>
            <w:tcW w:w="4534" w:type="dxa"/>
            <w:tcBorders>
              <w:left w:val="single" w:sz="4" w:space="0" w:color="808080"/>
            </w:tcBorders>
            <w:shd w:val="clear" w:color="auto" w:fill="auto"/>
          </w:tcPr>
          <w:p w14:paraId="37557072"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 xml:space="preserve">DELIMITACIÓN DEL SECTOR ADMINISTRACIÓN PÚBLICA DEPENDIENTE DE LA DIPUTACIÓN FORAL DE ÁLAVA </w:t>
            </w:r>
          </w:p>
          <w:p w14:paraId="37C8DEA8" w14:textId="77777777" w:rsidR="006F19A5" w:rsidRDefault="006F19A5" w:rsidP="006F19A5">
            <w:pPr>
              <w:ind w:left="57" w:right="57"/>
              <w:jc w:val="both"/>
              <w:rPr>
                <w:rFonts w:asciiTheme="minorHAnsi" w:hAnsiTheme="minorHAnsi" w:cstheme="minorHAnsi"/>
                <w:snapToGrid w:val="0"/>
                <w:sz w:val="24"/>
                <w:szCs w:val="24"/>
              </w:rPr>
            </w:pPr>
          </w:p>
          <w:p w14:paraId="63C7A818" w14:textId="3012B543"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La sectorización de las entidades se encuentra definida y limitada en el Reglamento (CE) 2223/96 del Consejo, de 25 de junio de 1996.</w:t>
            </w:r>
          </w:p>
          <w:p w14:paraId="58C0AA33" w14:textId="77777777" w:rsidR="006F19A5" w:rsidRPr="00B23FA6" w:rsidRDefault="006F19A5" w:rsidP="006F19A5">
            <w:pPr>
              <w:ind w:left="57" w:right="57"/>
              <w:jc w:val="both"/>
              <w:rPr>
                <w:rFonts w:asciiTheme="minorHAnsi" w:hAnsiTheme="minorHAnsi" w:cstheme="minorHAnsi"/>
                <w:snapToGrid w:val="0"/>
                <w:sz w:val="24"/>
                <w:szCs w:val="24"/>
              </w:rPr>
            </w:pPr>
          </w:p>
          <w:p w14:paraId="7D888305" w14:textId="724E3EB7"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En el estado español, la competencia para realizar la sectorización de las entidades y</w:t>
            </w:r>
            <w:r w:rsidR="002637A7" w:rsidRPr="00B23FA6">
              <w:rPr>
                <w:rFonts w:asciiTheme="minorHAnsi" w:hAnsiTheme="minorHAnsi" w:cstheme="minorHAnsi"/>
                <w:snapToGrid w:val="0"/>
                <w:sz w:val="24"/>
                <w:szCs w:val="24"/>
              </w:rPr>
              <w:t xml:space="preserve"> </w:t>
            </w:r>
            <w:r w:rsidRPr="00B23FA6">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3EC8EAAA" w14:textId="77777777" w:rsidR="006F19A5" w:rsidRPr="00B23FA6" w:rsidRDefault="006F19A5" w:rsidP="006F19A5">
            <w:pPr>
              <w:ind w:left="57" w:right="57"/>
              <w:jc w:val="both"/>
              <w:rPr>
                <w:rFonts w:asciiTheme="minorHAnsi" w:hAnsiTheme="minorHAnsi" w:cstheme="minorHAnsi"/>
                <w:snapToGrid w:val="0"/>
                <w:sz w:val="24"/>
                <w:szCs w:val="24"/>
              </w:rPr>
            </w:pPr>
          </w:p>
          <w:p w14:paraId="79176301" w14:textId="294D1363" w:rsidR="00EC59D9" w:rsidRPr="00B23FA6" w:rsidRDefault="005072F0"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De acuerdo con el último informe recibido de la IGAE, aplicable al año 20</w:t>
            </w:r>
            <w:r w:rsidR="00B23FA6">
              <w:rPr>
                <w:rFonts w:asciiTheme="minorHAnsi" w:hAnsiTheme="minorHAnsi" w:cstheme="minorHAnsi"/>
                <w:snapToGrid w:val="0"/>
                <w:sz w:val="24"/>
                <w:szCs w:val="24"/>
              </w:rPr>
              <w:t>2</w:t>
            </w:r>
            <w:r w:rsidR="0051571A">
              <w:rPr>
                <w:rFonts w:asciiTheme="minorHAnsi" w:hAnsiTheme="minorHAnsi" w:cstheme="minorHAnsi"/>
                <w:snapToGrid w:val="0"/>
                <w:sz w:val="24"/>
                <w:szCs w:val="24"/>
              </w:rPr>
              <w:t>2</w:t>
            </w:r>
            <w:r w:rsidRPr="00B23FA6">
              <w:rPr>
                <w:rFonts w:asciiTheme="minorHAnsi" w:hAnsiTheme="minorHAnsi" w:cstheme="minorHAnsi"/>
                <w:snapToGrid w:val="0"/>
                <w:sz w:val="24"/>
                <w:szCs w:val="24"/>
              </w:rPr>
              <w:t>, las entidades que conforman el Sector Administración Pública, dependiente de la Diputación Foral de Álava son las siguientes</w:t>
            </w:r>
            <w:r w:rsidR="00EC59D9" w:rsidRPr="00B23FA6">
              <w:rPr>
                <w:rFonts w:asciiTheme="minorHAnsi" w:hAnsiTheme="minorHAnsi" w:cstheme="minorHAnsi"/>
                <w:snapToGrid w:val="0"/>
                <w:sz w:val="24"/>
                <w:szCs w:val="24"/>
              </w:rPr>
              <w:t>:</w:t>
            </w:r>
          </w:p>
          <w:p w14:paraId="113E17E0"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Administración Foral</w:t>
            </w:r>
          </w:p>
          <w:p w14:paraId="16269F41" w14:textId="77777777" w:rsidR="00737E56" w:rsidRPr="00B23FA6" w:rsidRDefault="00737E56" w:rsidP="004B1404">
            <w:pPr>
              <w:numPr>
                <w:ilvl w:val="0"/>
                <w:numId w:val="4"/>
              </w:numPr>
              <w:spacing w:before="60" w:after="200"/>
              <w:ind w:left="57" w:right="57" w:firstLine="0"/>
              <w:rPr>
                <w:rFonts w:asciiTheme="minorHAnsi" w:hAnsiTheme="minorHAnsi" w:cstheme="minorHAnsi"/>
                <w:snapToGrid w:val="0"/>
                <w:sz w:val="24"/>
                <w:szCs w:val="24"/>
              </w:rPr>
            </w:pPr>
            <w:r w:rsidRPr="00B23FA6">
              <w:rPr>
                <w:rFonts w:asciiTheme="minorHAnsi" w:hAnsiTheme="minorHAnsi" w:cstheme="minorHAnsi"/>
                <w:snapToGrid w:val="0"/>
                <w:sz w:val="24"/>
                <w:szCs w:val="24"/>
              </w:rPr>
              <w:t>D</w:t>
            </w:r>
            <w:r w:rsidR="00196FCE" w:rsidRPr="00B23FA6">
              <w:rPr>
                <w:rFonts w:asciiTheme="minorHAnsi" w:hAnsiTheme="minorHAnsi" w:cstheme="minorHAnsi"/>
                <w:snapToGrid w:val="0"/>
                <w:sz w:val="24"/>
                <w:szCs w:val="24"/>
              </w:rPr>
              <w:t xml:space="preserve">iputación Foral de </w:t>
            </w:r>
            <w:r w:rsidR="00762DC6" w:rsidRPr="00B23FA6">
              <w:rPr>
                <w:rFonts w:asciiTheme="minorHAnsi" w:hAnsiTheme="minorHAnsi" w:cstheme="minorHAnsi"/>
                <w:snapToGrid w:val="0"/>
                <w:sz w:val="24"/>
                <w:szCs w:val="24"/>
              </w:rPr>
              <w:t>Ál</w:t>
            </w:r>
            <w:r w:rsidR="00196FCE" w:rsidRPr="00B23FA6">
              <w:rPr>
                <w:rFonts w:asciiTheme="minorHAnsi" w:hAnsiTheme="minorHAnsi" w:cstheme="minorHAnsi"/>
                <w:snapToGrid w:val="0"/>
                <w:sz w:val="24"/>
                <w:szCs w:val="24"/>
              </w:rPr>
              <w:t>ava</w:t>
            </w:r>
          </w:p>
          <w:p w14:paraId="62B840E6"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Organismos Autónomos Forales </w:t>
            </w:r>
          </w:p>
          <w:p w14:paraId="519EB1E9"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Bienestar Social </w:t>
            </w:r>
          </w:p>
          <w:p w14:paraId="501C293C"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w:t>
            </w:r>
            <w:r w:rsidR="000249E2" w:rsidRPr="00B23FA6">
              <w:rPr>
                <w:rFonts w:asciiTheme="minorHAnsi" w:hAnsiTheme="minorHAnsi" w:cstheme="minorHAnsi"/>
                <w:snapToGrid w:val="0"/>
                <w:sz w:val="24"/>
                <w:szCs w:val="24"/>
              </w:rPr>
              <w:t xml:space="preserve">la </w:t>
            </w:r>
            <w:r w:rsidRPr="00B23FA6">
              <w:rPr>
                <w:rFonts w:asciiTheme="minorHAnsi" w:hAnsiTheme="minorHAnsi" w:cstheme="minorHAnsi"/>
                <w:snapToGrid w:val="0"/>
                <w:sz w:val="24"/>
                <w:szCs w:val="24"/>
              </w:rPr>
              <w:t xml:space="preserve">Juventud </w:t>
            </w:r>
          </w:p>
          <w:p w14:paraId="6366CAB8" w14:textId="77777777"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Bomberos Forales de Álava</w:t>
            </w:r>
          </w:p>
          <w:p w14:paraId="797BF292"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Sociedades Mercantiles </w:t>
            </w:r>
          </w:p>
          <w:p w14:paraId="2315C34D"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Álava Agencia de Desarrollo S.A.</w:t>
            </w:r>
          </w:p>
          <w:p w14:paraId="14F228FB" w14:textId="77777777" w:rsidR="00196FCE" w:rsidRPr="00B23FA6" w:rsidRDefault="00196FCE"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lastRenderedPageBreak/>
              <w:t xml:space="preserve">Centro de Cálculo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 S.A.U.</w:t>
            </w:r>
          </w:p>
          <w:p w14:paraId="25585168" w14:textId="34ED2B27"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Indesa 2010 S.L</w:t>
            </w:r>
            <w:r w:rsidR="00D66B42" w:rsidRPr="00B23FA6">
              <w:rPr>
                <w:rFonts w:asciiTheme="minorHAnsi" w:hAnsiTheme="minorHAnsi" w:cstheme="minorHAnsi"/>
                <w:snapToGrid w:val="0"/>
                <w:sz w:val="24"/>
                <w:szCs w:val="24"/>
              </w:rPr>
              <w:t xml:space="preserve"> </w:t>
            </w:r>
          </w:p>
          <w:p w14:paraId="1F1AF3D6" w14:textId="77777777" w:rsidR="005A3C8E" w:rsidRPr="00B23FA6" w:rsidRDefault="005A3C8E" w:rsidP="007857F7">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680921CC" w14:textId="77777777" w:rsidR="007857F7" w:rsidRPr="00B23FA6" w:rsidRDefault="007857F7" w:rsidP="007857F7">
            <w:pPr>
              <w:numPr>
                <w:ilvl w:val="0"/>
                <w:numId w:val="14"/>
              </w:numPr>
              <w:spacing w:before="60" w:after="20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VIA Promoción del Aeropuerto de Vitoria S.A.</w:t>
            </w:r>
          </w:p>
          <w:p w14:paraId="41626CC5" w14:textId="77777777" w:rsidR="00196FCE" w:rsidRPr="00B23FA6" w:rsidRDefault="005107CD"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Fundaciones</w:t>
            </w:r>
          </w:p>
          <w:p w14:paraId="77F39D5A"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 xml:space="preserve">undación </w:t>
            </w:r>
            <w:r w:rsidRPr="00B23FA6">
              <w:rPr>
                <w:rFonts w:asciiTheme="minorHAnsi" w:hAnsiTheme="minorHAnsi" w:cstheme="minorHAnsi"/>
                <w:snapToGrid w:val="0"/>
                <w:sz w:val="24"/>
                <w:szCs w:val="24"/>
              </w:rPr>
              <w:t xml:space="preserve">Catedral Santa María </w:t>
            </w:r>
          </w:p>
          <w:p w14:paraId="57E87317"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Artium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w:t>
            </w:r>
          </w:p>
          <w:p w14:paraId="0B941AB1" w14:textId="77777777" w:rsidR="00196FCE" w:rsidRPr="00B23FA6" w:rsidRDefault="00196FCE"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w:t>
            </w:r>
            <w:r w:rsidR="001149EF" w:rsidRPr="00B23FA6">
              <w:rPr>
                <w:rFonts w:asciiTheme="minorHAnsi" w:hAnsiTheme="minorHAnsi" w:cstheme="minorHAnsi"/>
                <w:snapToGrid w:val="0"/>
                <w:sz w:val="24"/>
                <w:szCs w:val="24"/>
              </w:rPr>
              <w:t>Kirolaraba</w:t>
            </w:r>
          </w:p>
          <w:p w14:paraId="4BD0A9E7" w14:textId="77777777" w:rsidR="007857F7" w:rsidRPr="00B23FA6" w:rsidRDefault="007857F7"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Fundación Valle Salado de Añana</w:t>
            </w:r>
          </w:p>
        </w:tc>
      </w:tr>
      <w:tr w:rsidR="00EC59D9" w:rsidRPr="00B23FA6" w14:paraId="597894F0" w14:textId="77777777" w:rsidTr="00693004">
        <w:tc>
          <w:tcPr>
            <w:tcW w:w="4536" w:type="dxa"/>
            <w:tcBorders>
              <w:right w:val="single" w:sz="4" w:space="0" w:color="808080"/>
            </w:tcBorders>
            <w:shd w:val="clear" w:color="auto" w:fill="auto"/>
          </w:tcPr>
          <w:p w14:paraId="3315FFDB" w14:textId="77777777" w:rsidR="00EC59D9" w:rsidRPr="00B23FA6" w:rsidRDefault="00F21E3E" w:rsidP="00693004">
            <w:pPr>
              <w:spacing w:before="400" w:after="120"/>
              <w:ind w:left="57" w:right="57"/>
              <w:jc w:val="both"/>
              <w:rPr>
                <w:rFonts w:asciiTheme="minorHAnsi" w:hAnsiTheme="minorHAnsi" w:cstheme="minorHAnsi"/>
                <w:sz w:val="24"/>
                <w:szCs w:val="24"/>
              </w:rPr>
            </w:pPr>
            <w:r w:rsidRPr="00B23FA6">
              <w:rPr>
                <w:rFonts w:asciiTheme="minorHAnsi" w:hAnsiTheme="minorHAnsi" w:cstheme="minorHAnsi"/>
                <w:sz w:val="24"/>
                <w:szCs w:val="24"/>
              </w:rPr>
              <w:lastRenderedPageBreak/>
              <w:t>Aipatutako txostenaren arabera, sailkatu gabe daude honako erakundeak:</w:t>
            </w:r>
          </w:p>
        </w:tc>
        <w:tc>
          <w:tcPr>
            <w:tcW w:w="4534" w:type="dxa"/>
            <w:tcBorders>
              <w:left w:val="single" w:sz="4" w:space="0" w:color="808080"/>
            </w:tcBorders>
            <w:shd w:val="clear" w:color="auto" w:fill="auto"/>
          </w:tcPr>
          <w:p w14:paraId="6E05396A" w14:textId="77777777" w:rsidR="00EC59D9" w:rsidRPr="00B23FA6" w:rsidRDefault="005072F0" w:rsidP="00693004">
            <w:pPr>
              <w:spacing w:before="400" w:after="120"/>
              <w:ind w:left="57" w:right="57"/>
              <w:jc w:val="both"/>
              <w:rPr>
                <w:rFonts w:asciiTheme="minorHAnsi" w:hAnsiTheme="minorHAnsi" w:cstheme="minorHAnsi"/>
                <w:sz w:val="24"/>
                <w:szCs w:val="24"/>
              </w:rPr>
            </w:pPr>
            <w:r w:rsidRPr="00B23FA6">
              <w:rPr>
                <w:rFonts w:asciiTheme="minorHAnsi" w:hAnsiTheme="minorHAnsi" w:cstheme="minorHAnsi"/>
                <w:snapToGrid w:val="0"/>
                <w:sz w:val="24"/>
                <w:szCs w:val="24"/>
              </w:rPr>
              <w:t>Según el mencionado informe, las siguientes entidades se encuentran pendientes de clasificar:</w:t>
            </w:r>
          </w:p>
        </w:tc>
      </w:tr>
      <w:tr w:rsidR="00693004" w:rsidRPr="00B23FA6" w14:paraId="74F6EA13" w14:textId="77777777" w:rsidTr="00693004">
        <w:tc>
          <w:tcPr>
            <w:tcW w:w="4536" w:type="dxa"/>
            <w:tcBorders>
              <w:right w:val="single" w:sz="4" w:space="0" w:color="808080"/>
            </w:tcBorders>
            <w:shd w:val="clear" w:color="auto" w:fill="auto"/>
          </w:tcPr>
          <w:p w14:paraId="1FFCEAC9"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Partzuergoak:</w:t>
            </w:r>
          </w:p>
          <w:p w14:paraId="44C7DE29"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Errioxako Ur Partzuergoa</w:t>
            </w:r>
          </w:p>
          <w:p w14:paraId="42A2AD20"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Lautada-Elgea Mendilerroko Ur Partzuergoa</w:t>
            </w:r>
          </w:p>
          <w:p w14:paraId="75D8837B"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Mendi Harango Ur Partzuergoa</w:t>
            </w:r>
          </w:p>
          <w:p w14:paraId="0E39043E" w14:textId="77777777" w:rsidR="00693004" w:rsidRPr="00B23FA6" w:rsidRDefault="00693004" w:rsidP="00BE2406">
            <w:pPr>
              <w:numPr>
                <w:ilvl w:val="0"/>
                <w:numId w:val="15"/>
              </w:numPr>
              <w:spacing w:before="60"/>
              <w:ind w:left="454" w:right="57" w:hanging="227"/>
              <w:rPr>
                <w:rFonts w:asciiTheme="minorHAnsi" w:hAnsiTheme="minorHAnsi" w:cstheme="minorHAnsi"/>
                <w:sz w:val="24"/>
                <w:szCs w:val="24"/>
              </w:rPr>
            </w:pPr>
            <w:r>
              <w:rPr>
                <w:rFonts w:asciiTheme="minorHAnsi" w:hAnsiTheme="minorHAnsi" w:cstheme="minorHAnsi"/>
                <w:snapToGrid w:val="0"/>
                <w:sz w:val="24"/>
                <w:szCs w:val="24"/>
              </w:rPr>
              <w:t xml:space="preserve">Urbide - </w:t>
            </w:r>
            <w:r w:rsidRPr="00B23FA6">
              <w:rPr>
                <w:rFonts w:asciiTheme="minorHAnsi" w:hAnsiTheme="minorHAnsi" w:cstheme="minorHAnsi"/>
                <w:snapToGrid w:val="0"/>
                <w:sz w:val="24"/>
                <w:szCs w:val="24"/>
              </w:rPr>
              <w:t xml:space="preserve">Arabako Ur Partzuergoa </w:t>
            </w:r>
          </w:p>
        </w:tc>
        <w:tc>
          <w:tcPr>
            <w:tcW w:w="4534" w:type="dxa"/>
            <w:tcBorders>
              <w:left w:val="single" w:sz="4" w:space="0" w:color="808080"/>
            </w:tcBorders>
            <w:shd w:val="clear" w:color="auto" w:fill="auto"/>
          </w:tcPr>
          <w:p w14:paraId="3C646A0F"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Consorcios</w:t>
            </w:r>
          </w:p>
          <w:p w14:paraId="73458961"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de Rioja Alavesa</w:t>
            </w:r>
          </w:p>
          <w:p w14:paraId="4DB43677"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Consorcio Aguas de la Llanada – Sierra de Elgea </w:t>
            </w:r>
          </w:p>
          <w:p w14:paraId="159A402F"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Mendi Haran</w:t>
            </w:r>
          </w:p>
          <w:p w14:paraId="7A0034CF" w14:textId="626DCBE8" w:rsidR="00693004" w:rsidRPr="00B23FA6" w:rsidRDefault="00693004" w:rsidP="0051571A">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Consorcio de Aguas </w:t>
            </w:r>
            <w:r>
              <w:rPr>
                <w:rFonts w:asciiTheme="minorHAnsi" w:hAnsiTheme="minorHAnsi" w:cstheme="minorHAnsi"/>
                <w:snapToGrid w:val="0"/>
                <w:sz w:val="24"/>
                <w:szCs w:val="24"/>
              </w:rPr>
              <w:t>de Álava - Urbide</w:t>
            </w:r>
          </w:p>
        </w:tc>
      </w:tr>
      <w:tr w:rsidR="005072F0" w:rsidRPr="00B23FA6" w14:paraId="5E97C5FE" w14:textId="77777777" w:rsidTr="00693004">
        <w:tc>
          <w:tcPr>
            <w:tcW w:w="4536" w:type="dxa"/>
            <w:tcBorders>
              <w:right w:val="single" w:sz="4" w:space="0" w:color="808080"/>
            </w:tcBorders>
            <w:shd w:val="clear" w:color="auto" w:fill="auto"/>
          </w:tcPr>
          <w:p w14:paraId="01F697BA" w14:textId="63421B0D" w:rsidR="00754735" w:rsidRPr="00B23FA6" w:rsidRDefault="00754735"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693004" w:rsidRPr="00B23FA6">
              <w:rPr>
                <w:rFonts w:asciiTheme="minorHAnsi" w:hAnsiTheme="minorHAnsi" w:cstheme="minorHAnsi"/>
                <w:snapToGrid w:val="0"/>
                <w:sz w:val="24"/>
                <w:szCs w:val="24"/>
              </w:rPr>
              <w:t>Merkataritzako sozietateak</w:t>
            </w:r>
            <w:r w:rsidRPr="00B23FA6">
              <w:rPr>
                <w:rFonts w:asciiTheme="minorHAnsi" w:hAnsiTheme="minorHAnsi" w:cstheme="minorHAnsi"/>
                <w:snapToGrid w:val="0"/>
                <w:sz w:val="24"/>
                <w:szCs w:val="24"/>
              </w:rPr>
              <w:t>:</w:t>
            </w:r>
          </w:p>
          <w:p w14:paraId="486B1434" w14:textId="77777777" w:rsidR="005072F0" w:rsidRPr="0051571A" w:rsidRDefault="00693004" w:rsidP="00361F93">
            <w:pPr>
              <w:numPr>
                <w:ilvl w:val="0"/>
                <w:numId w:val="15"/>
              </w:numPr>
              <w:spacing w:before="60"/>
              <w:ind w:left="454" w:right="57" w:hanging="227"/>
              <w:rPr>
                <w:rFonts w:asciiTheme="minorHAnsi" w:hAnsiTheme="minorHAnsi" w:cstheme="minorHAnsi"/>
                <w:sz w:val="24"/>
                <w:szCs w:val="24"/>
              </w:rPr>
            </w:pPr>
            <w:r>
              <w:rPr>
                <w:rFonts w:asciiTheme="minorHAnsi" w:hAnsiTheme="minorHAnsi" w:cstheme="minorHAnsi"/>
                <w:snapToGrid w:val="0"/>
                <w:sz w:val="24"/>
                <w:szCs w:val="24"/>
              </w:rPr>
              <w:t>Enargi Araba SAU</w:t>
            </w:r>
            <w:r w:rsidR="00754735" w:rsidRPr="00B23FA6">
              <w:rPr>
                <w:rFonts w:asciiTheme="minorHAnsi" w:hAnsiTheme="minorHAnsi" w:cstheme="minorHAnsi"/>
                <w:snapToGrid w:val="0"/>
                <w:sz w:val="24"/>
                <w:szCs w:val="24"/>
              </w:rPr>
              <w:t xml:space="preserve"> </w:t>
            </w:r>
          </w:p>
          <w:p w14:paraId="56924E38" w14:textId="77777777" w:rsidR="0051571A" w:rsidRDefault="0051571A" w:rsidP="0051571A">
            <w:pPr>
              <w:spacing w:before="60"/>
              <w:ind w:right="57"/>
              <w:rPr>
                <w:rFonts w:asciiTheme="minorHAnsi" w:hAnsiTheme="minorHAnsi" w:cstheme="minorHAnsi"/>
                <w:snapToGrid w:val="0"/>
                <w:sz w:val="24"/>
                <w:szCs w:val="24"/>
              </w:rPr>
            </w:pPr>
          </w:p>
          <w:p w14:paraId="2CCD3517" w14:textId="77777777" w:rsidR="0051571A" w:rsidRDefault="0051571A" w:rsidP="0051571A">
            <w:pPr>
              <w:spacing w:before="60"/>
              <w:ind w:right="57"/>
              <w:rPr>
                <w:rFonts w:asciiTheme="minorHAnsi" w:hAnsiTheme="minorHAnsi" w:cstheme="minorHAnsi"/>
                <w:sz w:val="24"/>
                <w:szCs w:val="24"/>
              </w:rPr>
            </w:pPr>
            <w:r w:rsidRPr="0051571A">
              <w:rPr>
                <w:rFonts w:asciiTheme="minorHAnsi" w:hAnsiTheme="minorHAnsi" w:cstheme="minorHAnsi"/>
                <w:sz w:val="24"/>
                <w:szCs w:val="24"/>
              </w:rPr>
              <w:t>Gainera, txosten horretan erakunde hau sartzeko zain dago:</w:t>
            </w:r>
          </w:p>
          <w:p w14:paraId="10C188C8" w14:textId="77777777" w:rsidR="0051571A" w:rsidRDefault="0051571A" w:rsidP="0051571A">
            <w:pPr>
              <w:spacing w:before="60"/>
              <w:ind w:right="57"/>
              <w:rPr>
                <w:rFonts w:asciiTheme="minorHAnsi" w:hAnsiTheme="minorHAnsi" w:cstheme="minorHAnsi"/>
                <w:sz w:val="24"/>
                <w:szCs w:val="24"/>
              </w:rPr>
            </w:pPr>
          </w:p>
          <w:p w14:paraId="6BA92823" w14:textId="4E2789FC" w:rsidR="0051571A" w:rsidRPr="00B23FA6" w:rsidRDefault="0051571A" w:rsidP="0051571A">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Fundazioa:</w:t>
            </w:r>
          </w:p>
          <w:p w14:paraId="2F0A8BFF" w14:textId="17C788D6" w:rsidR="0051571A" w:rsidRPr="0051571A" w:rsidRDefault="0051571A" w:rsidP="0051571A">
            <w:pPr>
              <w:pStyle w:val="Prrafodelista"/>
              <w:numPr>
                <w:ilvl w:val="0"/>
                <w:numId w:val="15"/>
              </w:numPr>
              <w:spacing w:before="60"/>
              <w:ind w:right="57"/>
              <w:rPr>
                <w:rFonts w:asciiTheme="minorHAnsi" w:hAnsiTheme="minorHAnsi" w:cstheme="minorHAnsi"/>
                <w:sz w:val="24"/>
                <w:szCs w:val="24"/>
              </w:rPr>
            </w:pPr>
            <w:r w:rsidRPr="0051571A">
              <w:rPr>
                <w:rFonts w:asciiTheme="minorHAnsi" w:hAnsiTheme="minorHAnsi" w:cstheme="minorHAnsi"/>
                <w:snapToGrid w:val="0"/>
                <w:sz w:val="24"/>
                <w:szCs w:val="24"/>
              </w:rPr>
              <w:t>Vitoria-Gasteiz, Araba Mobility Lab Fundazioa</w:t>
            </w:r>
          </w:p>
        </w:tc>
        <w:tc>
          <w:tcPr>
            <w:tcW w:w="4534" w:type="dxa"/>
            <w:tcBorders>
              <w:left w:val="single" w:sz="4" w:space="0" w:color="808080"/>
            </w:tcBorders>
            <w:shd w:val="clear" w:color="auto" w:fill="auto"/>
          </w:tcPr>
          <w:p w14:paraId="42A9758D" w14:textId="27BCFC72" w:rsidR="00754735" w:rsidRPr="00B23FA6" w:rsidRDefault="00754735"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693004">
              <w:rPr>
                <w:rFonts w:asciiTheme="minorHAnsi" w:hAnsiTheme="minorHAnsi" w:cstheme="minorHAnsi"/>
                <w:snapToGrid w:val="0"/>
                <w:sz w:val="24"/>
                <w:szCs w:val="24"/>
              </w:rPr>
              <w:t>Sociedades Mercantiles</w:t>
            </w:r>
          </w:p>
          <w:p w14:paraId="4F15E191" w14:textId="77777777" w:rsidR="005072F0" w:rsidRDefault="00693004" w:rsidP="00693004">
            <w:pPr>
              <w:numPr>
                <w:ilvl w:val="0"/>
                <w:numId w:val="15"/>
              </w:numPr>
              <w:spacing w:before="60"/>
              <w:ind w:left="454" w:right="57" w:hanging="227"/>
              <w:rPr>
                <w:rFonts w:asciiTheme="minorHAnsi" w:hAnsiTheme="minorHAnsi" w:cstheme="minorHAnsi"/>
                <w:snapToGrid w:val="0"/>
                <w:sz w:val="24"/>
                <w:szCs w:val="24"/>
              </w:rPr>
            </w:pPr>
            <w:r>
              <w:rPr>
                <w:rFonts w:asciiTheme="minorHAnsi" w:hAnsiTheme="minorHAnsi" w:cstheme="minorHAnsi"/>
                <w:snapToGrid w:val="0"/>
                <w:sz w:val="24"/>
                <w:szCs w:val="24"/>
              </w:rPr>
              <w:t>Enargi Araba SAU</w:t>
            </w:r>
          </w:p>
          <w:p w14:paraId="38B93231" w14:textId="77777777" w:rsidR="0051571A" w:rsidRDefault="0051571A" w:rsidP="0051571A">
            <w:pPr>
              <w:spacing w:before="60"/>
              <w:ind w:right="57"/>
              <w:rPr>
                <w:rFonts w:asciiTheme="minorHAnsi" w:hAnsiTheme="minorHAnsi" w:cstheme="minorHAnsi"/>
                <w:snapToGrid w:val="0"/>
                <w:sz w:val="24"/>
                <w:szCs w:val="24"/>
              </w:rPr>
            </w:pPr>
          </w:p>
          <w:p w14:paraId="3D1825C5" w14:textId="0CB46872" w:rsidR="0051571A" w:rsidRDefault="0051571A" w:rsidP="0051571A">
            <w:pPr>
              <w:spacing w:before="60"/>
              <w:ind w:right="57"/>
              <w:jc w:val="both"/>
              <w:rPr>
                <w:rFonts w:asciiTheme="minorHAnsi" w:hAnsiTheme="minorHAnsi" w:cstheme="minorHAnsi"/>
                <w:snapToGrid w:val="0"/>
                <w:sz w:val="24"/>
                <w:szCs w:val="24"/>
              </w:rPr>
            </w:pPr>
            <w:r>
              <w:rPr>
                <w:rFonts w:asciiTheme="minorHAnsi" w:hAnsiTheme="minorHAnsi" w:cstheme="minorHAnsi"/>
                <w:snapToGrid w:val="0"/>
                <w:sz w:val="24"/>
                <w:szCs w:val="24"/>
              </w:rPr>
              <w:t>Además, se encuentra pendiente de inclusión en el citado informe la siguiente entidad:</w:t>
            </w:r>
          </w:p>
          <w:p w14:paraId="4BE2172E" w14:textId="70C4EF91" w:rsidR="0051571A" w:rsidRPr="00B23FA6" w:rsidRDefault="0051571A" w:rsidP="0051571A">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Fundaci</w:t>
            </w:r>
            <w:r>
              <w:rPr>
                <w:rFonts w:asciiTheme="minorHAnsi" w:hAnsiTheme="minorHAnsi" w:cstheme="minorHAnsi"/>
                <w:snapToGrid w:val="0"/>
                <w:sz w:val="24"/>
                <w:szCs w:val="24"/>
              </w:rPr>
              <w:t>ón</w:t>
            </w:r>
          </w:p>
          <w:p w14:paraId="2CAF5D37" w14:textId="7392A763" w:rsidR="0051571A" w:rsidRPr="0051571A" w:rsidRDefault="0051571A" w:rsidP="0051571A">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Fundación </w:t>
            </w:r>
            <w:r w:rsidRPr="0051571A">
              <w:rPr>
                <w:rFonts w:asciiTheme="minorHAnsi" w:hAnsiTheme="minorHAnsi" w:cstheme="minorHAnsi"/>
                <w:snapToGrid w:val="0"/>
                <w:sz w:val="24"/>
                <w:szCs w:val="24"/>
              </w:rPr>
              <w:t>Vitoria-Gasteiz, Araba Mobility Lab</w:t>
            </w:r>
          </w:p>
        </w:tc>
      </w:tr>
    </w:tbl>
    <w:p w14:paraId="58B435A9" w14:textId="77777777" w:rsidR="00BB3AC5" w:rsidRPr="00B23FA6" w:rsidRDefault="00BB3AC5">
      <w:pPr>
        <w:rPr>
          <w:rFonts w:asciiTheme="minorHAnsi" w:hAnsiTheme="minorHAnsi" w:cstheme="minorHAnsi"/>
          <w:sz w:val="24"/>
          <w:szCs w:val="24"/>
        </w:rPr>
      </w:pPr>
    </w:p>
    <w:p w14:paraId="147B7189" w14:textId="77777777" w:rsidR="00BB3AC5" w:rsidRPr="00B23FA6" w:rsidRDefault="00BB3AC5">
      <w:pPr>
        <w:rPr>
          <w:rFonts w:asciiTheme="minorHAnsi" w:hAnsiTheme="minorHAnsi" w:cstheme="minorHAnsi"/>
          <w:sz w:val="24"/>
          <w:szCs w:val="24"/>
        </w:rPr>
      </w:pPr>
    </w:p>
    <w:tbl>
      <w:tblPr>
        <w:tblW w:w="0" w:type="auto"/>
        <w:tblLook w:val="01E0" w:firstRow="1" w:lastRow="1" w:firstColumn="1" w:lastColumn="1" w:noHBand="0" w:noVBand="0"/>
      </w:tblPr>
      <w:tblGrid>
        <w:gridCol w:w="4529"/>
        <w:gridCol w:w="4541"/>
      </w:tblGrid>
      <w:tr w:rsidR="00497298" w:rsidRPr="004E3513" w14:paraId="2BF8C252" w14:textId="77777777" w:rsidTr="005133A3">
        <w:tc>
          <w:tcPr>
            <w:tcW w:w="4605" w:type="dxa"/>
            <w:tcBorders>
              <w:right w:val="single" w:sz="4" w:space="0" w:color="808080"/>
            </w:tcBorders>
            <w:shd w:val="clear" w:color="auto" w:fill="auto"/>
          </w:tcPr>
          <w:p w14:paraId="5EBF3FC7" w14:textId="77777777" w:rsidR="00902460" w:rsidRPr="004E3513" w:rsidRDefault="008848FF"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lastRenderedPageBreak/>
              <w:t>ARABAKO FORU ALDUNDIAREN MENPEKOA DEN SOZIETATE EZ-FINANTZARIOEN SEKTOREAREN MUGAKETA</w:t>
            </w:r>
          </w:p>
          <w:p w14:paraId="0242CFFE" w14:textId="77777777" w:rsidR="006F19A5" w:rsidRDefault="006F19A5" w:rsidP="006F19A5">
            <w:pPr>
              <w:ind w:left="57" w:right="57"/>
              <w:jc w:val="both"/>
              <w:rPr>
                <w:rFonts w:asciiTheme="minorHAnsi" w:hAnsiTheme="minorHAnsi" w:cstheme="minorHAnsi"/>
                <w:snapToGrid w:val="0"/>
                <w:sz w:val="24"/>
                <w:szCs w:val="24"/>
              </w:rPr>
            </w:pPr>
          </w:p>
          <w:p w14:paraId="69FE992C" w14:textId="2461C84E" w:rsidR="00E1587A" w:rsidRDefault="00E1587A"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Izakien sektoriza</w:t>
            </w:r>
            <w:r w:rsidR="00902460" w:rsidRPr="004E3513">
              <w:rPr>
                <w:rFonts w:asciiTheme="minorHAnsi" w:hAnsiTheme="minorHAnsi" w:cstheme="minorHAnsi"/>
                <w:snapToGrid w:val="0"/>
                <w:sz w:val="24"/>
                <w:szCs w:val="24"/>
              </w:rPr>
              <w:t>z</w:t>
            </w:r>
            <w:r w:rsidRPr="004E3513">
              <w:rPr>
                <w:rFonts w:asciiTheme="minorHAnsi" w:hAnsiTheme="minorHAnsi" w:cstheme="minorHAnsi"/>
                <w:snapToGrid w:val="0"/>
                <w:sz w:val="24"/>
                <w:szCs w:val="24"/>
              </w:rPr>
              <w:t>ioa Kontseiluaren 1996ko ekainaren 25eko 2223/96 (CE) Arautegian dago definituta eta mugatuta.</w:t>
            </w:r>
          </w:p>
          <w:p w14:paraId="564E24C3" w14:textId="0EE5312C" w:rsidR="006F19A5" w:rsidRDefault="006F19A5" w:rsidP="006F19A5">
            <w:pPr>
              <w:ind w:left="57" w:right="57"/>
              <w:jc w:val="both"/>
              <w:rPr>
                <w:rFonts w:asciiTheme="minorHAnsi" w:hAnsiTheme="minorHAnsi" w:cstheme="minorHAnsi"/>
                <w:snapToGrid w:val="0"/>
                <w:sz w:val="24"/>
                <w:szCs w:val="24"/>
              </w:rPr>
            </w:pPr>
          </w:p>
          <w:p w14:paraId="099C20C8" w14:textId="77777777" w:rsidR="006F19A5" w:rsidRPr="004E3513" w:rsidRDefault="006F19A5" w:rsidP="006F19A5">
            <w:pPr>
              <w:ind w:left="57" w:right="57"/>
              <w:jc w:val="both"/>
              <w:rPr>
                <w:rFonts w:asciiTheme="minorHAnsi" w:hAnsiTheme="minorHAnsi" w:cstheme="minorHAnsi"/>
                <w:snapToGrid w:val="0"/>
                <w:sz w:val="24"/>
                <w:szCs w:val="24"/>
              </w:rPr>
            </w:pPr>
          </w:p>
          <w:p w14:paraId="67470BB1" w14:textId="45A24A2F" w:rsidR="00E1587A" w:rsidRDefault="00E1587A"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Estatu espainiarrean izakien sektorizazioa egiteko eta horiek zein erakunderen menpe dauden zehazteko eskumena, arestian adierazi den Arautegia betez, estatuko administrazioko Kontu Hartzailetza Orokorrarena (IGAE) da.</w:t>
            </w:r>
          </w:p>
          <w:p w14:paraId="7E04C962" w14:textId="18AEAC6A" w:rsidR="006F19A5" w:rsidRDefault="006F19A5" w:rsidP="006F19A5">
            <w:pPr>
              <w:ind w:left="57" w:right="57"/>
              <w:jc w:val="both"/>
              <w:rPr>
                <w:rFonts w:asciiTheme="minorHAnsi" w:hAnsiTheme="minorHAnsi" w:cstheme="minorHAnsi"/>
                <w:snapToGrid w:val="0"/>
                <w:sz w:val="24"/>
                <w:szCs w:val="24"/>
              </w:rPr>
            </w:pPr>
          </w:p>
          <w:p w14:paraId="00192312" w14:textId="5F6324BB" w:rsidR="006F19A5" w:rsidRDefault="006F19A5" w:rsidP="006F19A5">
            <w:pPr>
              <w:ind w:left="57" w:right="57"/>
              <w:jc w:val="both"/>
              <w:rPr>
                <w:rFonts w:asciiTheme="minorHAnsi" w:hAnsiTheme="minorHAnsi" w:cstheme="minorHAnsi"/>
                <w:snapToGrid w:val="0"/>
                <w:sz w:val="24"/>
                <w:szCs w:val="24"/>
              </w:rPr>
            </w:pPr>
          </w:p>
          <w:p w14:paraId="798506CD" w14:textId="77777777" w:rsidR="006F19A5" w:rsidRPr="004E3513" w:rsidRDefault="006F19A5" w:rsidP="006F19A5">
            <w:pPr>
              <w:ind w:left="57" w:right="57"/>
              <w:jc w:val="both"/>
              <w:rPr>
                <w:rFonts w:asciiTheme="minorHAnsi" w:hAnsiTheme="minorHAnsi" w:cstheme="minorHAnsi"/>
                <w:snapToGrid w:val="0"/>
                <w:sz w:val="24"/>
                <w:szCs w:val="24"/>
              </w:rPr>
            </w:pPr>
          </w:p>
          <w:p w14:paraId="2B9875EB" w14:textId="0BF93048" w:rsidR="00E1587A" w:rsidRPr="004E3513" w:rsidRDefault="00E1587A"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IGAErengandik aztergai dugun gai honi, 20</w:t>
            </w:r>
            <w:r w:rsidR="0051571A">
              <w:rPr>
                <w:rFonts w:asciiTheme="minorHAnsi" w:hAnsiTheme="minorHAnsi" w:cstheme="minorHAnsi"/>
                <w:snapToGrid w:val="0"/>
                <w:sz w:val="24"/>
                <w:szCs w:val="24"/>
              </w:rPr>
              <w:t>22</w:t>
            </w:r>
            <w:r w:rsidRPr="004E3513">
              <w:rPr>
                <w:rFonts w:asciiTheme="minorHAnsi" w:hAnsiTheme="minorHAnsi" w:cstheme="minorHAnsi"/>
                <w:snapToGrid w:val="0"/>
                <w:sz w:val="24"/>
                <w:szCs w:val="24"/>
              </w:rPr>
              <w:t xml:space="preserve"> urteari aplika dakiokeenari, dagokionez jaso dugun azken txostenean ezarri denaren ildotik Arabako Foru Aldundiaren menpeko administrazio publikoaren sektorearen barruan ondoko hauek daude:</w:t>
            </w:r>
          </w:p>
          <w:p w14:paraId="12F09270" w14:textId="77777777" w:rsidR="0094665C" w:rsidRPr="004E3513" w:rsidRDefault="0094665C" w:rsidP="00AD3A69">
            <w:pPr>
              <w:ind w:left="57" w:right="57"/>
              <w:jc w:val="both"/>
              <w:rPr>
                <w:rFonts w:asciiTheme="minorHAnsi" w:hAnsiTheme="minorHAnsi" w:cstheme="minorHAnsi"/>
                <w:snapToGrid w:val="0"/>
                <w:sz w:val="24"/>
                <w:szCs w:val="24"/>
              </w:rPr>
            </w:pPr>
          </w:p>
          <w:p w14:paraId="322E92E7" w14:textId="77777777" w:rsidR="0094665C" w:rsidRPr="004E3513" w:rsidRDefault="0094665C"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Merkataritzako sozietateak:</w:t>
            </w:r>
          </w:p>
          <w:p w14:paraId="3FC674F2" w14:textId="77777777" w:rsidR="0094665C" w:rsidRPr="004E3513" w:rsidRDefault="0094665C" w:rsidP="00AD3A69">
            <w:pPr>
              <w:numPr>
                <w:ilvl w:val="0"/>
                <w:numId w:val="16"/>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Arabat - Arabako Bideak </w:t>
            </w:r>
            <w:r w:rsidR="00B44DF2" w:rsidRPr="004E3513">
              <w:rPr>
                <w:rFonts w:asciiTheme="minorHAnsi" w:hAnsiTheme="minorHAnsi" w:cstheme="minorHAnsi"/>
                <w:snapToGrid w:val="0"/>
                <w:sz w:val="24"/>
                <w:szCs w:val="24"/>
              </w:rPr>
              <w:t xml:space="preserve"> SAU</w:t>
            </w:r>
          </w:p>
          <w:p w14:paraId="3B813744" w14:textId="77777777"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Aldundiaren parte artesa duten merkataritzako sozietateak:</w:t>
            </w:r>
          </w:p>
          <w:p w14:paraId="6731ECE4" w14:textId="77777777" w:rsidR="00B44DF2" w:rsidRPr="004E3513" w:rsidRDefault="00B44DF2" w:rsidP="00AD3A69">
            <w:pPr>
              <w:numPr>
                <w:ilvl w:val="0"/>
                <w:numId w:val="15"/>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Vitoria-Gasteizko Garraioko Zentroa SA (CTV) </w:t>
            </w:r>
            <w:r w:rsidR="00BB3AC5" w:rsidRPr="004E3513">
              <w:rPr>
                <w:rFonts w:asciiTheme="minorHAnsi" w:hAnsiTheme="minorHAnsi" w:cstheme="minorHAnsi"/>
                <w:snapToGrid w:val="0"/>
                <w:sz w:val="24"/>
                <w:szCs w:val="24"/>
              </w:rPr>
              <w:t>(Arabako Lanak SAUren menpekoa)</w:t>
            </w:r>
          </w:p>
          <w:p w14:paraId="0159C1B8" w14:textId="77777777" w:rsidR="00497298" w:rsidRPr="004E3513" w:rsidRDefault="00497298" w:rsidP="00AD3A69">
            <w:pPr>
              <w:ind w:left="57"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6B696FFB" w14:textId="77777777" w:rsidR="00497298" w:rsidRPr="004E3513" w:rsidRDefault="00497298" w:rsidP="00AD3A69">
            <w:pPr>
              <w:pStyle w:val="Ttulo1"/>
              <w:shd w:val="clear" w:color="auto" w:fill="D9D9D9"/>
              <w:spacing w:before="60" w:after="240"/>
              <w:ind w:left="57" w:right="57"/>
              <w:jc w:val="both"/>
              <w:rPr>
                <w:rFonts w:asciiTheme="minorHAnsi" w:hAnsiTheme="minorHAnsi" w:cstheme="minorHAnsi"/>
                <w:b/>
                <w:szCs w:val="24"/>
              </w:rPr>
            </w:pPr>
            <w:r w:rsidRPr="004E3513">
              <w:rPr>
                <w:rFonts w:asciiTheme="minorHAnsi" w:hAnsiTheme="minorHAnsi" w:cstheme="minorHAnsi"/>
                <w:b/>
                <w:szCs w:val="24"/>
              </w:rPr>
              <w:t xml:space="preserve">DELIMITACIÓN DEL SECTOR SOCIEDADES NO FINANCIERAS DEPENDIENTE DE LA DIPUTACIÓN FORAL DE ÁLAVA </w:t>
            </w:r>
          </w:p>
          <w:p w14:paraId="113B4543" w14:textId="77777777" w:rsidR="006F19A5" w:rsidRDefault="006F19A5" w:rsidP="006F19A5">
            <w:pPr>
              <w:ind w:left="57" w:right="57"/>
              <w:jc w:val="both"/>
              <w:rPr>
                <w:rFonts w:asciiTheme="minorHAnsi" w:hAnsiTheme="minorHAnsi" w:cstheme="minorHAnsi"/>
                <w:snapToGrid w:val="0"/>
                <w:sz w:val="24"/>
                <w:szCs w:val="24"/>
              </w:rPr>
            </w:pPr>
          </w:p>
          <w:p w14:paraId="46F9DC9B" w14:textId="29DCD4F6"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sectorización de las entidades se encuentra definida y limitada en el Reglamento (CE) 2223/96 del Consejo, de 25 de junio de 1996.</w:t>
            </w:r>
          </w:p>
          <w:p w14:paraId="17E2AEFF" w14:textId="6E602701" w:rsidR="006F19A5" w:rsidRDefault="006F19A5" w:rsidP="006F19A5">
            <w:pPr>
              <w:ind w:left="57" w:right="57"/>
              <w:jc w:val="both"/>
              <w:rPr>
                <w:rFonts w:asciiTheme="minorHAnsi" w:hAnsiTheme="minorHAnsi" w:cstheme="minorHAnsi"/>
                <w:snapToGrid w:val="0"/>
                <w:sz w:val="24"/>
                <w:szCs w:val="24"/>
              </w:rPr>
            </w:pPr>
          </w:p>
          <w:p w14:paraId="7A910564" w14:textId="1EF43ABD"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En el estado español, la competencia para realizar la sectorización de las entidades y</w:t>
            </w:r>
            <w:r w:rsidR="00340307" w:rsidRPr="004E3513">
              <w:rPr>
                <w:rFonts w:asciiTheme="minorHAnsi" w:hAnsiTheme="minorHAnsi" w:cstheme="minorHAnsi"/>
                <w:snapToGrid w:val="0"/>
                <w:sz w:val="24"/>
                <w:szCs w:val="24"/>
              </w:rPr>
              <w:t xml:space="preserve">  </w:t>
            </w:r>
            <w:r w:rsidRPr="004E3513">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1A7E16A4" w14:textId="72374AF8" w:rsidR="006F19A5" w:rsidRDefault="006F19A5" w:rsidP="006F19A5">
            <w:pPr>
              <w:ind w:left="57" w:right="57"/>
              <w:jc w:val="both"/>
              <w:rPr>
                <w:rFonts w:asciiTheme="minorHAnsi" w:hAnsiTheme="minorHAnsi" w:cstheme="minorHAnsi"/>
                <w:snapToGrid w:val="0"/>
                <w:sz w:val="24"/>
                <w:szCs w:val="24"/>
              </w:rPr>
            </w:pPr>
          </w:p>
          <w:p w14:paraId="4E44118A" w14:textId="77777777" w:rsidR="006F19A5" w:rsidRPr="004E3513" w:rsidRDefault="006F19A5" w:rsidP="006F19A5">
            <w:pPr>
              <w:ind w:left="57" w:right="57"/>
              <w:jc w:val="both"/>
              <w:rPr>
                <w:rFonts w:asciiTheme="minorHAnsi" w:hAnsiTheme="minorHAnsi" w:cstheme="minorHAnsi"/>
                <w:snapToGrid w:val="0"/>
                <w:sz w:val="24"/>
                <w:szCs w:val="24"/>
              </w:rPr>
            </w:pPr>
          </w:p>
          <w:p w14:paraId="2888BA6D" w14:textId="777D031F" w:rsidR="00497298" w:rsidRPr="004E3513"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Atendiendo a lo enunciado en el último informe recibido de la IGAE, aplicable al año 20</w:t>
            </w:r>
            <w:r w:rsidR="0051571A">
              <w:rPr>
                <w:rFonts w:asciiTheme="minorHAnsi" w:hAnsiTheme="minorHAnsi" w:cstheme="minorHAnsi"/>
                <w:snapToGrid w:val="0"/>
                <w:sz w:val="24"/>
                <w:szCs w:val="24"/>
              </w:rPr>
              <w:t>22</w:t>
            </w:r>
            <w:r w:rsidRPr="004E3513">
              <w:rPr>
                <w:rFonts w:asciiTheme="minorHAnsi" w:hAnsiTheme="minorHAnsi" w:cstheme="minorHAnsi"/>
                <w:snapToGrid w:val="0"/>
                <w:sz w:val="24"/>
                <w:szCs w:val="24"/>
              </w:rPr>
              <w:t xml:space="preserve">, en relación a esta materia, las entidades que conforman el Sector Sociedades no Financieras dependientes de la Diputación Foral de </w:t>
            </w:r>
            <w:r w:rsidR="00340307"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son las siguientes</w:t>
            </w:r>
            <w:r w:rsidR="00651081" w:rsidRPr="004E3513">
              <w:rPr>
                <w:rFonts w:asciiTheme="minorHAnsi" w:hAnsiTheme="minorHAnsi" w:cstheme="minorHAnsi"/>
                <w:snapToGrid w:val="0"/>
                <w:sz w:val="24"/>
                <w:szCs w:val="24"/>
              </w:rPr>
              <w:t>:</w:t>
            </w:r>
          </w:p>
          <w:p w14:paraId="2064AD0F" w14:textId="77777777" w:rsidR="0094665C" w:rsidRPr="004E3513" w:rsidRDefault="0094665C" w:rsidP="00AD3A69">
            <w:pPr>
              <w:ind w:left="57" w:right="57"/>
              <w:jc w:val="both"/>
              <w:rPr>
                <w:rFonts w:asciiTheme="minorHAnsi" w:hAnsiTheme="minorHAnsi" w:cstheme="minorHAnsi"/>
                <w:snapToGrid w:val="0"/>
                <w:sz w:val="24"/>
                <w:szCs w:val="24"/>
              </w:rPr>
            </w:pPr>
          </w:p>
          <w:p w14:paraId="514FDA89" w14:textId="77777777" w:rsidR="00902460" w:rsidRPr="004E3513" w:rsidRDefault="00902460"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 Sociedades Mercantiles </w:t>
            </w:r>
          </w:p>
          <w:p w14:paraId="7F7F9B8C" w14:textId="77777777" w:rsidR="00902460" w:rsidRPr="004E3513" w:rsidRDefault="00902460"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Vías de Álava S.A.U.</w:t>
            </w:r>
          </w:p>
          <w:p w14:paraId="5D7F4BA2" w14:textId="77777777"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Sociedades Mercantiles Participadas</w:t>
            </w:r>
          </w:p>
          <w:p w14:paraId="778576C4" w14:textId="77777777" w:rsidR="00B44DF2" w:rsidRPr="004E3513" w:rsidRDefault="00B44DF2"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Centro de Transportes de Vitoria S.A (CTV) (dependiente de </w:t>
            </w:r>
            <w:r w:rsidR="00601F9B"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Agencia de Desarrollo S.A.).</w:t>
            </w:r>
          </w:p>
          <w:p w14:paraId="562A3324" w14:textId="77777777" w:rsidR="00BB3AC5" w:rsidRPr="004E3513" w:rsidRDefault="00BB3AC5" w:rsidP="00AD3A69">
            <w:pPr>
              <w:ind w:left="57" w:right="57"/>
              <w:jc w:val="both"/>
              <w:rPr>
                <w:rFonts w:asciiTheme="minorHAnsi" w:hAnsiTheme="minorHAnsi" w:cstheme="minorHAnsi"/>
                <w:sz w:val="24"/>
                <w:szCs w:val="24"/>
              </w:rPr>
            </w:pPr>
          </w:p>
        </w:tc>
      </w:tr>
      <w:tr w:rsidR="00BB3AC5" w:rsidRPr="004E3513" w14:paraId="130AA776" w14:textId="77777777" w:rsidTr="005133A3">
        <w:tc>
          <w:tcPr>
            <w:tcW w:w="4605" w:type="dxa"/>
            <w:tcBorders>
              <w:right w:val="single" w:sz="4" w:space="0" w:color="808080"/>
            </w:tcBorders>
            <w:shd w:val="clear" w:color="auto" w:fill="auto"/>
          </w:tcPr>
          <w:p w14:paraId="0143A041" w14:textId="77777777" w:rsidR="00BB3AC5" w:rsidRPr="004E3513" w:rsidRDefault="00BB3AC5" w:rsidP="00BB3AC5">
            <w:pPr>
              <w:rPr>
                <w:rFonts w:asciiTheme="minorHAnsi" w:hAnsiTheme="minorHAnsi" w:cstheme="minorHAnsi"/>
                <w:sz w:val="24"/>
                <w:szCs w:val="24"/>
              </w:rPr>
            </w:pPr>
          </w:p>
        </w:tc>
        <w:tc>
          <w:tcPr>
            <w:tcW w:w="4605" w:type="dxa"/>
            <w:tcBorders>
              <w:left w:val="single" w:sz="4" w:space="0" w:color="808080"/>
            </w:tcBorders>
            <w:shd w:val="clear" w:color="auto" w:fill="auto"/>
          </w:tcPr>
          <w:p w14:paraId="1A6796A3" w14:textId="77777777" w:rsidR="00BB3AC5" w:rsidRPr="004E3513" w:rsidRDefault="00BB3AC5" w:rsidP="00BB3AC5">
            <w:pPr>
              <w:rPr>
                <w:rFonts w:asciiTheme="minorHAnsi" w:hAnsiTheme="minorHAnsi" w:cstheme="minorHAnsi"/>
                <w:sz w:val="24"/>
                <w:szCs w:val="24"/>
              </w:rPr>
            </w:pPr>
          </w:p>
        </w:tc>
      </w:tr>
      <w:tr w:rsidR="00BB3AC5" w:rsidRPr="004E3513" w14:paraId="4204F8D2" w14:textId="77777777" w:rsidTr="005133A3">
        <w:tc>
          <w:tcPr>
            <w:tcW w:w="4605" w:type="dxa"/>
            <w:tcBorders>
              <w:right w:val="single" w:sz="4" w:space="0" w:color="808080"/>
            </w:tcBorders>
            <w:shd w:val="clear" w:color="auto" w:fill="auto"/>
          </w:tcPr>
          <w:p w14:paraId="1AC71A58" w14:textId="77777777" w:rsidR="00BB3AC5" w:rsidRPr="004E3513" w:rsidRDefault="00BB3AC5" w:rsidP="00AD3A69">
            <w:pPr>
              <w:pStyle w:val="Ttulo1"/>
              <w:spacing w:before="60" w:after="60"/>
              <w:ind w:left="57" w:right="57"/>
              <w:jc w:val="both"/>
              <w:rPr>
                <w:rFonts w:asciiTheme="minorHAnsi" w:hAnsiTheme="minorHAnsi" w:cstheme="minorHAnsi"/>
                <w:b/>
                <w:szCs w:val="24"/>
              </w:rPr>
            </w:pPr>
          </w:p>
          <w:p w14:paraId="634A7433" w14:textId="77777777" w:rsidR="00BB3AC5" w:rsidRPr="004E3513" w:rsidRDefault="00BB3AC5"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t>GASTU ARAUA</w:t>
            </w:r>
          </w:p>
          <w:p w14:paraId="3A58C300" w14:textId="77777777" w:rsidR="00BB3AC5" w:rsidRPr="004E3513" w:rsidRDefault="00BB3AC5" w:rsidP="00AD3A69">
            <w:pPr>
              <w:ind w:left="57" w:right="57"/>
              <w:jc w:val="both"/>
              <w:rPr>
                <w:rFonts w:asciiTheme="minorHAnsi" w:hAnsiTheme="minorHAnsi" w:cstheme="minorHAnsi"/>
                <w:snapToGrid w:val="0"/>
                <w:sz w:val="24"/>
                <w:szCs w:val="24"/>
                <w:u w:val="single"/>
              </w:rPr>
            </w:pPr>
          </w:p>
          <w:p w14:paraId="7A3D9988" w14:textId="77777777" w:rsidR="00BB3AC5" w:rsidRPr="004E3513" w:rsidRDefault="00BB3AC5" w:rsidP="00AD3A69">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Gastu Araua AEIFLOko 12. artikuluan ezarri da; artikulu berean ezarri dira arauaren aplikagarritasuna eta nola eskatu behar den. </w:t>
            </w:r>
            <w:r w:rsidRPr="004E3513">
              <w:rPr>
                <w:rFonts w:asciiTheme="minorHAnsi" w:hAnsiTheme="minorHAnsi" w:cstheme="minorHAnsi"/>
                <w:snapToGrid w:val="0"/>
                <w:sz w:val="24"/>
                <w:szCs w:val="24"/>
              </w:rPr>
              <w:cr/>
            </w:r>
          </w:p>
          <w:p w14:paraId="19B3C991" w14:textId="286E7F22" w:rsidR="00C64EB1" w:rsidRDefault="003A2F17" w:rsidP="00C64EB1">
            <w:pPr>
              <w:spacing w:after="120"/>
              <w:ind w:left="57" w:right="57"/>
              <w:jc w:val="both"/>
              <w:rPr>
                <w:rFonts w:asciiTheme="minorHAnsi" w:hAnsiTheme="minorHAnsi" w:cstheme="minorHAnsi"/>
                <w:snapToGrid w:val="0"/>
                <w:sz w:val="24"/>
                <w:szCs w:val="24"/>
              </w:rPr>
            </w:pPr>
            <w:r w:rsidRPr="003A2F17">
              <w:rPr>
                <w:rFonts w:asciiTheme="minorHAnsi" w:hAnsiTheme="minorHAnsi" w:cstheme="minorHAnsi"/>
                <w:snapToGrid w:val="0"/>
                <w:sz w:val="24"/>
                <w:szCs w:val="24"/>
              </w:rPr>
              <w:t>Hala ere, ezin da ebaluatu Foru Sektore Publikoaren betetze-maila, 2020ko urriaren 6ko Ministro Kontseiluaren akordioaren bidez 2020rako eta 2021erako zerga-arauak izugarri eteten direlako. Etete hori 2022ko ekitaldirako berretsi zuen Diputatuen Kongresuak, 2021eko irailaren 13an, pandemiak eragindako krisia hasi zenetik Europako agintariek emandako gomendioaren ildotik.</w:t>
            </w:r>
            <w:r w:rsidR="00C64EB1" w:rsidRPr="00C64EB1">
              <w:rPr>
                <w:rFonts w:asciiTheme="minorHAnsi" w:hAnsiTheme="minorHAnsi" w:cstheme="minorHAnsi"/>
                <w:snapToGrid w:val="0"/>
                <w:sz w:val="24"/>
                <w:szCs w:val="24"/>
              </w:rPr>
              <w:t>.</w:t>
            </w:r>
          </w:p>
          <w:p w14:paraId="28380200" w14:textId="21488776" w:rsidR="005B7E91" w:rsidRPr="004E3513" w:rsidRDefault="00C64EB1" w:rsidP="00C64EB1">
            <w:pPr>
              <w:spacing w:before="480" w:after="120"/>
              <w:ind w:left="57"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Bidaltzen den informazioa informatiboa baino ez da.</w:t>
            </w:r>
          </w:p>
        </w:tc>
        <w:tc>
          <w:tcPr>
            <w:tcW w:w="4605" w:type="dxa"/>
            <w:tcBorders>
              <w:left w:val="single" w:sz="4" w:space="0" w:color="808080"/>
            </w:tcBorders>
            <w:shd w:val="clear" w:color="auto" w:fill="auto"/>
          </w:tcPr>
          <w:p w14:paraId="07B17CC4" w14:textId="77777777" w:rsidR="00BB3AC5" w:rsidRPr="004E3513" w:rsidRDefault="00BB3AC5" w:rsidP="00AD3A69">
            <w:pPr>
              <w:spacing w:before="60" w:after="60"/>
              <w:ind w:left="57" w:right="57"/>
              <w:jc w:val="both"/>
              <w:rPr>
                <w:rFonts w:asciiTheme="minorHAnsi" w:hAnsiTheme="minorHAnsi" w:cstheme="minorHAnsi"/>
                <w:sz w:val="24"/>
                <w:szCs w:val="24"/>
              </w:rPr>
            </w:pPr>
          </w:p>
          <w:p w14:paraId="3F0C189C" w14:textId="77777777" w:rsidR="00BB3AC5" w:rsidRPr="004E3513" w:rsidRDefault="00BB3AC5"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t>REGLA DE GASTO</w:t>
            </w:r>
          </w:p>
          <w:p w14:paraId="4E18F55C" w14:textId="77777777" w:rsidR="00BB3AC5" w:rsidRPr="004E3513" w:rsidRDefault="00BB3AC5" w:rsidP="00AD3A69">
            <w:pPr>
              <w:ind w:left="57" w:right="57"/>
              <w:jc w:val="both"/>
              <w:rPr>
                <w:rFonts w:asciiTheme="minorHAnsi" w:hAnsiTheme="minorHAnsi" w:cstheme="minorHAnsi"/>
                <w:snapToGrid w:val="0"/>
                <w:sz w:val="24"/>
                <w:szCs w:val="24"/>
              </w:rPr>
            </w:pPr>
          </w:p>
          <w:p w14:paraId="2E899859" w14:textId="77777777" w:rsidR="00BB3AC5" w:rsidRPr="004E3513" w:rsidRDefault="00BB3AC5" w:rsidP="00AD3A69">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LOEPSF establece, en su artículo 12, la definición de la Regla de Gasto, así como su aplicabilidad y exigibilidad.</w:t>
            </w:r>
          </w:p>
          <w:p w14:paraId="2F2CE63F" w14:textId="024EC2FC" w:rsidR="0051571A" w:rsidRPr="00C64EB1" w:rsidRDefault="0051571A" w:rsidP="004E3513">
            <w:pPr>
              <w:spacing w:before="480" w:after="120"/>
              <w:ind w:left="57" w:right="57"/>
              <w:jc w:val="both"/>
              <w:rPr>
                <w:rFonts w:asciiTheme="minorHAnsi" w:hAnsiTheme="minorHAnsi" w:cstheme="minorHAnsi"/>
                <w:snapToGrid w:val="0"/>
                <w:sz w:val="24"/>
                <w:szCs w:val="24"/>
              </w:rPr>
            </w:pPr>
            <w:r w:rsidRPr="0051571A">
              <w:rPr>
                <w:rFonts w:asciiTheme="minorHAnsi" w:hAnsiTheme="minorHAnsi" w:cstheme="minorHAnsi"/>
                <w:snapToGrid w:val="0"/>
                <w:sz w:val="24"/>
                <w:szCs w:val="24"/>
              </w:rPr>
              <w:t xml:space="preserve">No obstante, </w:t>
            </w:r>
            <w:r>
              <w:rPr>
                <w:rFonts w:asciiTheme="minorHAnsi" w:hAnsiTheme="minorHAnsi" w:cstheme="minorHAnsi"/>
                <w:snapToGrid w:val="0"/>
                <w:sz w:val="24"/>
                <w:szCs w:val="24"/>
              </w:rPr>
              <w:t>no se puede evaluar el cumplimiento del Sector Público Foral</w:t>
            </w:r>
            <w:r w:rsidRPr="0051571A">
              <w:rPr>
                <w:rFonts w:asciiTheme="minorHAnsi" w:hAnsiTheme="minorHAnsi" w:cstheme="minorHAnsi"/>
                <w:snapToGrid w:val="0"/>
                <w:sz w:val="24"/>
                <w:szCs w:val="24"/>
              </w:rPr>
              <w:t>, al suspenderse extraordinariamente, las reglas fiscales para los años 2020 y 2021 mediante acuerdo de Consejo de Ministros de 6 de octubre de 2020, y que fue ratificada dicha suspensión para el ejercicio 2022, el 13 de septiembre de 2021 por el Congreso de los Diputados, en línea con la recomendación de las autoridades europeas desde el inicio de la crisis provocada por la pandemia.</w:t>
            </w:r>
          </w:p>
          <w:p w14:paraId="2165EB46" w14:textId="77777777" w:rsidR="004E3513" w:rsidRPr="00C64EB1" w:rsidRDefault="004E3513" w:rsidP="004E3513">
            <w:pPr>
              <w:spacing w:before="480" w:after="120"/>
              <w:ind w:left="57"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La información que se remite es meramente informativa.</w:t>
            </w:r>
          </w:p>
          <w:p w14:paraId="5D6D37DD" w14:textId="26648E74" w:rsidR="00BB3AC5" w:rsidRPr="004E3513" w:rsidRDefault="00BB3AC5" w:rsidP="00AD3A69">
            <w:pPr>
              <w:ind w:left="57" w:right="57"/>
              <w:jc w:val="both"/>
              <w:rPr>
                <w:rFonts w:asciiTheme="minorHAnsi" w:hAnsiTheme="minorHAnsi" w:cstheme="minorHAnsi"/>
                <w:sz w:val="24"/>
                <w:szCs w:val="24"/>
              </w:rPr>
            </w:pPr>
          </w:p>
        </w:tc>
      </w:tr>
      <w:tr w:rsidR="005B7E91" w:rsidRPr="004E3513" w14:paraId="5C3ECAA2" w14:textId="77777777" w:rsidTr="005133A3">
        <w:tc>
          <w:tcPr>
            <w:tcW w:w="4605" w:type="dxa"/>
            <w:tcBorders>
              <w:right w:val="single" w:sz="4" w:space="0" w:color="808080"/>
            </w:tcBorders>
            <w:shd w:val="clear" w:color="auto" w:fill="auto"/>
          </w:tcPr>
          <w:p w14:paraId="53CA5A78" w14:textId="1BC0837E" w:rsidR="00D77730" w:rsidRPr="004E3513" w:rsidRDefault="00D77730" w:rsidP="005A3C8E">
            <w:pPr>
              <w:spacing w:before="120" w:after="120"/>
              <w:ind w:left="57"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14FD80B1" w14:textId="414FAEAE" w:rsidR="005B7E91" w:rsidRPr="004E3513" w:rsidRDefault="005B7E91" w:rsidP="005A3C8E">
            <w:pPr>
              <w:spacing w:before="120" w:after="120"/>
              <w:ind w:left="57" w:right="57"/>
              <w:jc w:val="both"/>
              <w:rPr>
                <w:rFonts w:asciiTheme="minorHAnsi" w:hAnsiTheme="minorHAnsi" w:cstheme="minorHAnsi"/>
                <w:sz w:val="24"/>
                <w:szCs w:val="24"/>
              </w:rPr>
            </w:pPr>
          </w:p>
        </w:tc>
      </w:tr>
      <w:tr w:rsidR="005B7E91" w:rsidRPr="004E3513" w14:paraId="7DA1D241" w14:textId="77777777" w:rsidTr="005133A3">
        <w:tc>
          <w:tcPr>
            <w:tcW w:w="4605" w:type="dxa"/>
            <w:tcBorders>
              <w:right w:val="single" w:sz="4" w:space="0" w:color="808080"/>
            </w:tcBorders>
            <w:shd w:val="clear" w:color="auto" w:fill="auto"/>
          </w:tcPr>
          <w:p w14:paraId="6FF09BDD" w14:textId="43814859" w:rsidR="005B7E91" w:rsidRPr="004E3513" w:rsidRDefault="005B7E91" w:rsidP="008D6734">
            <w:pPr>
              <w:spacing w:before="120" w:after="120"/>
              <w:ind w:left="57"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7C986684" w14:textId="51C1546D" w:rsidR="005B7E91" w:rsidRPr="004E3513" w:rsidRDefault="005B7E91" w:rsidP="008D6734">
            <w:pPr>
              <w:spacing w:before="120" w:after="120"/>
              <w:ind w:left="57" w:right="57"/>
              <w:jc w:val="both"/>
              <w:rPr>
                <w:rFonts w:asciiTheme="minorHAnsi" w:hAnsiTheme="minorHAnsi" w:cstheme="minorHAnsi"/>
                <w:sz w:val="24"/>
                <w:szCs w:val="24"/>
              </w:rPr>
            </w:pPr>
          </w:p>
        </w:tc>
      </w:tr>
      <w:tr w:rsidR="005B7E91" w:rsidRPr="004E3513" w14:paraId="5F66A999" w14:textId="77777777" w:rsidTr="005133A3">
        <w:tc>
          <w:tcPr>
            <w:tcW w:w="4605" w:type="dxa"/>
            <w:shd w:val="clear" w:color="auto" w:fill="auto"/>
          </w:tcPr>
          <w:p w14:paraId="440C1501" w14:textId="77777777" w:rsidR="005B7E91" w:rsidRPr="004E3513" w:rsidRDefault="005B7E91" w:rsidP="005133A3">
            <w:pPr>
              <w:spacing w:before="120" w:after="120"/>
              <w:ind w:right="57"/>
              <w:rPr>
                <w:rFonts w:asciiTheme="minorHAnsi" w:hAnsiTheme="minorHAnsi" w:cstheme="minorHAnsi"/>
                <w:sz w:val="24"/>
                <w:szCs w:val="24"/>
              </w:rPr>
            </w:pPr>
          </w:p>
        </w:tc>
        <w:tc>
          <w:tcPr>
            <w:tcW w:w="4605" w:type="dxa"/>
            <w:shd w:val="clear" w:color="auto" w:fill="auto"/>
          </w:tcPr>
          <w:p w14:paraId="1E8E97EA" w14:textId="77777777" w:rsidR="005B7E91" w:rsidRPr="004E3513" w:rsidRDefault="005B7E91" w:rsidP="005133A3">
            <w:pPr>
              <w:spacing w:before="120" w:after="120"/>
              <w:ind w:left="57"/>
              <w:rPr>
                <w:rFonts w:asciiTheme="minorHAnsi" w:hAnsiTheme="minorHAnsi" w:cstheme="minorHAnsi"/>
                <w:sz w:val="24"/>
                <w:szCs w:val="24"/>
              </w:rPr>
            </w:pPr>
          </w:p>
        </w:tc>
      </w:tr>
    </w:tbl>
    <w:p w14:paraId="00853844" w14:textId="77777777" w:rsidR="00DC7F5E" w:rsidRPr="004E3513" w:rsidRDefault="00DC7F5E">
      <w:pPr>
        <w:rPr>
          <w:rFonts w:asciiTheme="minorHAnsi" w:hAnsiTheme="minorHAnsi" w:cstheme="minorHAnsi"/>
          <w:sz w:val="24"/>
          <w:szCs w:val="24"/>
        </w:rPr>
        <w:sectPr w:rsidR="00DC7F5E" w:rsidRPr="004E3513" w:rsidSect="002C4DDC">
          <w:headerReference w:type="default" r:id="rId8"/>
          <w:headerReference w:type="first" r:id="rId9"/>
          <w:type w:val="continuous"/>
          <w:pgSz w:w="11906" w:h="16838" w:code="9"/>
          <w:pgMar w:top="1418" w:right="1418" w:bottom="1418" w:left="1418" w:header="720" w:footer="720" w:gutter="0"/>
          <w:cols w:space="720"/>
          <w:titlePg/>
        </w:sectPr>
      </w:pPr>
    </w:p>
    <w:p w14:paraId="60398465" w14:textId="26146C61" w:rsidR="00F32A65" w:rsidRDefault="00F32A65"/>
    <w:p w14:paraId="19990540" w14:textId="2298A7AB" w:rsidR="00F32A65" w:rsidRPr="00AF7435" w:rsidRDefault="00F32A65" w:rsidP="00F32A65">
      <w:pPr>
        <w:shd w:val="clear" w:color="auto" w:fill="D9D9D9"/>
        <w:rPr>
          <w:rFonts w:ascii="Arial" w:hAnsi="Arial" w:cs="Arial"/>
          <w:b/>
          <w:sz w:val="20"/>
        </w:rPr>
      </w:pPr>
      <w:r>
        <w:rPr>
          <w:rFonts w:ascii="Arial" w:hAnsi="Arial" w:cs="Arial"/>
          <w:b/>
          <w:sz w:val="20"/>
        </w:rPr>
        <w:t>ARABAKO FORU ALDUNDIAREN</w:t>
      </w:r>
      <w:r w:rsidRPr="00DC7F5E">
        <w:rPr>
          <w:rFonts w:ascii="Arial" w:hAnsi="Arial" w:cs="Arial"/>
          <w:b/>
          <w:sz w:val="20"/>
        </w:rPr>
        <w:t xml:space="preserve"> gastu arauaren kalkulua 20</w:t>
      </w:r>
      <w:r w:rsidR="004E3513">
        <w:rPr>
          <w:rFonts w:ascii="Arial" w:hAnsi="Arial" w:cs="Arial"/>
          <w:b/>
          <w:sz w:val="20"/>
        </w:rPr>
        <w:t>2</w:t>
      </w:r>
      <w:r w:rsidR="003A2F17">
        <w:rPr>
          <w:rFonts w:ascii="Arial" w:hAnsi="Arial" w:cs="Arial"/>
          <w:b/>
          <w:sz w:val="20"/>
        </w:rPr>
        <w:t>2</w:t>
      </w:r>
      <w:r w:rsidR="004E3513">
        <w:rPr>
          <w:rFonts w:ascii="Arial" w:hAnsi="Arial" w:cs="Arial"/>
          <w:b/>
          <w:sz w:val="20"/>
        </w:rPr>
        <w:t>e</w:t>
      </w:r>
      <w:r w:rsidRPr="00DC7F5E">
        <w:rPr>
          <w:rFonts w:ascii="Arial" w:hAnsi="Arial" w:cs="Arial"/>
          <w:b/>
          <w:sz w:val="20"/>
        </w:rPr>
        <w:t>rako</w:t>
      </w:r>
      <w:r w:rsidRPr="00AF7435">
        <w:rPr>
          <w:rFonts w:ascii="Arial" w:hAnsi="Arial" w:cs="Arial"/>
          <w:b/>
          <w:sz w:val="20"/>
        </w:rPr>
        <w:t xml:space="preserve"> / </w:t>
      </w:r>
    </w:p>
    <w:p w14:paraId="1E6B2F49" w14:textId="2233FAF7"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DIPUTACIÓN FORAL DE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4E3513">
        <w:rPr>
          <w:rFonts w:ascii="Arial" w:hAnsi="Arial" w:cs="Arial"/>
          <w:b/>
          <w:sz w:val="20"/>
        </w:rPr>
        <w:t>2</w:t>
      </w:r>
      <w:r w:rsidR="003A2F17">
        <w:rPr>
          <w:rFonts w:ascii="Arial" w:hAnsi="Arial" w:cs="Arial"/>
          <w:b/>
          <w:sz w:val="20"/>
        </w:rPr>
        <w:t>2</w:t>
      </w:r>
    </w:p>
    <w:p w14:paraId="1101BE7E" w14:textId="77777777" w:rsidR="00F32A65" w:rsidRDefault="00F32A65"/>
    <w:p w14:paraId="0AF59961" w14:textId="0696F2EF" w:rsidR="00F32A65" w:rsidRDefault="003A2F17" w:rsidP="00231F31">
      <w:pPr>
        <w:jc w:val="center"/>
      </w:pPr>
      <w:r w:rsidRPr="003A2F17">
        <w:rPr>
          <w:noProof/>
        </w:rPr>
        <w:drawing>
          <wp:inline distT="0" distB="0" distL="0" distR="0" wp14:anchorId="24C2706B" wp14:editId="19FF2C9B">
            <wp:extent cx="5759450" cy="576707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767070"/>
                    </a:xfrm>
                    <a:prstGeom prst="rect">
                      <a:avLst/>
                    </a:prstGeom>
                    <a:noFill/>
                    <a:ln>
                      <a:noFill/>
                    </a:ln>
                  </pic:spPr>
                </pic:pic>
              </a:graphicData>
            </a:graphic>
          </wp:inline>
        </w:drawing>
      </w:r>
    </w:p>
    <w:p w14:paraId="0B09DB29" w14:textId="77777777" w:rsidR="00F32A65" w:rsidRDefault="00F32A65">
      <w:r>
        <w:br w:type="page"/>
      </w:r>
    </w:p>
    <w:p w14:paraId="14295ADC" w14:textId="77777777" w:rsidR="00F32A65" w:rsidRDefault="00F32A65"/>
    <w:p w14:paraId="118F6EC9" w14:textId="5E749922" w:rsidR="00F32A65" w:rsidRPr="00AF7435" w:rsidRDefault="00F32A65" w:rsidP="00F32A65">
      <w:pPr>
        <w:shd w:val="clear" w:color="auto" w:fill="D9D9D9"/>
        <w:rPr>
          <w:rFonts w:ascii="Arial" w:hAnsi="Arial" w:cs="Arial"/>
          <w:b/>
          <w:sz w:val="20"/>
        </w:rPr>
      </w:pPr>
      <w:r>
        <w:rPr>
          <w:rFonts w:ascii="Arial" w:hAnsi="Arial" w:cs="Arial"/>
          <w:b/>
          <w:sz w:val="20"/>
        </w:rPr>
        <w:t>ERAKUNDE AUTONOMOEN</w:t>
      </w:r>
      <w:r w:rsidRPr="00DC7F5E">
        <w:rPr>
          <w:rFonts w:ascii="Arial" w:hAnsi="Arial" w:cs="Arial"/>
          <w:b/>
          <w:sz w:val="20"/>
        </w:rPr>
        <w:t xml:space="preserve"> gastu arauaren kalkulua 20</w:t>
      </w:r>
      <w:r w:rsidR="001A0F3A">
        <w:rPr>
          <w:rFonts w:ascii="Arial" w:hAnsi="Arial" w:cs="Arial"/>
          <w:b/>
          <w:sz w:val="20"/>
        </w:rPr>
        <w:t>2</w:t>
      </w:r>
      <w:r w:rsidR="003A2F17">
        <w:rPr>
          <w:rFonts w:ascii="Arial" w:hAnsi="Arial" w:cs="Arial"/>
          <w:b/>
          <w:sz w:val="20"/>
        </w:rPr>
        <w:t>2</w:t>
      </w:r>
      <w:r w:rsidRPr="00DC7F5E">
        <w:rPr>
          <w:rFonts w:ascii="Arial" w:hAnsi="Arial" w:cs="Arial"/>
          <w:b/>
          <w:sz w:val="20"/>
        </w:rPr>
        <w:t>rako</w:t>
      </w:r>
      <w:r w:rsidRPr="00AF7435">
        <w:rPr>
          <w:rFonts w:ascii="Arial" w:hAnsi="Arial" w:cs="Arial"/>
          <w:b/>
          <w:sz w:val="20"/>
        </w:rPr>
        <w:t xml:space="preserve"> / </w:t>
      </w:r>
    </w:p>
    <w:p w14:paraId="4699C5B9" w14:textId="030E518F"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los ORGANISMOS AUTÓNOMOS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3A2F17">
        <w:rPr>
          <w:rFonts w:ascii="Arial" w:hAnsi="Arial" w:cs="Arial"/>
          <w:b/>
          <w:sz w:val="20"/>
        </w:rPr>
        <w:t>2</w:t>
      </w:r>
    </w:p>
    <w:p w14:paraId="14432699" w14:textId="77777777" w:rsidR="00F32A65" w:rsidRDefault="00F32A65"/>
    <w:p w14:paraId="6F2C6DA2" w14:textId="26FE6A04" w:rsidR="0040005A" w:rsidRPr="003156ED" w:rsidRDefault="003156ED">
      <w:pPr>
        <w:rPr>
          <w:rFonts w:ascii="Arial" w:hAnsi="Arial" w:cs="Arial"/>
          <w:sz w:val="20"/>
        </w:rPr>
      </w:pPr>
      <w:r w:rsidRPr="003156ED">
        <w:rPr>
          <w:rFonts w:ascii="Arial" w:hAnsi="Arial" w:cs="Arial"/>
          <w:sz w:val="20"/>
        </w:rPr>
        <w:t>Gizarte Ongizaterako Foru Erakundea, Gazteriaren Foru Erakundea eta Arabako Foru Suhiltzaileak/</w:t>
      </w:r>
    </w:p>
    <w:p w14:paraId="0935DAEC" w14:textId="4CF13D3D" w:rsidR="003156ED" w:rsidRPr="003156ED" w:rsidRDefault="003156ED">
      <w:pPr>
        <w:rPr>
          <w:rFonts w:ascii="Arial" w:hAnsi="Arial" w:cs="Arial"/>
          <w:sz w:val="20"/>
        </w:rPr>
      </w:pPr>
      <w:r w:rsidRPr="003156ED">
        <w:rPr>
          <w:rFonts w:ascii="Arial" w:hAnsi="Arial" w:cs="Arial"/>
          <w:sz w:val="20"/>
        </w:rPr>
        <w:t>Instituto Foral de Bienestar Social, Instituto Foral de la Juventud, Bomberos Forales de Álava</w:t>
      </w:r>
    </w:p>
    <w:p w14:paraId="1676C695" w14:textId="5B563168" w:rsidR="00F32A65" w:rsidRDefault="00F32A65">
      <w:pPr>
        <w:rPr>
          <w:noProof/>
        </w:rPr>
      </w:pPr>
    </w:p>
    <w:p w14:paraId="14B2441E" w14:textId="429C9946" w:rsidR="003156ED" w:rsidRDefault="003156ED">
      <w:r w:rsidRPr="003156ED">
        <w:rPr>
          <w:noProof/>
        </w:rPr>
        <w:drawing>
          <wp:inline distT="0" distB="0" distL="0" distR="0" wp14:anchorId="066CAD34" wp14:editId="7DDB4F2C">
            <wp:extent cx="5759450" cy="502793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027930"/>
                    </a:xfrm>
                    <a:prstGeom prst="rect">
                      <a:avLst/>
                    </a:prstGeom>
                    <a:noFill/>
                    <a:ln>
                      <a:noFill/>
                    </a:ln>
                  </pic:spPr>
                </pic:pic>
              </a:graphicData>
            </a:graphic>
          </wp:inline>
        </w:drawing>
      </w:r>
    </w:p>
    <w:p w14:paraId="65ACF6CD" w14:textId="77777777" w:rsidR="00F32A65" w:rsidRDefault="00F32A65"/>
    <w:p w14:paraId="37850AE9" w14:textId="77777777" w:rsidR="00F32A65" w:rsidRDefault="00F32A65">
      <w:r>
        <w:br w:type="page"/>
      </w:r>
    </w:p>
    <w:p w14:paraId="060070D4" w14:textId="3597D680" w:rsidR="009D70BB" w:rsidRDefault="00F32A65" w:rsidP="00F32A65">
      <w:pPr>
        <w:shd w:val="clear" w:color="auto" w:fill="D9D9D9"/>
        <w:rPr>
          <w:rFonts w:ascii="Arial" w:hAnsi="Arial" w:cs="Arial"/>
          <w:b/>
          <w:sz w:val="20"/>
        </w:rPr>
      </w:pPr>
      <w:r>
        <w:rPr>
          <w:rFonts w:ascii="Arial" w:hAnsi="Arial" w:cs="Arial"/>
          <w:b/>
          <w:sz w:val="20"/>
        </w:rPr>
        <w:lastRenderedPageBreak/>
        <w:t>FORU SOZIETATE PUBLIKOEN</w:t>
      </w:r>
      <w:r w:rsidRPr="00DC7F5E">
        <w:rPr>
          <w:rFonts w:ascii="Arial" w:hAnsi="Arial" w:cs="Arial"/>
          <w:b/>
          <w:sz w:val="20"/>
        </w:rPr>
        <w:t xml:space="preserve"> gastu arauaren kalkulua 20</w:t>
      </w:r>
      <w:r w:rsidR="001A0F3A">
        <w:rPr>
          <w:rFonts w:ascii="Arial" w:hAnsi="Arial" w:cs="Arial"/>
          <w:b/>
          <w:sz w:val="20"/>
        </w:rPr>
        <w:t>2</w:t>
      </w:r>
      <w:r w:rsidR="003156ED">
        <w:rPr>
          <w:rFonts w:ascii="Arial" w:hAnsi="Arial" w:cs="Arial"/>
          <w:b/>
          <w:sz w:val="20"/>
        </w:rPr>
        <w:t>2</w:t>
      </w:r>
      <w:r w:rsidRPr="00DC7F5E">
        <w:rPr>
          <w:rFonts w:ascii="Arial" w:hAnsi="Arial" w:cs="Arial"/>
          <w:b/>
          <w:sz w:val="20"/>
        </w:rPr>
        <w:t>rako</w:t>
      </w:r>
      <w:r w:rsidRPr="00AF7435">
        <w:rPr>
          <w:rFonts w:ascii="Arial" w:hAnsi="Arial" w:cs="Arial"/>
          <w:b/>
          <w:sz w:val="20"/>
        </w:rPr>
        <w:t xml:space="preserve"> / </w:t>
      </w:r>
    </w:p>
    <w:p w14:paraId="59F522DF" w14:textId="0F247DA4"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SOCIEDADES PÚBLICAS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3156ED">
        <w:rPr>
          <w:rFonts w:ascii="Arial" w:hAnsi="Arial" w:cs="Arial"/>
          <w:b/>
          <w:sz w:val="20"/>
        </w:rPr>
        <w:t>2</w:t>
      </w:r>
    </w:p>
    <w:p w14:paraId="2C47A525" w14:textId="77777777" w:rsidR="00F32A65" w:rsidRDefault="00F32A65"/>
    <w:p w14:paraId="53975801" w14:textId="05D539F1" w:rsidR="00F32A65" w:rsidRDefault="008C6E78" w:rsidP="001A0F3A">
      <w:pPr>
        <w:jc w:val="center"/>
      </w:pPr>
      <w:r w:rsidRPr="008C6E78">
        <w:rPr>
          <w:noProof/>
        </w:rPr>
        <w:drawing>
          <wp:inline distT="0" distB="0" distL="0" distR="0" wp14:anchorId="64F4499A" wp14:editId="4839310B">
            <wp:extent cx="5759450" cy="6449060"/>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449060"/>
                    </a:xfrm>
                    <a:prstGeom prst="rect">
                      <a:avLst/>
                    </a:prstGeom>
                    <a:noFill/>
                    <a:ln>
                      <a:noFill/>
                    </a:ln>
                  </pic:spPr>
                </pic:pic>
              </a:graphicData>
            </a:graphic>
          </wp:inline>
        </w:drawing>
      </w:r>
    </w:p>
    <w:p w14:paraId="6265F6E3" w14:textId="77777777" w:rsidR="001C1658" w:rsidRDefault="001C1658">
      <w:r>
        <w:br w:type="page"/>
      </w:r>
    </w:p>
    <w:p w14:paraId="7CBD5FAB" w14:textId="0325F635" w:rsidR="009D70BB" w:rsidRDefault="001C1658" w:rsidP="001C1658">
      <w:pPr>
        <w:shd w:val="clear" w:color="auto" w:fill="D9D9D9"/>
        <w:rPr>
          <w:rFonts w:ascii="Arial" w:hAnsi="Arial" w:cs="Arial"/>
          <w:b/>
          <w:szCs w:val="22"/>
        </w:rPr>
      </w:pPr>
      <w:r>
        <w:rPr>
          <w:rFonts w:ascii="Arial" w:hAnsi="Arial" w:cs="Arial"/>
          <w:b/>
          <w:sz w:val="20"/>
        </w:rPr>
        <w:lastRenderedPageBreak/>
        <w:t>FORU FUNDAZIOEN</w:t>
      </w:r>
      <w:r w:rsidRPr="00DC7F5E">
        <w:rPr>
          <w:rFonts w:ascii="Arial" w:hAnsi="Arial" w:cs="Arial"/>
          <w:b/>
          <w:sz w:val="20"/>
        </w:rPr>
        <w:t xml:space="preserve"> gastu arauaren kalkulua 20</w:t>
      </w:r>
      <w:r w:rsidR="001A0F3A">
        <w:rPr>
          <w:rFonts w:ascii="Arial" w:hAnsi="Arial" w:cs="Arial"/>
          <w:b/>
          <w:sz w:val="20"/>
        </w:rPr>
        <w:t>2</w:t>
      </w:r>
      <w:r w:rsidR="008C6E78">
        <w:rPr>
          <w:rFonts w:ascii="Arial" w:hAnsi="Arial" w:cs="Arial"/>
          <w:b/>
          <w:sz w:val="20"/>
        </w:rPr>
        <w:t>2</w:t>
      </w:r>
      <w:r w:rsidRPr="00DC7F5E">
        <w:rPr>
          <w:rFonts w:ascii="Arial" w:hAnsi="Arial" w:cs="Arial"/>
          <w:b/>
          <w:sz w:val="20"/>
        </w:rPr>
        <w:t>rako</w:t>
      </w:r>
      <w:r w:rsidRPr="00AF7435">
        <w:rPr>
          <w:rFonts w:ascii="Arial" w:hAnsi="Arial" w:cs="Arial"/>
          <w:b/>
          <w:sz w:val="20"/>
        </w:rPr>
        <w:t xml:space="preserve"> </w:t>
      </w:r>
      <w:r w:rsidRPr="00231F31">
        <w:rPr>
          <w:rFonts w:ascii="Arial" w:hAnsi="Arial" w:cs="Arial"/>
          <w:b/>
          <w:szCs w:val="22"/>
        </w:rPr>
        <w:t xml:space="preserve">/ </w:t>
      </w:r>
    </w:p>
    <w:p w14:paraId="080C10F8" w14:textId="0D525BC1" w:rsidR="001C1658" w:rsidRPr="00AF7435" w:rsidRDefault="001C1658" w:rsidP="001C1658">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FUNDACIONES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8C6E78">
        <w:rPr>
          <w:rFonts w:ascii="Arial" w:hAnsi="Arial" w:cs="Arial"/>
          <w:b/>
          <w:sz w:val="20"/>
        </w:rPr>
        <w:t>2</w:t>
      </w:r>
    </w:p>
    <w:p w14:paraId="51F3B8A8" w14:textId="77777777" w:rsidR="001C1658" w:rsidRDefault="001C1658"/>
    <w:p w14:paraId="5D7DA09E" w14:textId="31B0D863" w:rsidR="001C1658" w:rsidRDefault="008C6E78">
      <w:r w:rsidRPr="008C6E78">
        <w:rPr>
          <w:noProof/>
        </w:rPr>
        <w:drawing>
          <wp:inline distT="0" distB="0" distL="0" distR="0" wp14:anchorId="17B38E06" wp14:editId="3416214A">
            <wp:extent cx="5759450" cy="667639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6676390"/>
                    </a:xfrm>
                    <a:prstGeom prst="rect">
                      <a:avLst/>
                    </a:prstGeom>
                    <a:noFill/>
                    <a:ln>
                      <a:noFill/>
                    </a:ln>
                  </pic:spPr>
                </pic:pic>
              </a:graphicData>
            </a:graphic>
          </wp:inline>
        </w:drawing>
      </w:r>
    </w:p>
    <w:p w14:paraId="73BE8430" w14:textId="77777777" w:rsidR="00B34A32" w:rsidRDefault="00B34A32"/>
    <w:p w14:paraId="600A0EA3" w14:textId="3214DF70" w:rsidR="00B34A32" w:rsidRPr="00AF7435" w:rsidRDefault="00B34A32" w:rsidP="00B34A32">
      <w:pPr>
        <w:shd w:val="clear" w:color="auto" w:fill="D9D9D9"/>
        <w:rPr>
          <w:rFonts w:ascii="Arial" w:hAnsi="Arial" w:cs="Arial"/>
          <w:b/>
          <w:sz w:val="20"/>
        </w:rPr>
      </w:pPr>
      <w:r>
        <w:rPr>
          <w:rFonts w:ascii="Arial" w:hAnsi="Arial" w:cs="Arial"/>
          <w:b/>
          <w:sz w:val="20"/>
        </w:rPr>
        <w:t>ARABAKO FORU SEKTORE PUBLIKOAREN</w:t>
      </w:r>
      <w:r w:rsidRPr="00DC7F5E">
        <w:rPr>
          <w:rFonts w:ascii="Arial" w:hAnsi="Arial" w:cs="Arial"/>
          <w:b/>
          <w:sz w:val="20"/>
        </w:rPr>
        <w:t xml:space="preserve"> gastu arauaren kalkulua 20</w:t>
      </w:r>
      <w:r>
        <w:rPr>
          <w:rFonts w:ascii="Arial" w:hAnsi="Arial" w:cs="Arial"/>
          <w:b/>
          <w:sz w:val="20"/>
        </w:rPr>
        <w:t>2</w:t>
      </w:r>
      <w:r w:rsidR="008C6E78">
        <w:rPr>
          <w:rFonts w:ascii="Arial" w:hAnsi="Arial" w:cs="Arial"/>
          <w:b/>
          <w:sz w:val="20"/>
        </w:rPr>
        <w:t>2</w:t>
      </w:r>
      <w:r w:rsidRPr="00DC7F5E">
        <w:rPr>
          <w:rFonts w:ascii="Arial" w:hAnsi="Arial" w:cs="Arial"/>
          <w:b/>
          <w:sz w:val="20"/>
        </w:rPr>
        <w:t>rako</w:t>
      </w:r>
      <w:r w:rsidRPr="00AF7435">
        <w:rPr>
          <w:rFonts w:ascii="Arial" w:hAnsi="Arial" w:cs="Arial"/>
          <w:b/>
          <w:sz w:val="20"/>
        </w:rPr>
        <w:t xml:space="preserve"> / </w:t>
      </w:r>
    </w:p>
    <w:p w14:paraId="7CE07507" w14:textId="731D0A12" w:rsidR="00B34A32" w:rsidRPr="00AF7435" w:rsidRDefault="00B34A32" w:rsidP="00B34A32">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del SECTOR PÚBLICO FORAL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Pr>
          <w:rFonts w:ascii="Arial" w:hAnsi="Arial" w:cs="Arial"/>
          <w:b/>
          <w:sz w:val="20"/>
        </w:rPr>
        <w:t>2</w:t>
      </w:r>
      <w:r w:rsidR="008C6E78">
        <w:rPr>
          <w:rFonts w:ascii="Arial" w:hAnsi="Arial" w:cs="Arial"/>
          <w:b/>
          <w:sz w:val="20"/>
        </w:rPr>
        <w:t>2</w:t>
      </w:r>
    </w:p>
    <w:p w14:paraId="12275008" w14:textId="77777777" w:rsidR="00B34A32" w:rsidRDefault="00B34A32"/>
    <w:p w14:paraId="38F75904" w14:textId="3A4B93E2" w:rsidR="00B34A32" w:rsidRDefault="008C6E78" w:rsidP="00B34A32">
      <w:pPr>
        <w:jc w:val="center"/>
      </w:pPr>
      <w:r w:rsidRPr="008C6E78">
        <w:rPr>
          <w:noProof/>
        </w:rPr>
        <w:drawing>
          <wp:inline distT="0" distB="0" distL="0" distR="0" wp14:anchorId="36EA3EAB" wp14:editId="7E5090BC">
            <wp:extent cx="5759450" cy="50749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5074920"/>
                    </a:xfrm>
                    <a:prstGeom prst="rect">
                      <a:avLst/>
                    </a:prstGeom>
                    <a:noFill/>
                    <a:ln>
                      <a:noFill/>
                    </a:ln>
                  </pic:spPr>
                </pic:pic>
              </a:graphicData>
            </a:graphic>
          </wp:inline>
        </w:drawing>
      </w:r>
    </w:p>
    <w:p w14:paraId="2FEFD653" w14:textId="77777777" w:rsidR="00F32A65" w:rsidRDefault="00F32A65"/>
    <w:p w14:paraId="567EB25D" w14:textId="7FEBA7D0" w:rsidR="00F32A65" w:rsidRPr="0031265C" w:rsidRDefault="00F32A65" w:rsidP="00F32A65">
      <w:pPr>
        <w:jc w:val="center"/>
      </w:pPr>
    </w:p>
    <w:p w14:paraId="5750F93A" w14:textId="77777777" w:rsidR="00DC7F5E" w:rsidRDefault="00DC7F5E" w:rsidP="005327E7">
      <w:pPr>
        <w:jc w:val="center"/>
      </w:pPr>
    </w:p>
    <w:p w14:paraId="558D7100" w14:textId="366B8EC5" w:rsidR="001135AF" w:rsidRDefault="001135AF" w:rsidP="005327E7">
      <w:pPr>
        <w:jc w:val="center"/>
        <w:sectPr w:rsidR="001135AF" w:rsidSect="00B34A32">
          <w:headerReference w:type="first" r:id="rId15"/>
          <w:pgSz w:w="11906" w:h="16838" w:code="9"/>
          <w:pgMar w:top="1418" w:right="1418" w:bottom="1418" w:left="1418" w:header="720" w:footer="720" w:gutter="0"/>
          <w:cols w:space="720"/>
          <w:titlePg/>
          <w:docGrid w:linePitch="299"/>
        </w:sectPr>
      </w:pPr>
    </w:p>
    <w:tbl>
      <w:tblPr>
        <w:tblW w:w="0" w:type="auto"/>
        <w:tblLook w:val="01E0" w:firstRow="1" w:lastRow="1" w:firstColumn="1" w:lastColumn="1" w:noHBand="0" w:noVBand="0"/>
      </w:tblPr>
      <w:tblGrid>
        <w:gridCol w:w="4527"/>
        <w:gridCol w:w="4543"/>
      </w:tblGrid>
      <w:tr w:rsidR="000C21F3" w:rsidRPr="00AB0C97" w14:paraId="59A9D529" w14:textId="77777777" w:rsidTr="00AB0C97">
        <w:tc>
          <w:tcPr>
            <w:tcW w:w="4527" w:type="dxa"/>
            <w:tcBorders>
              <w:right w:val="single" w:sz="4" w:space="0" w:color="808080"/>
            </w:tcBorders>
            <w:shd w:val="clear" w:color="auto" w:fill="auto"/>
          </w:tcPr>
          <w:p w14:paraId="2E34F753" w14:textId="77777777" w:rsidR="000C21F3" w:rsidRPr="00AB0C97" w:rsidRDefault="000C21F3" w:rsidP="005133A3">
            <w:pPr>
              <w:pStyle w:val="Ttulo1"/>
              <w:shd w:val="clear" w:color="auto" w:fill="D9D9D9"/>
              <w:spacing w:before="60" w:after="60"/>
              <w:ind w:right="57"/>
              <w:rPr>
                <w:rFonts w:asciiTheme="minorHAnsi" w:hAnsiTheme="minorHAnsi" w:cstheme="minorHAnsi"/>
                <w:b/>
                <w:szCs w:val="24"/>
              </w:rPr>
            </w:pPr>
            <w:r w:rsidRPr="00AB0C97">
              <w:rPr>
                <w:rFonts w:asciiTheme="minorHAnsi" w:hAnsiTheme="minorHAnsi" w:cstheme="minorHAnsi"/>
                <w:b/>
                <w:szCs w:val="24"/>
              </w:rPr>
              <w:lastRenderedPageBreak/>
              <w:t>AURREKONTUETAKO EGONKORTASUN HELBURUA</w:t>
            </w:r>
          </w:p>
          <w:p w14:paraId="4100FB53" w14:textId="77777777" w:rsidR="000C21F3" w:rsidRPr="00AB0C97" w:rsidRDefault="000C21F3" w:rsidP="005133A3">
            <w:pPr>
              <w:ind w:right="57"/>
              <w:rPr>
                <w:rFonts w:asciiTheme="minorHAnsi" w:hAnsiTheme="minorHAnsi" w:cstheme="minorHAnsi"/>
                <w:snapToGrid w:val="0"/>
                <w:sz w:val="24"/>
                <w:szCs w:val="24"/>
                <w:u w:val="single"/>
              </w:rPr>
            </w:pPr>
          </w:p>
          <w:p w14:paraId="5DB686A0" w14:textId="77777777" w:rsidR="000C21F3" w:rsidRPr="00AB0C97" w:rsidRDefault="0059786F" w:rsidP="005133A3">
            <w:pPr>
              <w:ind w:right="57"/>
              <w:jc w:val="both"/>
              <w:rPr>
                <w:rFonts w:asciiTheme="minorHAnsi" w:hAnsiTheme="minorHAnsi" w:cstheme="minorHAnsi"/>
                <w:snapToGrid w:val="0"/>
                <w:sz w:val="24"/>
                <w:szCs w:val="24"/>
              </w:rPr>
            </w:pPr>
            <w:r w:rsidRPr="00AB0C97">
              <w:rPr>
                <w:rFonts w:asciiTheme="minorHAnsi" w:hAnsiTheme="minorHAnsi" w:cstheme="minorHAnsi"/>
                <w:snapToGrid w:val="0"/>
                <w:sz w:val="24"/>
                <w:szCs w:val="24"/>
              </w:rPr>
              <w:t>Aurrekontuetako egonkortasun oinarria AEIFLOko 3. artikuluan ezarri da eta testuaren 11. artikuluan gauzatzen eta garatzen da.</w:t>
            </w:r>
          </w:p>
          <w:p w14:paraId="3E57A269" w14:textId="77777777" w:rsidR="003448B6" w:rsidRPr="00AB0C97" w:rsidRDefault="003448B6" w:rsidP="005133A3">
            <w:pPr>
              <w:ind w:right="57"/>
              <w:jc w:val="both"/>
              <w:rPr>
                <w:rFonts w:asciiTheme="minorHAnsi" w:hAnsiTheme="minorHAnsi" w:cstheme="minorHAnsi"/>
                <w:snapToGrid w:val="0"/>
                <w:sz w:val="24"/>
                <w:szCs w:val="24"/>
              </w:rPr>
            </w:pPr>
          </w:p>
        </w:tc>
        <w:tc>
          <w:tcPr>
            <w:tcW w:w="4543" w:type="dxa"/>
            <w:tcBorders>
              <w:left w:val="single" w:sz="4" w:space="0" w:color="808080"/>
            </w:tcBorders>
            <w:shd w:val="clear" w:color="auto" w:fill="auto"/>
          </w:tcPr>
          <w:p w14:paraId="42FE5A68" w14:textId="77777777" w:rsidR="000C21F3" w:rsidRPr="00AB0C97" w:rsidRDefault="000C21F3" w:rsidP="005133A3">
            <w:pPr>
              <w:pStyle w:val="Ttulo1"/>
              <w:shd w:val="clear" w:color="auto" w:fill="D9D9D9"/>
              <w:spacing w:before="60" w:after="60"/>
              <w:ind w:left="57"/>
              <w:jc w:val="both"/>
              <w:rPr>
                <w:rFonts w:asciiTheme="minorHAnsi" w:hAnsiTheme="minorHAnsi" w:cstheme="minorHAnsi"/>
                <w:b/>
                <w:szCs w:val="24"/>
              </w:rPr>
            </w:pPr>
            <w:r w:rsidRPr="00AB0C97">
              <w:rPr>
                <w:rFonts w:asciiTheme="minorHAnsi" w:hAnsiTheme="minorHAnsi" w:cstheme="minorHAnsi"/>
                <w:b/>
                <w:szCs w:val="24"/>
              </w:rPr>
              <w:t>OBJETIVO DE ESTABILIDAD PRESUPUESTARIA</w:t>
            </w:r>
          </w:p>
          <w:p w14:paraId="32DF0D77" w14:textId="77777777" w:rsidR="000C21F3" w:rsidRPr="00AB0C97" w:rsidRDefault="000C21F3" w:rsidP="00C26615">
            <w:pPr>
              <w:rPr>
                <w:rFonts w:asciiTheme="minorHAnsi" w:hAnsiTheme="minorHAnsi" w:cstheme="minorHAnsi"/>
                <w:snapToGrid w:val="0"/>
                <w:sz w:val="24"/>
                <w:szCs w:val="24"/>
              </w:rPr>
            </w:pPr>
          </w:p>
          <w:p w14:paraId="32146539" w14:textId="77777777" w:rsidR="0059786F" w:rsidRPr="00AB0C97" w:rsidRDefault="000C21F3" w:rsidP="005133A3">
            <w:pPr>
              <w:jc w:val="both"/>
              <w:rPr>
                <w:rFonts w:asciiTheme="minorHAnsi" w:hAnsiTheme="minorHAnsi" w:cstheme="minorHAnsi"/>
                <w:sz w:val="24"/>
                <w:szCs w:val="24"/>
              </w:rPr>
            </w:pPr>
            <w:r w:rsidRPr="00AB0C97">
              <w:rPr>
                <w:rFonts w:asciiTheme="minorHAnsi" w:hAnsiTheme="minorHAnsi" w:cstheme="minorHAnsi"/>
                <w:sz w:val="24"/>
                <w:szCs w:val="24"/>
              </w:rPr>
              <w:t>El principio de Estabilidad Presupuestaria se establece en el artículo 3 de la LOEPSF y se instrumenta en el artículo 11.</w:t>
            </w:r>
          </w:p>
          <w:p w14:paraId="537C1120" w14:textId="045301F2" w:rsidR="000C21F3" w:rsidRPr="00AB0C97" w:rsidRDefault="000C21F3" w:rsidP="005133A3">
            <w:pPr>
              <w:jc w:val="both"/>
              <w:rPr>
                <w:rFonts w:asciiTheme="minorHAnsi" w:hAnsiTheme="minorHAnsi" w:cstheme="minorHAnsi"/>
                <w:sz w:val="24"/>
                <w:szCs w:val="24"/>
              </w:rPr>
            </w:pPr>
          </w:p>
        </w:tc>
      </w:tr>
      <w:tr w:rsidR="00845979" w:rsidRPr="00AB0C97" w14:paraId="48752946" w14:textId="77777777" w:rsidTr="00AB0C97">
        <w:tc>
          <w:tcPr>
            <w:tcW w:w="4527" w:type="dxa"/>
            <w:tcBorders>
              <w:right w:val="single" w:sz="4" w:space="0" w:color="808080"/>
            </w:tcBorders>
            <w:shd w:val="clear" w:color="auto" w:fill="auto"/>
          </w:tcPr>
          <w:p w14:paraId="6D9EAFCF" w14:textId="5DC2E2F9" w:rsidR="00845979" w:rsidRPr="00AB0C97" w:rsidRDefault="00C64EB1" w:rsidP="00A852FC">
            <w:pPr>
              <w:spacing w:before="240" w:after="120"/>
              <w:ind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 xml:space="preserve">Erantsitako tauletatik lortutako informazioa informatiboa baino ez da, zerga arauak </w:t>
            </w:r>
            <w:r w:rsidR="008C6E78">
              <w:rPr>
                <w:rFonts w:asciiTheme="minorHAnsi" w:hAnsiTheme="minorHAnsi" w:cstheme="minorHAnsi"/>
                <w:snapToGrid w:val="0"/>
                <w:sz w:val="24"/>
                <w:szCs w:val="24"/>
              </w:rPr>
              <w:t>2022</w:t>
            </w:r>
            <w:r w:rsidRPr="00C64EB1">
              <w:rPr>
                <w:rFonts w:asciiTheme="minorHAnsi" w:hAnsiTheme="minorHAnsi" w:cstheme="minorHAnsi"/>
                <w:snapToGrid w:val="0"/>
                <w:sz w:val="24"/>
                <w:szCs w:val="24"/>
              </w:rPr>
              <w:t>. urteetarako etenda daudelako, eta Arabako Foru Sektore Publikoaren aurrekontu egonkortasunaren helburua erakusten du, EKS terminoetan.</w:t>
            </w:r>
          </w:p>
        </w:tc>
        <w:tc>
          <w:tcPr>
            <w:tcW w:w="4543" w:type="dxa"/>
            <w:tcBorders>
              <w:left w:val="single" w:sz="4" w:space="0" w:color="808080"/>
            </w:tcBorders>
            <w:shd w:val="clear" w:color="auto" w:fill="auto"/>
          </w:tcPr>
          <w:p w14:paraId="7BCB7C86" w14:textId="5FE1D28D" w:rsidR="00845979" w:rsidRPr="00AB0C97" w:rsidRDefault="003D2C39" w:rsidP="003C37C9">
            <w:pPr>
              <w:spacing w:before="240" w:after="120"/>
              <w:jc w:val="both"/>
              <w:rPr>
                <w:rFonts w:asciiTheme="minorHAnsi" w:hAnsiTheme="minorHAnsi" w:cstheme="minorHAnsi"/>
                <w:sz w:val="24"/>
                <w:szCs w:val="24"/>
              </w:rPr>
            </w:pPr>
            <w:r w:rsidRPr="00C64EB1">
              <w:rPr>
                <w:rFonts w:asciiTheme="minorHAnsi" w:hAnsiTheme="minorHAnsi" w:cstheme="minorHAnsi"/>
                <w:sz w:val="24"/>
                <w:szCs w:val="24"/>
              </w:rPr>
              <w:t>L</w:t>
            </w:r>
            <w:r w:rsidR="00845979" w:rsidRPr="00C64EB1">
              <w:rPr>
                <w:rFonts w:asciiTheme="minorHAnsi" w:hAnsiTheme="minorHAnsi" w:cstheme="minorHAnsi"/>
                <w:sz w:val="24"/>
                <w:szCs w:val="24"/>
              </w:rPr>
              <w:t xml:space="preserve">a información obtenida de los cuadros adjuntos, </w:t>
            </w:r>
            <w:r w:rsidR="00AB0C97" w:rsidRPr="00C64EB1">
              <w:rPr>
                <w:rFonts w:asciiTheme="minorHAnsi" w:hAnsiTheme="minorHAnsi" w:cstheme="minorHAnsi"/>
                <w:sz w:val="24"/>
                <w:szCs w:val="24"/>
              </w:rPr>
              <w:t>es meramente informativ</w:t>
            </w:r>
            <w:r w:rsidR="006F19A5" w:rsidRPr="00C64EB1">
              <w:rPr>
                <w:rFonts w:asciiTheme="minorHAnsi" w:hAnsiTheme="minorHAnsi" w:cstheme="minorHAnsi"/>
                <w:sz w:val="24"/>
                <w:szCs w:val="24"/>
              </w:rPr>
              <w:t>a</w:t>
            </w:r>
            <w:r w:rsidR="00AB0C97" w:rsidRPr="00C64EB1">
              <w:rPr>
                <w:rFonts w:asciiTheme="minorHAnsi" w:hAnsiTheme="minorHAnsi" w:cstheme="minorHAnsi"/>
                <w:sz w:val="24"/>
                <w:szCs w:val="24"/>
              </w:rPr>
              <w:t xml:space="preserve">, al estar en suspenso para </w:t>
            </w:r>
            <w:r w:rsidR="008C6E78">
              <w:rPr>
                <w:rFonts w:asciiTheme="minorHAnsi" w:hAnsiTheme="minorHAnsi" w:cstheme="minorHAnsi"/>
                <w:sz w:val="24"/>
                <w:szCs w:val="24"/>
              </w:rPr>
              <w:t>2022</w:t>
            </w:r>
            <w:r w:rsidR="00AB0C97" w:rsidRPr="00C64EB1">
              <w:rPr>
                <w:rFonts w:asciiTheme="minorHAnsi" w:hAnsiTheme="minorHAnsi" w:cstheme="minorHAnsi"/>
                <w:sz w:val="24"/>
                <w:szCs w:val="24"/>
              </w:rPr>
              <w:t xml:space="preserve"> las reglas fiscales, y </w:t>
            </w:r>
            <w:r w:rsidRPr="00C64EB1">
              <w:rPr>
                <w:rFonts w:asciiTheme="minorHAnsi" w:hAnsiTheme="minorHAnsi" w:cstheme="minorHAnsi"/>
                <w:sz w:val="24"/>
                <w:szCs w:val="24"/>
              </w:rPr>
              <w:t xml:space="preserve">muestra </w:t>
            </w:r>
            <w:r w:rsidR="00845979" w:rsidRPr="00C64EB1">
              <w:rPr>
                <w:rFonts w:asciiTheme="minorHAnsi" w:hAnsiTheme="minorHAnsi" w:cstheme="minorHAnsi"/>
                <w:sz w:val="24"/>
                <w:szCs w:val="24"/>
              </w:rPr>
              <w:t xml:space="preserve">el objetivo de estabilidad presupuestaria del Sector Público Foral de </w:t>
            </w:r>
            <w:r w:rsidR="0056390E" w:rsidRPr="00C64EB1">
              <w:rPr>
                <w:rFonts w:asciiTheme="minorHAnsi" w:hAnsiTheme="minorHAnsi" w:cstheme="minorHAnsi"/>
                <w:sz w:val="24"/>
                <w:szCs w:val="24"/>
              </w:rPr>
              <w:t>Á</w:t>
            </w:r>
            <w:r w:rsidR="00845979" w:rsidRPr="00C64EB1">
              <w:rPr>
                <w:rFonts w:asciiTheme="minorHAnsi" w:hAnsiTheme="minorHAnsi" w:cstheme="minorHAnsi"/>
                <w:sz w:val="24"/>
                <w:szCs w:val="24"/>
              </w:rPr>
              <w:t>lava, en términos SEC</w:t>
            </w:r>
            <w:r w:rsidRPr="00C64EB1">
              <w:rPr>
                <w:rFonts w:asciiTheme="minorHAnsi" w:hAnsiTheme="minorHAnsi" w:cstheme="minorHAnsi"/>
                <w:sz w:val="24"/>
                <w:szCs w:val="24"/>
              </w:rPr>
              <w:t>.</w:t>
            </w:r>
          </w:p>
        </w:tc>
      </w:tr>
    </w:tbl>
    <w:p w14:paraId="51BD415D" w14:textId="77777777" w:rsidR="00AF7435" w:rsidRDefault="00AF7435"/>
    <w:p w14:paraId="64816BF1" w14:textId="77777777" w:rsidR="00F25B9A" w:rsidRDefault="00F25B9A">
      <w:pPr>
        <w:sectPr w:rsidR="00F25B9A" w:rsidSect="00DC7F5E">
          <w:headerReference w:type="first" r:id="rId16"/>
          <w:pgSz w:w="11906" w:h="16838" w:code="9"/>
          <w:pgMar w:top="1418" w:right="1418" w:bottom="1418" w:left="1418" w:header="720" w:footer="720" w:gutter="0"/>
          <w:cols w:space="720"/>
          <w:titlePg/>
        </w:sectPr>
      </w:pPr>
    </w:p>
    <w:p w14:paraId="5416F09D" w14:textId="3B08470C" w:rsidR="00A60ABC" w:rsidRPr="00AF7435" w:rsidRDefault="007D3796" w:rsidP="00AF7435">
      <w:pPr>
        <w:shd w:val="clear" w:color="auto" w:fill="D9D9D9"/>
        <w:rPr>
          <w:rFonts w:ascii="Arial" w:hAnsi="Arial" w:cs="Arial"/>
          <w:b/>
          <w:sz w:val="20"/>
        </w:rPr>
      </w:pPr>
      <w:r>
        <w:rPr>
          <w:rFonts w:ascii="Arial" w:hAnsi="Arial" w:cs="Arial"/>
          <w:b/>
          <w:sz w:val="20"/>
        </w:rPr>
        <w:lastRenderedPageBreak/>
        <w:t>ARABAKO FORU ALDUNDIA</w:t>
      </w:r>
      <w:r w:rsidR="00AF7435" w:rsidRPr="00AF7435">
        <w:rPr>
          <w:rFonts w:ascii="Arial" w:hAnsi="Arial" w:cs="Arial"/>
          <w:b/>
          <w:sz w:val="20"/>
        </w:rPr>
        <w:t xml:space="preserve">  finantzatzeko gaitasun/beharrizana EKS alderdiari dagokionez, 20</w:t>
      </w:r>
      <w:r w:rsidR="00AB0C97">
        <w:rPr>
          <w:rFonts w:ascii="Arial" w:hAnsi="Arial" w:cs="Arial"/>
          <w:b/>
          <w:sz w:val="20"/>
        </w:rPr>
        <w:t>2</w:t>
      </w:r>
      <w:r w:rsidR="008C6E78">
        <w:rPr>
          <w:rFonts w:ascii="Arial" w:hAnsi="Arial" w:cs="Arial"/>
          <w:b/>
          <w:sz w:val="20"/>
        </w:rPr>
        <w:t>2</w:t>
      </w:r>
      <w:r w:rsidR="00AF7435" w:rsidRPr="00AF7435">
        <w:rPr>
          <w:rFonts w:ascii="Arial" w:hAnsi="Arial" w:cs="Arial"/>
          <w:b/>
          <w:sz w:val="20"/>
        </w:rPr>
        <w:t xml:space="preserve">. urterako / </w:t>
      </w:r>
    </w:p>
    <w:p w14:paraId="0F199EBD" w14:textId="08D35BC6" w:rsidR="00A60ABC" w:rsidRPr="00AF7435" w:rsidRDefault="00A60ABC" w:rsidP="00AF7435">
      <w:pPr>
        <w:shd w:val="clear" w:color="auto" w:fill="D9D9D9"/>
        <w:rPr>
          <w:rFonts w:ascii="Arial" w:hAnsi="Arial" w:cs="Arial"/>
          <w:b/>
          <w:sz w:val="20"/>
        </w:rPr>
      </w:pPr>
      <w:r w:rsidRPr="00AF7435">
        <w:rPr>
          <w:rFonts w:ascii="Arial" w:hAnsi="Arial" w:cs="Arial"/>
          <w:b/>
          <w:sz w:val="20"/>
        </w:rPr>
        <w:t xml:space="preserve">Capacidad / Necesidad de financiación de </w:t>
      </w:r>
      <w:r w:rsidR="007D3796">
        <w:rPr>
          <w:rFonts w:ascii="Arial" w:hAnsi="Arial" w:cs="Arial"/>
          <w:b/>
          <w:sz w:val="20"/>
        </w:rPr>
        <w:t>DIPUTACIÓN FORAL DE ÁLAVA</w:t>
      </w:r>
      <w:r w:rsidRPr="00AF7435">
        <w:rPr>
          <w:rFonts w:ascii="Arial" w:hAnsi="Arial" w:cs="Arial"/>
          <w:b/>
          <w:sz w:val="20"/>
        </w:rPr>
        <w:t xml:space="preserve"> </w:t>
      </w:r>
      <w:r w:rsidR="00BB1FE9">
        <w:rPr>
          <w:rFonts w:ascii="Arial" w:hAnsi="Arial" w:cs="Arial"/>
          <w:b/>
          <w:sz w:val="20"/>
        </w:rPr>
        <w:t xml:space="preserve">términos de SEC </w:t>
      </w:r>
      <w:r w:rsidRPr="00AF7435">
        <w:rPr>
          <w:rFonts w:ascii="Arial" w:hAnsi="Arial" w:cs="Arial"/>
          <w:b/>
          <w:sz w:val="20"/>
        </w:rPr>
        <w:t>para el año 20</w:t>
      </w:r>
      <w:r w:rsidR="00AB0C97">
        <w:rPr>
          <w:rFonts w:ascii="Arial" w:hAnsi="Arial" w:cs="Arial"/>
          <w:b/>
          <w:sz w:val="20"/>
        </w:rPr>
        <w:t>2</w:t>
      </w:r>
      <w:r w:rsidR="008C6E78">
        <w:rPr>
          <w:rFonts w:ascii="Arial" w:hAnsi="Arial" w:cs="Arial"/>
          <w:b/>
          <w:sz w:val="20"/>
        </w:rPr>
        <w:t>2</w:t>
      </w:r>
    </w:p>
    <w:p w14:paraId="64EB7B1F" w14:textId="77777777" w:rsidR="00A60ABC" w:rsidRPr="00641CB7" w:rsidRDefault="00A60ABC" w:rsidP="00F36638">
      <w:pPr>
        <w:jc w:val="center"/>
      </w:pPr>
    </w:p>
    <w:p w14:paraId="38DF3286" w14:textId="14F0865B" w:rsidR="00641CB7" w:rsidRDefault="00E4643C" w:rsidP="00641CB7">
      <w:pPr>
        <w:jc w:val="center"/>
      </w:pPr>
      <w:r w:rsidRPr="00E4643C">
        <w:rPr>
          <w:noProof/>
        </w:rPr>
        <w:drawing>
          <wp:inline distT="0" distB="0" distL="0" distR="0" wp14:anchorId="5D49CD04" wp14:editId="42DA9783">
            <wp:extent cx="5934075" cy="4358776"/>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932" cy="4366016"/>
                    </a:xfrm>
                    <a:prstGeom prst="rect">
                      <a:avLst/>
                    </a:prstGeom>
                    <a:noFill/>
                    <a:ln>
                      <a:noFill/>
                    </a:ln>
                  </pic:spPr>
                </pic:pic>
              </a:graphicData>
            </a:graphic>
          </wp:inline>
        </w:drawing>
      </w:r>
    </w:p>
    <w:p w14:paraId="65A2057C" w14:textId="77777777" w:rsidR="00FE0D4F" w:rsidRPr="00F36638" w:rsidRDefault="00FE0D4F" w:rsidP="00641CB7">
      <w:pPr>
        <w:jc w:val="center"/>
        <w:rPr>
          <w:sz w:val="16"/>
          <w:szCs w:val="16"/>
        </w:rPr>
      </w:pPr>
      <w:r>
        <w:rPr>
          <w:sz w:val="16"/>
          <w:szCs w:val="16"/>
        </w:rPr>
        <w:br w:type="page"/>
      </w:r>
    </w:p>
    <w:p w14:paraId="13B958D7" w14:textId="077230E4" w:rsidR="00641CB7" w:rsidRPr="00AF7435" w:rsidRDefault="007D3796" w:rsidP="00641CB7">
      <w:pPr>
        <w:shd w:val="clear" w:color="auto" w:fill="D9D9D9"/>
        <w:rPr>
          <w:rFonts w:ascii="Arial" w:hAnsi="Arial" w:cs="Arial"/>
          <w:b/>
          <w:sz w:val="20"/>
        </w:rPr>
      </w:pPr>
      <w:r>
        <w:rPr>
          <w:rFonts w:ascii="Arial" w:hAnsi="Arial" w:cs="Arial"/>
          <w:b/>
          <w:sz w:val="20"/>
        </w:rPr>
        <w:lastRenderedPageBreak/>
        <w:t>ERAKUNDE AUTONOMOAK</w:t>
      </w:r>
      <w:r w:rsidR="00641CB7" w:rsidRPr="00AF7435">
        <w:rPr>
          <w:rFonts w:ascii="Arial" w:hAnsi="Arial" w:cs="Arial"/>
          <w:b/>
          <w:sz w:val="20"/>
        </w:rPr>
        <w:t xml:space="preserve"> finantzatzeko gaitasun/beharrizana EKS alderdiari dagokionez, 20</w:t>
      </w:r>
      <w:r w:rsidR="003218D4">
        <w:rPr>
          <w:rFonts w:ascii="Arial" w:hAnsi="Arial" w:cs="Arial"/>
          <w:b/>
          <w:sz w:val="20"/>
        </w:rPr>
        <w:t>2</w:t>
      </w:r>
      <w:r w:rsidR="00E611B5">
        <w:rPr>
          <w:rFonts w:ascii="Arial" w:hAnsi="Arial" w:cs="Arial"/>
          <w:b/>
          <w:sz w:val="20"/>
        </w:rPr>
        <w:t>2</w:t>
      </w:r>
      <w:r w:rsidR="00641CB7" w:rsidRPr="00AF7435">
        <w:rPr>
          <w:rFonts w:ascii="Arial" w:hAnsi="Arial" w:cs="Arial"/>
          <w:b/>
          <w:sz w:val="20"/>
        </w:rPr>
        <w:t xml:space="preserve">. urterako / </w:t>
      </w:r>
    </w:p>
    <w:p w14:paraId="4891EE12" w14:textId="6658D5F0" w:rsidR="00641CB7" w:rsidRPr="00AF7435" w:rsidRDefault="00641CB7" w:rsidP="00641CB7">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los </w:t>
      </w:r>
      <w:r w:rsidR="007D3796">
        <w:rPr>
          <w:rFonts w:ascii="Arial" w:hAnsi="Arial" w:cs="Arial"/>
          <w:b/>
          <w:sz w:val="20"/>
        </w:rPr>
        <w:t>ORGANISMOS AUTÓNOMOS</w:t>
      </w:r>
      <w:r>
        <w:rPr>
          <w:rFonts w:ascii="Arial" w:hAnsi="Arial" w:cs="Arial"/>
          <w:b/>
          <w:sz w:val="20"/>
        </w:rPr>
        <w:t xml:space="preserve"> en términos de SEC para el año 20</w:t>
      </w:r>
      <w:r w:rsidR="003218D4">
        <w:rPr>
          <w:rFonts w:ascii="Arial" w:hAnsi="Arial" w:cs="Arial"/>
          <w:b/>
          <w:sz w:val="20"/>
        </w:rPr>
        <w:t>2</w:t>
      </w:r>
      <w:r w:rsidR="00E611B5">
        <w:rPr>
          <w:rFonts w:ascii="Arial" w:hAnsi="Arial" w:cs="Arial"/>
          <w:b/>
          <w:sz w:val="20"/>
        </w:rPr>
        <w:t>2</w:t>
      </w:r>
    </w:p>
    <w:p w14:paraId="21670AB3" w14:textId="77777777" w:rsidR="00641CB7" w:rsidRPr="00641CB7" w:rsidRDefault="00641CB7" w:rsidP="00F36638">
      <w:pPr>
        <w:jc w:val="center"/>
        <w:rPr>
          <w:sz w:val="16"/>
          <w:szCs w:val="16"/>
        </w:rPr>
      </w:pPr>
    </w:p>
    <w:p w14:paraId="0912268F" w14:textId="35D49E07" w:rsidR="00641CB7" w:rsidRDefault="00E611B5" w:rsidP="00F36638">
      <w:pPr>
        <w:jc w:val="center"/>
        <w:rPr>
          <w:sz w:val="16"/>
          <w:szCs w:val="16"/>
        </w:rPr>
      </w:pPr>
      <w:r w:rsidRPr="00E611B5">
        <w:rPr>
          <w:noProof/>
        </w:rPr>
        <w:drawing>
          <wp:inline distT="0" distB="0" distL="0" distR="0" wp14:anchorId="75DA5992" wp14:editId="14754CA7">
            <wp:extent cx="8496300" cy="4251791"/>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05443" cy="4256367"/>
                    </a:xfrm>
                    <a:prstGeom prst="rect">
                      <a:avLst/>
                    </a:prstGeom>
                    <a:noFill/>
                    <a:ln>
                      <a:noFill/>
                    </a:ln>
                  </pic:spPr>
                </pic:pic>
              </a:graphicData>
            </a:graphic>
          </wp:inline>
        </w:drawing>
      </w:r>
    </w:p>
    <w:p w14:paraId="185DF1E6" w14:textId="77777777" w:rsidR="0009583B" w:rsidRDefault="0009583B" w:rsidP="0009583B">
      <w:pPr>
        <w:jc w:val="center"/>
        <w:rPr>
          <w:sz w:val="16"/>
          <w:szCs w:val="16"/>
        </w:rPr>
      </w:pPr>
    </w:p>
    <w:p w14:paraId="6715D600" w14:textId="77777777" w:rsidR="00860159" w:rsidRDefault="00860159">
      <w:pPr>
        <w:rPr>
          <w:sz w:val="16"/>
          <w:szCs w:val="16"/>
        </w:rPr>
      </w:pPr>
      <w:r>
        <w:rPr>
          <w:sz w:val="16"/>
          <w:szCs w:val="16"/>
        </w:rPr>
        <w:br w:type="page"/>
      </w:r>
    </w:p>
    <w:p w14:paraId="4BBFA8D9" w14:textId="77777777" w:rsidR="00860159" w:rsidRPr="00F36638" w:rsidRDefault="00860159" w:rsidP="0009583B">
      <w:pPr>
        <w:jc w:val="center"/>
        <w:rPr>
          <w:sz w:val="16"/>
          <w:szCs w:val="16"/>
        </w:rPr>
      </w:pPr>
    </w:p>
    <w:p w14:paraId="12BD676C" w14:textId="6D9AA67E" w:rsidR="00BB1FE9" w:rsidRPr="00AF7435" w:rsidRDefault="007D3796" w:rsidP="00BB1FE9">
      <w:pPr>
        <w:shd w:val="clear" w:color="auto" w:fill="D9D9D9"/>
        <w:rPr>
          <w:rFonts w:ascii="Arial" w:hAnsi="Arial" w:cs="Arial"/>
          <w:b/>
          <w:sz w:val="20"/>
        </w:rPr>
      </w:pPr>
      <w:r>
        <w:rPr>
          <w:rFonts w:ascii="Arial" w:hAnsi="Arial" w:cs="Arial"/>
          <w:b/>
          <w:sz w:val="20"/>
        </w:rPr>
        <w:t>SOZIETATE PUBLIKOAK</w:t>
      </w:r>
      <w:r w:rsidR="00BB1FE9" w:rsidRPr="00AF7435">
        <w:rPr>
          <w:rFonts w:ascii="Arial" w:hAnsi="Arial" w:cs="Arial"/>
          <w:b/>
          <w:sz w:val="20"/>
        </w:rPr>
        <w:t xml:space="preserve"> finantzatzeko gaitasun/beharrizana EKS alderdiari dagokionez, 20</w:t>
      </w:r>
      <w:r w:rsidR="003218D4">
        <w:rPr>
          <w:rFonts w:ascii="Arial" w:hAnsi="Arial" w:cs="Arial"/>
          <w:b/>
          <w:sz w:val="20"/>
        </w:rPr>
        <w:t>2</w:t>
      </w:r>
      <w:r w:rsidR="00E611B5">
        <w:rPr>
          <w:rFonts w:ascii="Arial" w:hAnsi="Arial" w:cs="Arial"/>
          <w:b/>
          <w:sz w:val="20"/>
        </w:rPr>
        <w:t>2</w:t>
      </w:r>
      <w:r w:rsidR="00BB1FE9" w:rsidRPr="00AF7435">
        <w:rPr>
          <w:rFonts w:ascii="Arial" w:hAnsi="Arial" w:cs="Arial"/>
          <w:b/>
          <w:sz w:val="20"/>
        </w:rPr>
        <w:t xml:space="preserve">. urterako / </w:t>
      </w:r>
    </w:p>
    <w:p w14:paraId="073564DE" w14:textId="42F7004C" w:rsidR="00BB1FE9" w:rsidRPr="00AF7435" w:rsidRDefault="00BB1FE9" w:rsidP="00BB1FE9">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SOCIEDADES PÚBLICAS</w:t>
      </w:r>
      <w:r>
        <w:rPr>
          <w:rFonts w:ascii="Arial" w:hAnsi="Arial" w:cs="Arial"/>
          <w:b/>
          <w:sz w:val="20"/>
        </w:rPr>
        <w:t xml:space="preserve"> en términos de SEC para el año 20</w:t>
      </w:r>
      <w:r w:rsidR="003218D4">
        <w:rPr>
          <w:rFonts w:ascii="Arial" w:hAnsi="Arial" w:cs="Arial"/>
          <w:b/>
          <w:sz w:val="20"/>
        </w:rPr>
        <w:t>2</w:t>
      </w:r>
      <w:r w:rsidR="00E611B5">
        <w:rPr>
          <w:rFonts w:ascii="Arial" w:hAnsi="Arial" w:cs="Arial"/>
          <w:b/>
          <w:sz w:val="20"/>
        </w:rPr>
        <w:t>2</w:t>
      </w:r>
    </w:p>
    <w:p w14:paraId="266B48D4" w14:textId="77777777" w:rsidR="00AF7435" w:rsidRPr="009269D2" w:rsidRDefault="00AF7435" w:rsidP="00685989">
      <w:pPr>
        <w:jc w:val="center"/>
      </w:pPr>
    </w:p>
    <w:p w14:paraId="2F0CBED0" w14:textId="438D4DCC" w:rsidR="0009583B" w:rsidRDefault="00E611B5" w:rsidP="0009583B">
      <w:pPr>
        <w:jc w:val="center"/>
        <w:rPr>
          <w:sz w:val="16"/>
          <w:szCs w:val="16"/>
        </w:rPr>
      </w:pPr>
      <w:r w:rsidRPr="00E611B5">
        <w:rPr>
          <w:noProof/>
        </w:rPr>
        <w:drawing>
          <wp:inline distT="0" distB="0" distL="0" distR="0" wp14:anchorId="7248B341" wp14:editId="22575517">
            <wp:extent cx="6000750" cy="4128354"/>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5203" cy="4138298"/>
                    </a:xfrm>
                    <a:prstGeom prst="rect">
                      <a:avLst/>
                    </a:prstGeom>
                    <a:noFill/>
                    <a:ln>
                      <a:noFill/>
                    </a:ln>
                  </pic:spPr>
                </pic:pic>
              </a:graphicData>
            </a:graphic>
          </wp:inline>
        </w:drawing>
      </w:r>
    </w:p>
    <w:p w14:paraId="1EEE5D02" w14:textId="77777777" w:rsidR="001231E7" w:rsidRPr="00F36638" w:rsidRDefault="001231E7" w:rsidP="0009583B">
      <w:pPr>
        <w:jc w:val="center"/>
        <w:rPr>
          <w:sz w:val="16"/>
          <w:szCs w:val="16"/>
        </w:rPr>
      </w:pPr>
    </w:p>
    <w:p w14:paraId="1700EF62" w14:textId="36418CD9" w:rsidR="00DA735C" w:rsidRPr="00AF7435" w:rsidRDefault="007D3796" w:rsidP="00DA735C">
      <w:pPr>
        <w:shd w:val="clear" w:color="auto" w:fill="D9D9D9"/>
        <w:rPr>
          <w:rFonts w:ascii="Arial" w:hAnsi="Arial" w:cs="Arial"/>
          <w:b/>
          <w:sz w:val="20"/>
        </w:rPr>
      </w:pPr>
      <w:r>
        <w:rPr>
          <w:rFonts w:ascii="Arial" w:hAnsi="Arial" w:cs="Arial"/>
          <w:b/>
          <w:sz w:val="20"/>
        </w:rPr>
        <w:lastRenderedPageBreak/>
        <w:t>FUNDAZIOAK</w:t>
      </w:r>
      <w:r w:rsidR="00DA735C" w:rsidRPr="00AF7435">
        <w:rPr>
          <w:rFonts w:ascii="Arial" w:hAnsi="Arial" w:cs="Arial"/>
          <w:b/>
          <w:sz w:val="20"/>
        </w:rPr>
        <w:t xml:space="preserve"> finantzatzeko gaitasun/beharrizana EKS alderdiari dagokionez, 20</w:t>
      </w:r>
      <w:r w:rsidR="008E7FCC">
        <w:rPr>
          <w:rFonts w:ascii="Arial" w:hAnsi="Arial" w:cs="Arial"/>
          <w:b/>
          <w:sz w:val="20"/>
        </w:rPr>
        <w:t>2</w:t>
      </w:r>
      <w:r w:rsidR="00E611B5">
        <w:rPr>
          <w:rFonts w:ascii="Arial" w:hAnsi="Arial" w:cs="Arial"/>
          <w:b/>
          <w:sz w:val="20"/>
        </w:rPr>
        <w:t>2</w:t>
      </w:r>
      <w:r w:rsidR="00DA735C" w:rsidRPr="00AF7435">
        <w:rPr>
          <w:rFonts w:ascii="Arial" w:hAnsi="Arial" w:cs="Arial"/>
          <w:b/>
          <w:sz w:val="20"/>
        </w:rPr>
        <w:t xml:space="preserve">. urterako / </w:t>
      </w:r>
    </w:p>
    <w:p w14:paraId="19EC3076" w14:textId="247D774B" w:rsidR="00DA735C" w:rsidRPr="00AF7435" w:rsidRDefault="00DA735C" w:rsidP="00DA735C">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FUNDACIONES</w:t>
      </w:r>
      <w:r>
        <w:rPr>
          <w:rFonts w:ascii="Arial" w:hAnsi="Arial" w:cs="Arial"/>
          <w:b/>
          <w:sz w:val="20"/>
        </w:rPr>
        <w:t xml:space="preserve"> en términos de SEC para el año 20</w:t>
      </w:r>
      <w:r w:rsidR="008E7FCC">
        <w:rPr>
          <w:rFonts w:ascii="Arial" w:hAnsi="Arial" w:cs="Arial"/>
          <w:b/>
          <w:sz w:val="20"/>
        </w:rPr>
        <w:t>2</w:t>
      </w:r>
      <w:r w:rsidR="00E611B5">
        <w:rPr>
          <w:rFonts w:ascii="Arial" w:hAnsi="Arial" w:cs="Arial"/>
          <w:b/>
          <w:sz w:val="20"/>
        </w:rPr>
        <w:t>2</w:t>
      </w:r>
    </w:p>
    <w:p w14:paraId="150BD8A4" w14:textId="77777777" w:rsidR="00AF7435" w:rsidRPr="00DA735C" w:rsidRDefault="00AF7435" w:rsidP="00685989">
      <w:pPr>
        <w:jc w:val="center"/>
      </w:pPr>
    </w:p>
    <w:p w14:paraId="0282C0C8" w14:textId="66DFF037" w:rsidR="0009583B" w:rsidRDefault="00E611B5" w:rsidP="0009583B">
      <w:pPr>
        <w:jc w:val="center"/>
      </w:pPr>
      <w:r w:rsidRPr="00E611B5">
        <w:rPr>
          <w:noProof/>
        </w:rPr>
        <w:drawing>
          <wp:inline distT="0" distB="0" distL="0" distR="0" wp14:anchorId="0DE5BAC7" wp14:editId="35734EF0">
            <wp:extent cx="7143750" cy="4488186"/>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63200" cy="4500406"/>
                    </a:xfrm>
                    <a:prstGeom prst="rect">
                      <a:avLst/>
                    </a:prstGeom>
                    <a:noFill/>
                    <a:ln>
                      <a:noFill/>
                    </a:ln>
                  </pic:spPr>
                </pic:pic>
              </a:graphicData>
            </a:graphic>
          </wp:inline>
        </w:drawing>
      </w:r>
    </w:p>
    <w:p w14:paraId="6D2A6AC8" w14:textId="77777777" w:rsidR="009771B8" w:rsidRPr="00F36638" w:rsidRDefault="009771B8" w:rsidP="0009583B">
      <w:pPr>
        <w:jc w:val="center"/>
        <w:rPr>
          <w:sz w:val="16"/>
          <w:szCs w:val="16"/>
        </w:rPr>
      </w:pPr>
    </w:p>
    <w:p w14:paraId="4728C262" w14:textId="77777777" w:rsidR="00E611B5" w:rsidRDefault="005F7CE2" w:rsidP="005F7CE2">
      <w:pPr>
        <w:shd w:val="clear" w:color="auto" w:fill="D9D9D9"/>
        <w:rPr>
          <w:rFonts w:ascii="Arial" w:hAnsi="Arial" w:cs="Arial"/>
          <w:b/>
          <w:sz w:val="20"/>
        </w:rPr>
      </w:pPr>
      <w:r>
        <w:rPr>
          <w:rFonts w:ascii="Arial" w:hAnsi="Arial" w:cs="Arial"/>
          <w:b/>
          <w:sz w:val="20"/>
        </w:rPr>
        <w:t xml:space="preserve">Arabako foru Sektore Publiko </w:t>
      </w:r>
      <w:r w:rsidR="00B92561">
        <w:rPr>
          <w:rFonts w:ascii="Arial" w:hAnsi="Arial" w:cs="Arial"/>
          <w:b/>
          <w:sz w:val="20"/>
        </w:rPr>
        <w:t>BATERATUAren</w:t>
      </w:r>
      <w:r>
        <w:rPr>
          <w:rFonts w:ascii="Arial" w:hAnsi="Arial" w:cs="Arial"/>
          <w:b/>
          <w:sz w:val="20"/>
        </w:rPr>
        <w:t xml:space="preserve"> </w:t>
      </w:r>
      <w:r w:rsidRPr="00AF7435">
        <w:rPr>
          <w:rFonts w:ascii="Arial" w:hAnsi="Arial" w:cs="Arial"/>
          <w:b/>
          <w:sz w:val="20"/>
        </w:rPr>
        <w:t xml:space="preserve"> finantzatzeko gaitasun/beharrizana EKS alderdiari dagokionez, 20</w:t>
      </w:r>
      <w:r w:rsidR="008E7FCC">
        <w:rPr>
          <w:rFonts w:ascii="Arial" w:hAnsi="Arial" w:cs="Arial"/>
          <w:b/>
          <w:sz w:val="20"/>
        </w:rPr>
        <w:t>2</w:t>
      </w:r>
      <w:r w:rsidR="00E611B5">
        <w:rPr>
          <w:rFonts w:ascii="Arial" w:hAnsi="Arial" w:cs="Arial"/>
          <w:b/>
          <w:sz w:val="20"/>
        </w:rPr>
        <w:t>2</w:t>
      </w:r>
      <w:r w:rsidRPr="00AF7435">
        <w:rPr>
          <w:rFonts w:ascii="Arial" w:hAnsi="Arial" w:cs="Arial"/>
          <w:b/>
          <w:sz w:val="20"/>
        </w:rPr>
        <w:t xml:space="preserve">. </w:t>
      </w:r>
      <w:r w:rsidR="00E611B5" w:rsidRPr="00AF7435">
        <w:rPr>
          <w:rFonts w:ascii="Arial" w:hAnsi="Arial" w:cs="Arial"/>
          <w:b/>
          <w:sz w:val="20"/>
        </w:rPr>
        <w:t>U</w:t>
      </w:r>
      <w:r w:rsidRPr="00AF7435">
        <w:rPr>
          <w:rFonts w:ascii="Arial" w:hAnsi="Arial" w:cs="Arial"/>
          <w:b/>
          <w:sz w:val="20"/>
        </w:rPr>
        <w:t>rterako</w:t>
      </w:r>
      <w:r w:rsidR="00E611B5">
        <w:rPr>
          <w:rFonts w:ascii="Arial" w:hAnsi="Arial" w:cs="Arial"/>
          <w:b/>
          <w:sz w:val="20"/>
        </w:rPr>
        <w:t xml:space="preserve"> /</w:t>
      </w:r>
    </w:p>
    <w:p w14:paraId="7463329D" w14:textId="7FB9BA58" w:rsidR="005F7CE2" w:rsidRPr="00AF7435" w:rsidRDefault="00E611B5" w:rsidP="005F7CE2">
      <w:pPr>
        <w:shd w:val="clear" w:color="auto" w:fill="D9D9D9"/>
        <w:rPr>
          <w:rFonts w:ascii="Arial" w:hAnsi="Arial" w:cs="Arial"/>
          <w:b/>
          <w:sz w:val="20"/>
        </w:rPr>
      </w:pPr>
      <w:r>
        <w:rPr>
          <w:rFonts w:ascii="Arial" w:hAnsi="Arial" w:cs="Arial"/>
          <w:b/>
          <w:sz w:val="20"/>
        </w:rPr>
        <w:t xml:space="preserve"> </w:t>
      </w:r>
      <w:r w:rsidR="005F7CE2" w:rsidRPr="00AF7435">
        <w:rPr>
          <w:rFonts w:ascii="Arial" w:hAnsi="Arial" w:cs="Arial"/>
          <w:b/>
          <w:sz w:val="20"/>
        </w:rPr>
        <w:t>Capacidad / Necesidad de financiación de</w:t>
      </w:r>
      <w:r w:rsidR="005F7CE2">
        <w:rPr>
          <w:rFonts w:ascii="Arial" w:hAnsi="Arial" w:cs="Arial"/>
          <w:b/>
          <w:sz w:val="20"/>
        </w:rPr>
        <w:t xml:space="preserve">l Sector Público Foral de Álava </w:t>
      </w:r>
      <w:r w:rsidR="00B92561">
        <w:rPr>
          <w:rFonts w:ascii="Arial" w:hAnsi="Arial" w:cs="Arial"/>
          <w:b/>
          <w:sz w:val="20"/>
        </w:rPr>
        <w:t>CONSOLIDADO</w:t>
      </w:r>
      <w:r w:rsidR="005F7CE2" w:rsidRPr="00AF7435">
        <w:rPr>
          <w:rFonts w:ascii="Arial" w:hAnsi="Arial" w:cs="Arial"/>
          <w:b/>
          <w:sz w:val="20"/>
        </w:rPr>
        <w:t xml:space="preserve"> </w:t>
      </w:r>
      <w:r w:rsidR="005F7CE2">
        <w:rPr>
          <w:rFonts w:ascii="Arial" w:hAnsi="Arial" w:cs="Arial"/>
          <w:b/>
          <w:sz w:val="20"/>
        </w:rPr>
        <w:t>en términos de SEC para el año 20</w:t>
      </w:r>
      <w:r w:rsidR="008E7FCC">
        <w:rPr>
          <w:rFonts w:ascii="Arial" w:hAnsi="Arial" w:cs="Arial"/>
          <w:b/>
          <w:sz w:val="20"/>
        </w:rPr>
        <w:t>2</w:t>
      </w:r>
      <w:r>
        <w:rPr>
          <w:rFonts w:ascii="Arial" w:hAnsi="Arial" w:cs="Arial"/>
          <w:b/>
          <w:sz w:val="20"/>
        </w:rPr>
        <w:t>2</w:t>
      </w:r>
    </w:p>
    <w:p w14:paraId="1C999CC9" w14:textId="77777777" w:rsidR="00AF7435" w:rsidRDefault="00AF7435" w:rsidP="005F7CE2">
      <w:pPr>
        <w:jc w:val="center"/>
      </w:pPr>
    </w:p>
    <w:p w14:paraId="4C20864A" w14:textId="57EDE366" w:rsidR="009771B8" w:rsidRDefault="00E611B5" w:rsidP="005F7CE2">
      <w:pPr>
        <w:jc w:val="center"/>
      </w:pPr>
      <w:r w:rsidRPr="00E611B5">
        <w:rPr>
          <w:noProof/>
        </w:rPr>
        <w:drawing>
          <wp:inline distT="0" distB="0" distL="0" distR="0" wp14:anchorId="1CF2B1FD" wp14:editId="582DB29D">
            <wp:extent cx="5810250" cy="4235578"/>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9031" cy="4241979"/>
                    </a:xfrm>
                    <a:prstGeom prst="rect">
                      <a:avLst/>
                    </a:prstGeom>
                    <a:noFill/>
                    <a:ln>
                      <a:noFill/>
                    </a:ln>
                  </pic:spPr>
                </pic:pic>
              </a:graphicData>
            </a:graphic>
          </wp:inline>
        </w:drawing>
      </w:r>
    </w:p>
    <w:p w14:paraId="4117A638" w14:textId="77777777" w:rsidR="00F14225" w:rsidRDefault="00F14225" w:rsidP="005F7CE2">
      <w:pPr>
        <w:jc w:val="center"/>
      </w:pPr>
    </w:p>
    <w:p w14:paraId="4350812B" w14:textId="6010305C" w:rsidR="00240BAC" w:rsidRPr="00AF7435" w:rsidRDefault="00240BAC" w:rsidP="00240BAC">
      <w:pPr>
        <w:shd w:val="clear" w:color="auto" w:fill="D9D9D9"/>
        <w:rPr>
          <w:rFonts w:ascii="Arial" w:hAnsi="Arial" w:cs="Arial"/>
          <w:b/>
          <w:sz w:val="20"/>
        </w:rPr>
      </w:pPr>
      <w:r>
        <w:rPr>
          <w:rFonts w:ascii="Arial" w:hAnsi="Arial" w:cs="Arial"/>
          <w:b/>
          <w:sz w:val="20"/>
        </w:rPr>
        <w:t xml:space="preserve">Arabako foru Sektore Publiko BATERATUAren </w:t>
      </w:r>
      <w:r w:rsidRPr="00AF7435">
        <w:rPr>
          <w:rFonts w:ascii="Arial" w:hAnsi="Arial" w:cs="Arial"/>
          <w:b/>
          <w:sz w:val="20"/>
        </w:rPr>
        <w:t xml:space="preserve"> finantzatzeko gaitasun/beharrizana EKS alderdiari dagokionez, 20</w:t>
      </w:r>
      <w:r w:rsidR="008E7FCC">
        <w:rPr>
          <w:rFonts w:ascii="Arial" w:hAnsi="Arial" w:cs="Arial"/>
          <w:b/>
          <w:sz w:val="20"/>
        </w:rPr>
        <w:t>2</w:t>
      </w:r>
      <w:r w:rsidR="00E611B5">
        <w:rPr>
          <w:rFonts w:ascii="Arial" w:hAnsi="Arial" w:cs="Arial"/>
          <w:b/>
          <w:sz w:val="20"/>
        </w:rPr>
        <w:t>2</w:t>
      </w:r>
      <w:r w:rsidRPr="00AF7435">
        <w:rPr>
          <w:rFonts w:ascii="Arial" w:hAnsi="Arial" w:cs="Arial"/>
          <w:b/>
          <w:sz w:val="20"/>
        </w:rPr>
        <w:t xml:space="preserve">. urterako / </w:t>
      </w:r>
    </w:p>
    <w:p w14:paraId="02782BC3" w14:textId="18B13C4A" w:rsidR="00240BAC" w:rsidRDefault="00240BAC" w:rsidP="00240BAC">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l Sector Público Foral de Álava CONSOLIDADO</w:t>
      </w:r>
      <w:r w:rsidRPr="00AF7435">
        <w:rPr>
          <w:rFonts w:ascii="Arial" w:hAnsi="Arial" w:cs="Arial"/>
          <w:b/>
          <w:sz w:val="20"/>
        </w:rPr>
        <w:t xml:space="preserve"> </w:t>
      </w:r>
      <w:r>
        <w:rPr>
          <w:rFonts w:ascii="Arial" w:hAnsi="Arial" w:cs="Arial"/>
          <w:b/>
          <w:sz w:val="20"/>
        </w:rPr>
        <w:t>en términos de SEC para el año 20</w:t>
      </w:r>
      <w:r w:rsidR="008E7FCC">
        <w:rPr>
          <w:rFonts w:ascii="Arial" w:hAnsi="Arial" w:cs="Arial"/>
          <w:b/>
          <w:sz w:val="20"/>
        </w:rPr>
        <w:t>2</w:t>
      </w:r>
      <w:r w:rsidR="00E611B5">
        <w:rPr>
          <w:rFonts w:ascii="Arial" w:hAnsi="Arial" w:cs="Arial"/>
          <w:b/>
          <w:sz w:val="20"/>
        </w:rPr>
        <w:t>2</w:t>
      </w:r>
    </w:p>
    <w:p w14:paraId="573382D9" w14:textId="77777777" w:rsidR="00240BAC" w:rsidRDefault="00240BAC" w:rsidP="005F7CE2">
      <w:pPr>
        <w:jc w:val="center"/>
        <w:rPr>
          <w:rFonts w:ascii="Arial" w:hAnsi="Arial" w:cs="Arial"/>
          <w:b/>
          <w:sz w:val="20"/>
        </w:rPr>
      </w:pPr>
    </w:p>
    <w:p w14:paraId="6E2FA2B6" w14:textId="6D8D1CD2" w:rsidR="001C4CCA" w:rsidRDefault="007D116E" w:rsidP="005F7CE2">
      <w:pPr>
        <w:jc w:val="center"/>
      </w:pPr>
      <w:r w:rsidRPr="007D116E">
        <w:rPr>
          <w:noProof/>
        </w:rPr>
        <w:drawing>
          <wp:inline distT="0" distB="0" distL="0" distR="0" wp14:anchorId="5B961955" wp14:editId="51CE1FD5">
            <wp:extent cx="6515100" cy="4147665"/>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36745" cy="4161445"/>
                    </a:xfrm>
                    <a:prstGeom prst="rect">
                      <a:avLst/>
                    </a:prstGeom>
                    <a:noFill/>
                    <a:ln>
                      <a:noFill/>
                    </a:ln>
                  </pic:spPr>
                </pic:pic>
              </a:graphicData>
            </a:graphic>
          </wp:inline>
        </w:drawing>
      </w:r>
    </w:p>
    <w:p w14:paraId="348215D5" w14:textId="77777777" w:rsidR="00240BAC" w:rsidRDefault="00240BAC" w:rsidP="005F7CE2">
      <w:pPr>
        <w:jc w:val="center"/>
      </w:pPr>
    </w:p>
    <w:p w14:paraId="7D8C4DA3" w14:textId="77777777" w:rsidR="005F7CE2" w:rsidRDefault="005F7CE2" w:rsidP="005F7CE2">
      <w:pPr>
        <w:jc w:val="center"/>
        <w:sectPr w:rsidR="005F7CE2" w:rsidSect="00864ACF">
          <w:headerReference w:type="default" r:id="rId23"/>
          <w:headerReference w:type="first" r:id="rId24"/>
          <w:pgSz w:w="16838" w:h="11906" w:orient="landscape" w:code="9"/>
          <w:pgMar w:top="1418" w:right="1418" w:bottom="567" w:left="1418" w:header="720" w:footer="720" w:gutter="0"/>
          <w:cols w:space="720"/>
          <w:titlePg/>
        </w:sectPr>
      </w:pPr>
    </w:p>
    <w:p w14:paraId="0A8B6E70" w14:textId="77777777" w:rsidR="005F7CE2" w:rsidRPr="005F7CE2" w:rsidRDefault="005F7CE2" w:rsidP="005F7CE2">
      <w:pPr>
        <w:jc w:val="center"/>
      </w:pPr>
    </w:p>
    <w:tbl>
      <w:tblPr>
        <w:tblW w:w="0" w:type="auto"/>
        <w:tblLook w:val="01E0" w:firstRow="1" w:lastRow="1" w:firstColumn="1" w:lastColumn="1" w:noHBand="0" w:noVBand="0"/>
      </w:tblPr>
      <w:tblGrid>
        <w:gridCol w:w="4605"/>
        <w:gridCol w:w="4605"/>
      </w:tblGrid>
      <w:tr w:rsidR="007F09F2" w:rsidRPr="008E7FCC" w14:paraId="1759FFCB" w14:textId="77777777" w:rsidTr="005133A3">
        <w:tc>
          <w:tcPr>
            <w:tcW w:w="4605" w:type="dxa"/>
            <w:tcBorders>
              <w:right w:val="single" w:sz="4" w:space="0" w:color="808080"/>
            </w:tcBorders>
            <w:shd w:val="clear" w:color="auto" w:fill="auto"/>
          </w:tcPr>
          <w:p w14:paraId="22187ADB" w14:textId="77777777" w:rsidR="007F09F2" w:rsidRPr="008E7FCC" w:rsidRDefault="007F09F2" w:rsidP="005133A3">
            <w:pPr>
              <w:pStyle w:val="Ttulo1"/>
              <w:shd w:val="clear" w:color="auto" w:fill="D9D9D9"/>
              <w:spacing w:before="60" w:after="60"/>
              <w:ind w:right="57"/>
              <w:rPr>
                <w:rFonts w:asciiTheme="minorHAnsi" w:hAnsiTheme="minorHAnsi" w:cstheme="minorHAnsi"/>
                <w:b/>
                <w:szCs w:val="24"/>
              </w:rPr>
            </w:pPr>
            <w:r w:rsidRPr="008E7FCC">
              <w:rPr>
                <w:rFonts w:asciiTheme="minorHAnsi" w:hAnsiTheme="minorHAnsi" w:cstheme="minorHAnsi"/>
                <w:b/>
                <w:szCs w:val="24"/>
              </w:rPr>
              <w:t>HERRI ZORRA HELBURUA</w:t>
            </w:r>
          </w:p>
          <w:p w14:paraId="202DF7EE" w14:textId="77777777" w:rsidR="007F09F2" w:rsidRPr="008E7FCC" w:rsidRDefault="007F09F2" w:rsidP="005133A3">
            <w:pPr>
              <w:ind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1E8D2D2B" w14:textId="77777777" w:rsidR="007F09F2" w:rsidRPr="008E7FCC" w:rsidRDefault="007F09F2" w:rsidP="005133A3">
            <w:pPr>
              <w:pStyle w:val="Ttulo1"/>
              <w:shd w:val="clear" w:color="auto" w:fill="D9D9D9"/>
              <w:spacing w:before="60" w:after="60"/>
              <w:ind w:left="57"/>
              <w:rPr>
                <w:rFonts w:asciiTheme="minorHAnsi" w:hAnsiTheme="minorHAnsi" w:cstheme="minorHAnsi"/>
                <w:b/>
                <w:szCs w:val="24"/>
              </w:rPr>
            </w:pPr>
            <w:r w:rsidRPr="008E7FCC">
              <w:rPr>
                <w:rFonts w:asciiTheme="minorHAnsi" w:hAnsiTheme="minorHAnsi" w:cstheme="minorHAnsi"/>
                <w:b/>
                <w:szCs w:val="24"/>
              </w:rPr>
              <w:t>OBJETIVO DE DEUDA PÚBLICA</w:t>
            </w:r>
          </w:p>
          <w:p w14:paraId="290A9DF1" w14:textId="77777777" w:rsidR="007F09F2" w:rsidRPr="008E7FCC" w:rsidRDefault="007F09F2" w:rsidP="005133A3">
            <w:pPr>
              <w:ind w:left="57"/>
              <w:jc w:val="both"/>
              <w:rPr>
                <w:rFonts w:asciiTheme="minorHAnsi" w:hAnsiTheme="minorHAnsi" w:cstheme="minorHAnsi"/>
                <w:sz w:val="24"/>
                <w:szCs w:val="24"/>
              </w:rPr>
            </w:pPr>
          </w:p>
        </w:tc>
      </w:tr>
      <w:tr w:rsidR="00026534" w:rsidRPr="008E7FCC" w14:paraId="0346DC03" w14:textId="77777777" w:rsidTr="005133A3">
        <w:tc>
          <w:tcPr>
            <w:tcW w:w="4605" w:type="dxa"/>
            <w:tcBorders>
              <w:right w:val="single" w:sz="4" w:space="0" w:color="808080"/>
            </w:tcBorders>
            <w:shd w:val="clear" w:color="auto" w:fill="auto"/>
          </w:tcPr>
          <w:p w14:paraId="72B6CF08" w14:textId="77777777" w:rsidR="00026534" w:rsidRPr="008E7FCC" w:rsidRDefault="00026534" w:rsidP="006F19A5">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Aurrekontuen Egonkortasunaren Oinarria AEIFLOko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artikuluan ezarri da eta bere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 artikuluan gauzatzen eta garatzen da.</w:t>
            </w:r>
          </w:p>
        </w:tc>
        <w:tc>
          <w:tcPr>
            <w:tcW w:w="4605" w:type="dxa"/>
            <w:tcBorders>
              <w:left w:val="single" w:sz="4" w:space="0" w:color="808080"/>
            </w:tcBorders>
            <w:shd w:val="clear" w:color="auto" w:fill="auto"/>
          </w:tcPr>
          <w:p w14:paraId="6A316043" w14:textId="77777777" w:rsidR="00026534" w:rsidRPr="008E7FCC" w:rsidRDefault="00026534" w:rsidP="006F19A5">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El principio de Estabilidad Presupuestaria se establece en el artículo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de la LOEPSF y se instrumenta en el artículo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w:t>
            </w:r>
          </w:p>
        </w:tc>
      </w:tr>
      <w:tr w:rsidR="00845979" w:rsidRPr="008E7FCC" w14:paraId="420492F7" w14:textId="77777777" w:rsidTr="005133A3">
        <w:tc>
          <w:tcPr>
            <w:tcW w:w="4605" w:type="dxa"/>
            <w:tcBorders>
              <w:right w:val="single" w:sz="4" w:space="0" w:color="808080"/>
            </w:tcBorders>
            <w:shd w:val="clear" w:color="auto" w:fill="auto"/>
          </w:tcPr>
          <w:p w14:paraId="654155DF" w14:textId="77777777" w:rsidR="008E7FCC" w:rsidRDefault="008E7FCC" w:rsidP="006F19A5">
            <w:pPr>
              <w:ind w:right="57"/>
              <w:jc w:val="both"/>
              <w:rPr>
                <w:rFonts w:asciiTheme="minorHAnsi" w:hAnsiTheme="minorHAnsi" w:cstheme="minorHAnsi"/>
                <w:snapToGrid w:val="0"/>
                <w:sz w:val="24"/>
                <w:szCs w:val="24"/>
              </w:rPr>
            </w:pPr>
          </w:p>
          <w:p w14:paraId="47279C4E" w14:textId="77777777" w:rsidR="008E7FCC" w:rsidRDefault="008E7FCC" w:rsidP="006F19A5">
            <w:pPr>
              <w:ind w:right="57"/>
              <w:jc w:val="both"/>
              <w:rPr>
                <w:rFonts w:asciiTheme="minorHAnsi" w:hAnsiTheme="minorHAnsi" w:cstheme="minorHAnsi"/>
                <w:snapToGrid w:val="0"/>
                <w:sz w:val="24"/>
                <w:szCs w:val="24"/>
              </w:rPr>
            </w:pPr>
          </w:p>
          <w:p w14:paraId="257F006A" w14:textId="31E43473" w:rsidR="006F19A5" w:rsidRDefault="00C64EB1" w:rsidP="006F19A5">
            <w:pPr>
              <w:ind w:right="57"/>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Hala ere, 202</w:t>
            </w:r>
            <w:r w:rsidR="001231E7">
              <w:rPr>
                <w:rFonts w:asciiTheme="minorHAnsi" w:hAnsiTheme="minorHAnsi" w:cstheme="minorHAnsi"/>
                <w:snapToGrid w:val="0"/>
                <w:sz w:val="24"/>
                <w:szCs w:val="24"/>
              </w:rPr>
              <w:t>2</w:t>
            </w:r>
            <w:r w:rsidRPr="00C64EB1">
              <w:rPr>
                <w:rFonts w:asciiTheme="minorHAnsi" w:hAnsiTheme="minorHAnsi" w:cstheme="minorHAnsi"/>
                <w:snapToGrid w:val="0"/>
                <w:sz w:val="24"/>
                <w:szCs w:val="24"/>
              </w:rPr>
              <w:t>. urteerako zerga arauak etenda daudenez, bidaltzen den informazioa informatiboa baino ez da</w:t>
            </w:r>
          </w:p>
          <w:p w14:paraId="668674EC" w14:textId="77777777" w:rsidR="006F19A5" w:rsidRDefault="006F19A5" w:rsidP="006F19A5">
            <w:pPr>
              <w:ind w:right="57"/>
              <w:jc w:val="both"/>
              <w:rPr>
                <w:rFonts w:asciiTheme="minorHAnsi" w:hAnsiTheme="minorHAnsi" w:cstheme="minorHAnsi"/>
                <w:snapToGrid w:val="0"/>
                <w:sz w:val="24"/>
                <w:szCs w:val="24"/>
              </w:rPr>
            </w:pPr>
          </w:p>
          <w:p w14:paraId="78472B8C" w14:textId="77777777" w:rsidR="006F19A5" w:rsidRDefault="006F19A5" w:rsidP="006F19A5">
            <w:pPr>
              <w:ind w:right="57"/>
              <w:jc w:val="both"/>
              <w:rPr>
                <w:rFonts w:asciiTheme="minorHAnsi" w:hAnsiTheme="minorHAnsi" w:cstheme="minorHAnsi"/>
                <w:snapToGrid w:val="0"/>
                <w:sz w:val="24"/>
                <w:szCs w:val="24"/>
              </w:rPr>
            </w:pPr>
          </w:p>
          <w:p w14:paraId="3C345C30" w14:textId="71AD8DD7" w:rsidR="002719EC" w:rsidRPr="008E7FCC" w:rsidRDefault="007F09F2" w:rsidP="006F19A5">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Honako txosten honen xede diren Aurrekontuetako gehieneko zor publiko formalizatuaren eta xedatuaren banakapena 20</w:t>
            </w:r>
            <w:r w:rsidR="006F19A5">
              <w:rPr>
                <w:rFonts w:asciiTheme="minorHAnsi" w:hAnsiTheme="minorHAnsi" w:cstheme="minorHAnsi"/>
                <w:snapToGrid w:val="0"/>
                <w:sz w:val="24"/>
                <w:szCs w:val="24"/>
              </w:rPr>
              <w:t>2</w:t>
            </w:r>
            <w:r w:rsidR="008A1967">
              <w:rPr>
                <w:rFonts w:asciiTheme="minorHAnsi" w:hAnsiTheme="minorHAnsi" w:cstheme="minorHAnsi"/>
                <w:snapToGrid w:val="0"/>
                <w:sz w:val="24"/>
                <w:szCs w:val="24"/>
              </w:rPr>
              <w:t>2</w:t>
            </w:r>
            <w:r w:rsidRPr="008E7FCC">
              <w:rPr>
                <w:rFonts w:asciiTheme="minorHAnsi" w:hAnsiTheme="minorHAnsi" w:cstheme="minorHAnsi"/>
                <w:snapToGrid w:val="0"/>
                <w:sz w:val="24"/>
                <w:szCs w:val="24"/>
              </w:rPr>
              <w:t xml:space="preserve">ko abenduaren 31n, </w:t>
            </w:r>
            <w:r w:rsidR="001C4CCA" w:rsidRPr="008E7FCC">
              <w:rPr>
                <w:rFonts w:asciiTheme="minorHAnsi" w:hAnsiTheme="minorHAnsi" w:cstheme="minorHAnsi"/>
                <w:snapToGrid w:val="0"/>
                <w:sz w:val="24"/>
                <w:szCs w:val="24"/>
              </w:rPr>
              <w:t>Arabako</w:t>
            </w:r>
            <w:r w:rsidRPr="008E7FCC">
              <w:rPr>
                <w:rFonts w:asciiTheme="minorHAnsi" w:hAnsiTheme="minorHAnsi" w:cstheme="minorHAnsi"/>
                <w:snapToGrid w:val="0"/>
                <w:sz w:val="24"/>
                <w:szCs w:val="24"/>
              </w:rPr>
              <w:t xml:space="preserve"> Foru Aldundiaren men</w:t>
            </w:r>
            <w:r w:rsidR="00343BCB" w:rsidRPr="008E7FCC">
              <w:rPr>
                <w:rFonts w:asciiTheme="minorHAnsi" w:hAnsiTheme="minorHAnsi" w:cstheme="minorHAnsi"/>
                <w:snapToGrid w:val="0"/>
                <w:sz w:val="24"/>
                <w:szCs w:val="24"/>
              </w:rPr>
              <w:t>d</w:t>
            </w:r>
            <w:r w:rsidRPr="008E7FCC">
              <w:rPr>
                <w:rFonts w:asciiTheme="minorHAnsi" w:hAnsiTheme="minorHAnsi" w:cstheme="minorHAnsi"/>
                <w:snapToGrid w:val="0"/>
                <w:sz w:val="24"/>
                <w:szCs w:val="24"/>
              </w:rPr>
              <w:t>eko herri administrazioa</w:t>
            </w:r>
            <w:r w:rsidR="00343BCB" w:rsidRPr="008E7FCC">
              <w:rPr>
                <w:rFonts w:asciiTheme="minorHAnsi" w:hAnsiTheme="minorHAnsi" w:cstheme="minorHAnsi"/>
                <w:snapToGrid w:val="0"/>
                <w:sz w:val="24"/>
                <w:szCs w:val="24"/>
              </w:rPr>
              <w:t xml:space="preserve"> osatzen duen erakunde bakoitzeko, hau da:</w:t>
            </w:r>
          </w:p>
          <w:p w14:paraId="3FC17C86" w14:textId="77777777" w:rsidR="00343BCB" w:rsidRPr="008E7FCC" w:rsidRDefault="00343BCB" w:rsidP="006F19A5">
            <w:pPr>
              <w:ind w:right="57"/>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37B3C626" w14:textId="77777777" w:rsidR="00A475DB" w:rsidRDefault="00A475DB" w:rsidP="006F19A5">
            <w:pPr>
              <w:jc w:val="both"/>
              <w:rPr>
                <w:rFonts w:asciiTheme="minorHAnsi" w:hAnsiTheme="minorHAnsi" w:cstheme="minorHAnsi"/>
                <w:snapToGrid w:val="0"/>
                <w:color w:val="FF0000"/>
                <w:sz w:val="24"/>
                <w:szCs w:val="24"/>
              </w:rPr>
            </w:pPr>
          </w:p>
          <w:p w14:paraId="641515D4" w14:textId="5A747DBF" w:rsidR="008E7FCC" w:rsidRPr="00C64EB1" w:rsidRDefault="008E7FCC" w:rsidP="006F19A5">
            <w:pPr>
              <w:jc w:val="both"/>
              <w:rPr>
                <w:rFonts w:asciiTheme="minorHAnsi" w:hAnsiTheme="minorHAnsi" w:cstheme="minorHAnsi"/>
                <w:snapToGrid w:val="0"/>
                <w:sz w:val="24"/>
                <w:szCs w:val="24"/>
              </w:rPr>
            </w:pPr>
            <w:r w:rsidRPr="00C64EB1">
              <w:rPr>
                <w:rFonts w:asciiTheme="minorHAnsi" w:hAnsiTheme="minorHAnsi" w:cstheme="minorHAnsi"/>
                <w:snapToGrid w:val="0"/>
                <w:sz w:val="24"/>
                <w:szCs w:val="24"/>
              </w:rPr>
              <w:t xml:space="preserve">No obstante, al encontrarse en suspenso las reglas fiscales para </w:t>
            </w:r>
            <w:r w:rsidR="001231E7">
              <w:rPr>
                <w:rFonts w:asciiTheme="minorHAnsi" w:hAnsiTheme="minorHAnsi" w:cstheme="minorHAnsi"/>
                <w:snapToGrid w:val="0"/>
                <w:sz w:val="24"/>
                <w:szCs w:val="24"/>
              </w:rPr>
              <w:t xml:space="preserve">el </w:t>
            </w:r>
            <w:r w:rsidRPr="00C64EB1">
              <w:rPr>
                <w:rFonts w:asciiTheme="minorHAnsi" w:hAnsiTheme="minorHAnsi" w:cstheme="minorHAnsi"/>
                <w:snapToGrid w:val="0"/>
                <w:sz w:val="24"/>
                <w:szCs w:val="24"/>
              </w:rPr>
              <w:t>año 2</w:t>
            </w:r>
            <w:r w:rsidR="001231E7">
              <w:rPr>
                <w:rFonts w:asciiTheme="minorHAnsi" w:hAnsiTheme="minorHAnsi" w:cstheme="minorHAnsi"/>
                <w:snapToGrid w:val="0"/>
                <w:sz w:val="24"/>
                <w:szCs w:val="24"/>
              </w:rPr>
              <w:t>022</w:t>
            </w:r>
            <w:r w:rsidRPr="00C64EB1">
              <w:rPr>
                <w:rFonts w:asciiTheme="minorHAnsi" w:hAnsiTheme="minorHAnsi" w:cstheme="minorHAnsi"/>
                <w:snapToGrid w:val="0"/>
                <w:sz w:val="24"/>
                <w:szCs w:val="24"/>
              </w:rPr>
              <w:t>, la información que se remite es meramente informativa.</w:t>
            </w:r>
          </w:p>
          <w:p w14:paraId="5D3DCA20" w14:textId="77777777" w:rsidR="00A475DB" w:rsidRDefault="00A475DB" w:rsidP="006F19A5">
            <w:pPr>
              <w:jc w:val="both"/>
              <w:rPr>
                <w:rFonts w:asciiTheme="minorHAnsi" w:hAnsiTheme="minorHAnsi" w:cstheme="minorHAnsi"/>
                <w:snapToGrid w:val="0"/>
                <w:sz w:val="24"/>
                <w:szCs w:val="24"/>
              </w:rPr>
            </w:pPr>
          </w:p>
          <w:p w14:paraId="79853E9F" w14:textId="5B73DA17" w:rsidR="00845979" w:rsidRDefault="007F09F2" w:rsidP="006F19A5">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El desglose de la deuda pública formalizada y dispuesta al 31 de diciembre de 20</w:t>
            </w:r>
            <w:r w:rsidR="008E7FCC">
              <w:rPr>
                <w:rFonts w:asciiTheme="minorHAnsi" w:hAnsiTheme="minorHAnsi" w:cstheme="minorHAnsi"/>
                <w:snapToGrid w:val="0"/>
                <w:sz w:val="24"/>
                <w:szCs w:val="24"/>
              </w:rPr>
              <w:t>2</w:t>
            </w:r>
            <w:r w:rsidR="001231E7">
              <w:rPr>
                <w:rFonts w:asciiTheme="minorHAnsi" w:hAnsiTheme="minorHAnsi" w:cstheme="minorHAnsi"/>
                <w:snapToGrid w:val="0"/>
                <w:sz w:val="24"/>
                <w:szCs w:val="24"/>
              </w:rPr>
              <w:t>2</w:t>
            </w:r>
            <w:r w:rsidRPr="008E7FCC">
              <w:rPr>
                <w:rFonts w:asciiTheme="minorHAnsi" w:hAnsiTheme="minorHAnsi" w:cstheme="minorHAnsi"/>
                <w:snapToGrid w:val="0"/>
                <w:sz w:val="24"/>
                <w:szCs w:val="24"/>
              </w:rPr>
              <w:t xml:space="preserve"> en l</w:t>
            </w:r>
            <w:r w:rsidR="00E81B9E" w:rsidRPr="008E7FCC">
              <w:rPr>
                <w:rFonts w:asciiTheme="minorHAnsi" w:hAnsiTheme="minorHAnsi" w:cstheme="minorHAnsi"/>
                <w:snapToGrid w:val="0"/>
                <w:sz w:val="24"/>
                <w:szCs w:val="24"/>
              </w:rPr>
              <w:t>a</w:t>
            </w:r>
            <w:r w:rsidRPr="008E7FCC">
              <w:rPr>
                <w:rFonts w:asciiTheme="minorHAnsi" w:hAnsiTheme="minorHAnsi" w:cstheme="minorHAnsi"/>
                <w:snapToGrid w:val="0"/>
                <w:sz w:val="24"/>
                <w:szCs w:val="24"/>
              </w:rPr>
              <w:t xml:space="preserve"> Cuenta General objeto del presente informe, por cada una de las entidades que conforman el Sector Administración Pública dependiente de la Diputación Foral de </w:t>
            </w:r>
            <w:r w:rsidR="00343BCB" w:rsidRPr="008E7FCC">
              <w:rPr>
                <w:rFonts w:asciiTheme="minorHAnsi" w:hAnsiTheme="minorHAnsi" w:cstheme="minorHAnsi"/>
                <w:snapToGrid w:val="0"/>
                <w:sz w:val="24"/>
                <w:szCs w:val="24"/>
              </w:rPr>
              <w:t>Á</w:t>
            </w:r>
            <w:r w:rsidRPr="008E7FCC">
              <w:rPr>
                <w:rFonts w:asciiTheme="minorHAnsi" w:hAnsiTheme="minorHAnsi" w:cstheme="minorHAnsi"/>
                <w:snapToGrid w:val="0"/>
                <w:sz w:val="24"/>
                <w:szCs w:val="24"/>
              </w:rPr>
              <w:t>lava, es el siguiente</w:t>
            </w:r>
            <w:r w:rsidR="0011151B" w:rsidRPr="008E7FCC">
              <w:rPr>
                <w:rFonts w:asciiTheme="minorHAnsi" w:hAnsiTheme="minorHAnsi" w:cstheme="minorHAnsi"/>
                <w:snapToGrid w:val="0"/>
                <w:sz w:val="24"/>
                <w:szCs w:val="24"/>
              </w:rPr>
              <w:t>:</w:t>
            </w:r>
          </w:p>
          <w:p w14:paraId="7CD2E769" w14:textId="21A607C8" w:rsidR="00A475DB" w:rsidRPr="008E7FCC" w:rsidRDefault="00A475DB" w:rsidP="00061C02">
            <w:pPr>
              <w:jc w:val="both"/>
              <w:rPr>
                <w:rFonts w:asciiTheme="minorHAnsi" w:hAnsiTheme="minorHAnsi" w:cstheme="minorHAnsi"/>
                <w:sz w:val="24"/>
                <w:szCs w:val="24"/>
              </w:rPr>
            </w:pPr>
          </w:p>
        </w:tc>
      </w:tr>
      <w:tr w:rsidR="00E81B9E" w:rsidRPr="008E7FCC" w14:paraId="5BE363C7" w14:textId="77777777" w:rsidTr="00061C02">
        <w:trPr>
          <w:trHeight w:val="20"/>
        </w:trPr>
        <w:tc>
          <w:tcPr>
            <w:tcW w:w="4605" w:type="dxa"/>
            <w:tcBorders>
              <w:right w:val="single" w:sz="4" w:space="0" w:color="808080"/>
            </w:tcBorders>
            <w:shd w:val="clear" w:color="auto" w:fill="auto"/>
          </w:tcPr>
          <w:p w14:paraId="4486F641" w14:textId="4FF9378C" w:rsidR="002719EC" w:rsidRPr="008E7FCC" w:rsidRDefault="002719EC" w:rsidP="005133A3">
            <w:pPr>
              <w:numPr>
                <w:ilvl w:val="0"/>
                <w:numId w:val="17"/>
              </w:numPr>
              <w:spacing w:before="120" w:after="120"/>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Foru Aldundia: </w:t>
            </w:r>
            <w:r w:rsidR="008A1967">
              <w:rPr>
                <w:rFonts w:asciiTheme="minorHAnsi" w:hAnsiTheme="minorHAnsi" w:cstheme="minorHAnsi"/>
                <w:snapToGrid w:val="0"/>
                <w:sz w:val="24"/>
                <w:szCs w:val="24"/>
              </w:rPr>
              <w:t>568.163.027,92</w:t>
            </w:r>
            <w:r w:rsidRPr="008E7FCC">
              <w:rPr>
                <w:rFonts w:asciiTheme="minorHAnsi" w:hAnsiTheme="minorHAnsi" w:cstheme="minorHAnsi"/>
                <w:snapToGrid w:val="0"/>
                <w:sz w:val="24"/>
                <w:szCs w:val="24"/>
              </w:rPr>
              <w:t xml:space="preserve"> euro</w:t>
            </w:r>
          </w:p>
          <w:p w14:paraId="08A2045E" w14:textId="3286C942" w:rsidR="00740837" w:rsidRPr="008E7FCC" w:rsidRDefault="00740837" w:rsidP="00061C02">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 Garapen Agentzia SA: </w:t>
            </w:r>
            <w:r w:rsidR="008A1967">
              <w:rPr>
                <w:rFonts w:asciiTheme="minorHAnsi" w:hAnsiTheme="minorHAnsi" w:cstheme="minorHAnsi"/>
                <w:snapToGrid w:val="0"/>
                <w:sz w:val="24"/>
                <w:szCs w:val="24"/>
              </w:rPr>
              <w:t>1.829.272,12</w:t>
            </w:r>
            <w:r w:rsidRPr="008E7FCC">
              <w:rPr>
                <w:rFonts w:asciiTheme="minorHAnsi" w:hAnsiTheme="minorHAnsi" w:cstheme="minorHAnsi"/>
                <w:snapToGrid w:val="0"/>
                <w:sz w:val="24"/>
                <w:szCs w:val="24"/>
              </w:rPr>
              <w:t xml:space="preserve"> euro</w:t>
            </w:r>
          </w:p>
          <w:p w14:paraId="4A8E3B14" w14:textId="77777777" w:rsidR="00E81B9E" w:rsidRPr="008E7FCC" w:rsidRDefault="00E81B9E" w:rsidP="00061C02">
            <w:pPr>
              <w:ind w:left="720"/>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4D7D3932" w14:textId="4C67A0C0" w:rsidR="00E81B9E" w:rsidRPr="008E7FCC" w:rsidRDefault="00E81B9E" w:rsidP="00061C02">
            <w:pPr>
              <w:numPr>
                <w:ilvl w:val="0"/>
                <w:numId w:val="17"/>
              </w:numPr>
              <w:spacing w:after="120"/>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Diputación Foral de Álava: </w:t>
            </w:r>
            <w:r w:rsidR="008A1967">
              <w:rPr>
                <w:rFonts w:asciiTheme="minorHAnsi" w:hAnsiTheme="minorHAnsi" w:cstheme="minorHAnsi"/>
                <w:snapToGrid w:val="0"/>
                <w:sz w:val="24"/>
                <w:szCs w:val="24"/>
              </w:rPr>
              <w:t>568.163.027,92</w:t>
            </w:r>
            <w:r w:rsidRPr="008E7FCC">
              <w:rPr>
                <w:rFonts w:asciiTheme="minorHAnsi" w:hAnsiTheme="minorHAnsi" w:cstheme="minorHAnsi"/>
                <w:snapToGrid w:val="0"/>
                <w:sz w:val="24"/>
                <w:szCs w:val="24"/>
              </w:rPr>
              <w:t xml:space="preserve"> euros</w:t>
            </w:r>
          </w:p>
          <w:p w14:paraId="45D6C8D5" w14:textId="7E2A14E9" w:rsidR="00061C02" w:rsidRPr="008E7FCC" w:rsidRDefault="00BD357D" w:rsidP="00061C02">
            <w:pPr>
              <w:numPr>
                <w:ilvl w:val="0"/>
                <w:numId w:val="17"/>
              </w:numPr>
              <w:spacing w:before="120" w:after="120"/>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 xml:space="preserve">Álava Agencia de Desarrollo S.A.: </w:t>
            </w:r>
            <w:r w:rsidR="008A1967" w:rsidRPr="00061C02">
              <w:rPr>
                <w:rFonts w:asciiTheme="minorHAnsi" w:hAnsiTheme="minorHAnsi" w:cstheme="minorHAnsi"/>
                <w:snapToGrid w:val="0"/>
                <w:sz w:val="24"/>
                <w:szCs w:val="24"/>
              </w:rPr>
              <w:t>1.829.272,12</w:t>
            </w:r>
            <w:r w:rsidRPr="00061C02">
              <w:rPr>
                <w:rFonts w:asciiTheme="minorHAnsi" w:hAnsiTheme="minorHAnsi" w:cstheme="minorHAnsi"/>
                <w:snapToGrid w:val="0"/>
                <w:sz w:val="24"/>
                <w:szCs w:val="24"/>
              </w:rPr>
              <w:t xml:space="preserve"> euros</w:t>
            </w:r>
          </w:p>
        </w:tc>
      </w:tr>
      <w:tr w:rsidR="00E81B9E" w:rsidRPr="008E7FCC" w14:paraId="44D843A3" w14:textId="77777777" w:rsidTr="005133A3">
        <w:tc>
          <w:tcPr>
            <w:tcW w:w="4605" w:type="dxa"/>
            <w:tcBorders>
              <w:right w:val="single" w:sz="4" w:space="0" w:color="808080"/>
            </w:tcBorders>
            <w:shd w:val="clear" w:color="auto" w:fill="auto"/>
          </w:tcPr>
          <w:p w14:paraId="6BA5A983" w14:textId="5E54FC9C" w:rsidR="006B6DCA" w:rsidRDefault="006B6DCA" w:rsidP="00A475DB">
            <w:pPr>
              <w:ind w:right="57"/>
              <w:jc w:val="both"/>
              <w:rPr>
                <w:rFonts w:asciiTheme="minorHAnsi" w:hAnsiTheme="minorHAnsi" w:cstheme="minorHAnsi"/>
                <w:snapToGrid w:val="0"/>
                <w:sz w:val="24"/>
                <w:szCs w:val="24"/>
              </w:rPr>
            </w:pPr>
            <w:r w:rsidRPr="006B6DCA">
              <w:rPr>
                <w:rFonts w:asciiTheme="minorHAnsi" w:hAnsiTheme="minorHAnsi" w:cstheme="minorHAnsi"/>
                <w:snapToGrid w:val="0"/>
                <w:sz w:val="24"/>
                <w:szCs w:val="24"/>
              </w:rPr>
              <w:t xml:space="preserve">Hala ere, IGAEk 2023/01/27an egindako jakinarazpenaren arabera, Abetxuko auzoko adinekoentzako egoitza baten eta Lakua auzoko egoitza baten proiektua idazteko, eraikitzeko eta kontserbatzeko kontratuen azterketari dagokionez, uste du bi kontratu horiek elkarte publiko-pribatuak direla, Kontuen Europako Sistemaren (SEC) (549/2013 Erregelamendua) eta defizit eta zorpetze publikoetarako Eurostaten eskuliburuaren arabera, eta, ondorioz, aktiboen jabe ekonomikoa administrazio </w:t>
            </w:r>
            <w:r w:rsidRPr="006B6DCA">
              <w:rPr>
                <w:rFonts w:asciiTheme="minorHAnsi" w:hAnsiTheme="minorHAnsi" w:cstheme="minorHAnsi"/>
                <w:snapToGrid w:val="0"/>
                <w:sz w:val="24"/>
                <w:szCs w:val="24"/>
              </w:rPr>
              <w:lastRenderedPageBreak/>
              <w:t>kontratatzailea dela, hau da, Arabako Foru Aldundia.</w:t>
            </w:r>
          </w:p>
          <w:p w14:paraId="3408166E" w14:textId="77777777" w:rsidR="006B6DCA" w:rsidRDefault="006B6DCA" w:rsidP="00A475DB">
            <w:pPr>
              <w:ind w:right="57"/>
              <w:jc w:val="both"/>
              <w:rPr>
                <w:rFonts w:asciiTheme="minorHAnsi" w:hAnsiTheme="minorHAnsi" w:cstheme="minorHAnsi"/>
                <w:snapToGrid w:val="0"/>
                <w:sz w:val="24"/>
                <w:szCs w:val="24"/>
              </w:rPr>
            </w:pPr>
          </w:p>
          <w:p w14:paraId="0B145C24" w14:textId="2BF8DFE6" w:rsidR="006B6DCA" w:rsidRDefault="006B6DCA" w:rsidP="00A475DB">
            <w:pPr>
              <w:ind w:right="57"/>
              <w:jc w:val="both"/>
              <w:rPr>
                <w:rFonts w:asciiTheme="minorHAnsi" w:hAnsiTheme="minorHAnsi" w:cstheme="minorHAnsi"/>
                <w:snapToGrid w:val="0"/>
                <w:sz w:val="24"/>
                <w:szCs w:val="24"/>
              </w:rPr>
            </w:pPr>
          </w:p>
          <w:p w14:paraId="05B24483" w14:textId="515611F6" w:rsidR="006B6DCA" w:rsidRDefault="006B6DCA" w:rsidP="00A475DB">
            <w:pPr>
              <w:ind w:right="57"/>
              <w:jc w:val="both"/>
              <w:rPr>
                <w:rFonts w:asciiTheme="minorHAnsi" w:hAnsiTheme="minorHAnsi" w:cstheme="minorHAnsi"/>
                <w:snapToGrid w:val="0"/>
                <w:sz w:val="24"/>
                <w:szCs w:val="24"/>
              </w:rPr>
            </w:pPr>
            <w:r w:rsidRPr="006B6DCA">
              <w:rPr>
                <w:rFonts w:asciiTheme="minorHAnsi" w:hAnsiTheme="minorHAnsi" w:cstheme="minorHAnsi"/>
                <w:snapToGrid w:val="0"/>
                <w:sz w:val="24"/>
                <w:szCs w:val="24"/>
              </w:rPr>
              <w:t>Bi kontratuetan inbertsioa erabat gauzatuta dagoenez, eta zenbait ekitalditan kontratistari kontraprestazioak eman zaizkionez, IGAEk proposatutako doikuntza amortizatzeko dagoen inbertsioaren erregistroa da, hau da, 2022an 18.054.391,63 euro bi egoitza guztietarako.</w:t>
            </w:r>
          </w:p>
          <w:p w14:paraId="7FDC655E" w14:textId="77777777" w:rsidR="006B6DCA" w:rsidRDefault="006B6DCA" w:rsidP="00A475DB">
            <w:pPr>
              <w:ind w:right="57"/>
              <w:jc w:val="both"/>
              <w:rPr>
                <w:rFonts w:asciiTheme="minorHAnsi" w:hAnsiTheme="minorHAnsi" w:cstheme="minorHAnsi"/>
                <w:snapToGrid w:val="0"/>
                <w:sz w:val="24"/>
                <w:szCs w:val="24"/>
              </w:rPr>
            </w:pPr>
          </w:p>
          <w:p w14:paraId="7AB2DF12" w14:textId="77777777" w:rsidR="006B6DCA" w:rsidRDefault="006B6DCA" w:rsidP="00A475DB">
            <w:pPr>
              <w:ind w:right="57"/>
              <w:jc w:val="both"/>
              <w:rPr>
                <w:rFonts w:asciiTheme="minorHAnsi" w:hAnsiTheme="minorHAnsi" w:cstheme="minorHAnsi"/>
                <w:snapToGrid w:val="0"/>
                <w:sz w:val="24"/>
                <w:szCs w:val="24"/>
              </w:rPr>
            </w:pPr>
          </w:p>
          <w:p w14:paraId="0A8B09B4" w14:textId="4E57BAC4" w:rsidR="006B6DCA" w:rsidRDefault="006B6DCA" w:rsidP="00A475DB">
            <w:pPr>
              <w:ind w:right="57"/>
              <w:jc w:val="both"/>
              <w:rPr>
                <w:rFonts w:asciiTheme="minorHAnsi" w:hAnsiTheme="minorHAnsi" w:cstheme="minorHAnsi"/>
                <w:snapToGrid w:val="0"/>
                <w:sz w:val="24"/>
                <w:szCs w:val="24"/>
              </w:rPr>
            </w:pPr>
            <w:r w:rsidRPr="006B6DCA">
              <w:rPr>
                <w:rFonts w:asciiTheme="minorHAnsi" w:hAnsiTheme="minorHAnsi" w:cstheme="minorHAnsi"/>
                <w:snapToGrid w:val="0"/>
                <w:sz w:val="24"/>
                <w:szCs w:val="24"/>
              </w:rPr>
              <w:t>Beraz, honako ondorio hauek gertatzen dira defizitean eta zor bizian:</w:t>
            </w:r>
          </w:p>
          <w:p w14:paraId="0286A573" w14:textId="77777777" w:rsidR="006B6DCA" w:rsidRDefault="006B6DCA" w:rsidP="00A475DB">
            <w:pPr>
              <w:ind w:right="57"/>
              <w:jc w:val="both"/>
              <w:rPr>
                <w:rFonts w:asciiTheme="minorHAnsi" w:hAnsiTheme="minorHAnsi" w:cstheme="minorHAnsi"/>
                <w:snapToGrid w:val="0"/>
                <w:sz w:val="24"/>
                <w:szCs w:val="24"/>
              </w:rPr>
            </w:pPr>
          </w:p>
          <w:p w14:paraId="490FA8E8" w14:textId="2560D2AD" w:rsidR="00320255" w:rsidRPr="00320255" w:rsidRDefault="00320255" w:rsidP="00320255">
            <w:pPr>
              <w:ind w:right="57"/>
              <w:jc w:val="both"/>
              <w:rPr>
                <w:rFonts w:asciiTheme="minorHAnsi" w:hAnsiTheme="minorHAnsi" w:cstheme="minorHAnsi"/>
                <w:snapToGrid w:val="0"/>
                <w:sz w:val="24"/>
                <w:szCs w:val="24"/>
              </w:rPr>
            </w:pPr>
            <w:r w:rsidRPr="00320255">
              <w:rPr>
                <w:rFonts w:asciiTheme="minorHAnsi" w:hAnsiTheme="minorHAnsi" w:cstheme="minorHAnsi"/>
                <w:snapToGrid w:val="0"/>
                <w:sz w:val="24"/>
                <w:szCs w:val="24"/>
              </w:rPr>
              <w:t>1)</w:t>
            </w:r>
            <w:r>
              <w:rPr>
                <w:rFonts w:asciiTheme="minorHAnsi" w:hAnsiTheme="minorHAnsi" w:cstheme="minorHAnsi"/>
                <w:snapToGrid w:val="0"/>
                <w:sz w:val="24"/>
                <w:szCs w:val="24"/>
              </w:rPr>
              <w:t xml:space="preserve"> </w:t>
            </w:r>
            <w:r w:rsidRPr="00320255">
              <w:rPr>
                <w:rFonts w:asciiTheme="minorHAnsi" w:hAnsiTheme="minorHAnsi" w:cstheme="minorHAnsi"/>
                <w:snapToGrid w:val="0"/>
                <w:sz w:val="24"/>
                <w:szCs w:val="24"/>
              </w:rPr>
              <w:t>2022ko ekitaldia: hasierako aurrekontu-saldoari aplikatutako doikuntza gisa, defizita 18,05 milioi euroan handitzea, eta zor bizia zenbateko berean handitzea.</w:t>
            </w:r>
          </w:p>
          <w:p w14:paraId="0A124D45" w14:textId="77777777" w:rsidR="00320255" w:rsidRPr="00320255" w:rsidRDefault="00320255" w:rsidP="00320255">
            <w:pPr>
              <w:rPr>
                <w:snapToGrid w:val="0"/>
              </w:rPr>
            </w:pPr>
          </w:p>
          <w:p w14:paraId="78CFB614" w14:textId="77777777" w:rsidR="00320255" w:rsidRPr="00320255" w:rsidRDefault="00320255" w:rsidP="00320255">
            <w:pPr>
              <w:ind w:right="57"/>
              <w:jc w:val="both"/>
              <w:rPr>
                <w:rFonts w:asciiTheme="minorHAnsi" w:hAnsiTheme="minorHAnsi" w:cstheme="minorHAnsi"/>
                <w:snapToGrid w:val="0"/>
                <w:sz w:val="24"/>
                <w:szCs w:val="24"/>
              </w:rPr>
            </w:pPr>
          </w:p>
          <w:p w14:paraId="65F8C3C7" w14:textId="3DDDFB21" w:rsidR="006B6DCA" w:rsidRDefault="00320255" w:rsidP="00320255">
            <w:pPr>
              <w:ind w:right="57"/>
              <w:jc w:val="both"/>
              <w:rPr>
                <w:rFonts w:asciiTheme="minorHAnsi" w:hAnsiTheme="minorHAnsi" w:cstheme="minorHAnsi"/>
                <w:snapToGrid w:val="0"/>
                <w:sz w:val="24"/>
                <w:szCs w:val="24"/>
              </w:rPr>
            </w:pPr>
            <w:r w:rsidRPr="00320255">
              <w:rPr>
                <w:rFonts w:asciiTheme="minorHAnsi" w:hAnsiTheme="minorHAnsi" w:cstheme="minorHAnsi"/>
                <w:snapToGrid w:val="0"/>
                <w:sz w:val="24"/>
                <w:szCs w:val="24"/>
              </w:rPr>
              <w:t xml:space="preserve">2) </w:t>
            </w:r>
            <w:r w:rsidR="001466A3" w:rsidRPr="001466A3">
              <w:rPr>
                <w:rFonts w:asciiTheme="minorHAnsi" w:hAnsiTheme="minorHAnsi" w:cstheme="minorHAnsi"/>
                <w:snapToGrid w:val="0"/>
                <w:sz w:val="24"/>
                <w:szCs w:val="24"/>
              </w:rPr>
              <w:t>2023ko ekitaldietan eta hurrengoetan, gastu konputagarritik eta zor bizitik kanpo geratuko da kontratistari ordaindutako kontraprestazioaren zatia, inbertsioari lotutako mailegu egotziari dagokiona, bi egoitzen multzoan, amortizazio-taularen arabera.</w:t>
            </w:r>
          </w:p>
          <w:p w14:paraId="048A9136" w14:textId="77777777" w:rsidR="006B6DCA" w:rsidRDefault="006B6DCA" w:rsidP="00A475DB">
            <w:pPr>
              <w:ind w:right="57"/>
              <w:jc w:val="both"/>
              <w:rPr>
                <w:rFonts w:asciiTheme="minorHAnsi" w:hAnsiTheme="minorHAnsi" w:cstheme="minorHAnsi"/>
                <w:snapToGrid w:val="0"/>
                <w:sz w:val="24"/>
                <w:szCs w:val="24"/>
              </w:rPr>
            </w:pPr>
          </w:p>
          <w:p w14:paraId="4A926752" w14:textId="599D2D40" w:rsidR="00320255" w:rsidRDefault="00320255" w:rsidP="00A475DB">
            <w:pPr>
              <w:ind w:right="57"/>
              <w:jc w:val="both"/>
              <w:rPr>
                <w:rFonts w:asciiTheme="minorHAnsi" w:hAnsiTheme="minorHAnsi" w:cstheme="minorHAnsi"/>
                <w:snapToGrid w:val="0"/>
                <w:sz w:val="24"/>
                <w:szCs w:val="24"/>
              </w:rPr>
            </w:pPr>
            <w:r w:rsidRPr="00320255">
              <w:rPr>
                <w:rFonts w:asciiTheme="minorHAnsi" w:hAnsiTheme="minorHAnsi" w:cstheme="minorHAnsi"/>
                <w:snapToGrid w:val="0"/>
                <w:sz w:val="24"/>
                <w:szCs w:val="24"/>
              </w:rPr>
              <w:t>Aurrekoaren arabera, 2022/12/31n ezarritako zor publikoaren banakapena honela geratuko litzateke:</w:t>
            </w:r>
          </w:p>
          <w:p w14:paraId="7D265938" w14:textId="79DC96D3" w:rsidR="00320255" w:rsidRPr="008E7FCC" w:rsidRDefault="00320255" w:rsidP="00320255">
            <w:pPr>
              <w:numPr>
                <w:ilvl w:val="0"/>
                <w:numId w:val="17"/>
              </w:numPr>
              <w:spacing w:before="120" w:after="120"/>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Foru Aldundia: </w:t>
            </w:r>
            <w:r>
              <w:rPr>
                <w:rFonts w:asciiTheme="minorHAnsi" w:hAnsiTheme="minorHAnsi" w:cstheme="minorHAnsi"/>
                <w:snapToGrid w:val="0"/>
                <w:sz w:val="24"/>
                <w:szCs w:val="24"/>
              </w:rPr>
              <w:t>586.217.419,55</w:t>
            </w:r>
            <w:r w:rsidRPr="008E7FCC">
              <w:rPr>
                <w:rFonts w:asciiTheme="minorHAnsi" w:hAnsiTheme="minorHAnsi" w:cstheme="minorHAnsi"/>
                <w:snapToGrid w:val="0"/>
                <w:sz w:val="24"/>
                <w:szCs w:val="24"/>
              </w:rPr>
              <w:t xml:space="preserve"> euro</w:t>
            </w:r>
          </w:p>
          <w:p w14:paraId="4339B546" w14:textId="77777777" w:rsidR="00320255" w:rsidRPr="008E7FCC" w:rsidRDefault="00320255" w:rsidP="00320255">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 Garapen Agentzia SA: </w:t>
            </w:r>
            <w:r>
              <w:rPr>
                <w:rFonts w:asciiTheme="minorHAnsi" w:hAnsiTheme="minorHAnsi" w:cstheme="minorHAnsi"/>
                <w:snapToGrid w:val="0"/>
                <w:sz w:val="24"/>
                <w:szCs w:val="24"/>
              </w:rPr>
              <w:t>1.829.272,12</w:t>
            </w:r>
            <w:r w:rsidRPr="008E7FCC">
              <w:rPr>
                <w:rFonts w:asciiTheme="minorHAnsi" w:hAnsiTheme="minorHAnsi" w:cstheme="minorHAnsi"/>
                <w:snapToGrid w:val="0"/>
                <w:sz w:val="24"/>
                <w:szCs w:val="24"/>
              </w:rPr>
              <w:t xml:space="preserve"> euro</w:t>
            </w:r>
          </w:p>
          <w:p w14:paraId="3B213724" w14:textId="77777777" w:rsidR="00320255" w:rsidRDefault="00320255" w:rsidP="00A475DB">
            <w:pPr>
              <w:ind w:right="57"/>
              <w:jc w:val="both"/>
              <w:rPr>
                <w:rFonts w:asciiTheme="minorHAnsi" w:hAnsiTheme="minorHAnsi" w:cstheme="minorHAnsi"/>
                <w:snapToGrid w:val="0"/>
                <w:sz w:val="24"/>
                <w:szCs w:val="24"/>
              </w:rPr>
            </w:pPr>
          </w:p>
          <w:p w14:paraId="0B59BFA9" w14:textId="77777777" w:rsidR="00320255" w:rsidRDefault="00320255" w:rsidP="00A475DB">
            <w:pPr>
              <w:ind w:right="57"/>
              <w:jc w:val="both"/>
              <w:rPr>
                <w:rFonts w:asciiTheme="minorHAnsi" w:hAnsiTheme="minorHAnsi" w:cstheme="minorHAnsi"/>
                <w:snapToGrid w:val="0"/>
                <w:sz w:val="24"/>
                <w:szCs w:val="24"/>
              </w:rPr>
            </w:pPr>
          </w:p>
          <w:p w14:paraId="473D1A20" w14:textId="77777777" w:rsidR="00320255" w:rsidRDefault="00320255" w:rsidP="00A475DB">
            <w:pPr>
              <w:ind w:right="57"/>
              <w:jc w:val="both"/>
              <w:rPr>
                <w:rFonts w:asciiTheme="minorHAnsi" w:hAnsiTheme="minorHAnsi" w:cstheme="minorHAnsi"/>
                <w:snapToGrid w:val="0"/>
                <w:sz w:val="24"/>
                <w:szCs w:val="24"/>
              </w:rPr>
            </w:pPr>
          </w:p>
          <w:p w14:paraId="3D779F50" w14:textId="221E7605" w:rsidR="00E81B9E" w:rsidRDefault="00E81B9E" w:rsidP="00A475DB">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sektore publikoaren </w:t>
            </w:r>
            <w:r w:rsidR="00F14225" w:rsidRPr="008E7FCC">
              <w:rPr>
                <w:rFonts w:asciiTheme="minorHAnsi" w:hAnsiTheme="minorHAnsi" w:cstheme="minorHAnsi"/>
                <w:snapToGrid w:val="0"/>
                <w:sz w:val="24"/>
                <w:szCs w:val="24"/>
              </w:rPr>
              <w:t>zor publikoaren munta osoa, EKS</w:t>
            </w:r>
            <w:r w:rsidRPr="008E7FCC">
              <w:rPr>
                <w:rFonts w:asciiTheme="minorHAnsi" w:hAnsiTheme="minorHAnsi" w:cstheme="minorHAnsi"/>
                <w:snapToGrid w:val="0"/>
                <w:sz w:val="24"/>
                <w:szCs w:val="24"/>
              </w:rPr>
              <w:t xml:space="preserve"> terminoetan eta 20</w:t>
            </w:r>
            <w:r w:rsidR="00DE5031">
              <w:rPr>
                <w:rFonts w:asciiTheme="minorHAnsi" w:hAnsiTheme="minorHAnsi" w:cstheme="minorHAnsi"/>
                <w:snapToGrid w:val="0"/>
                <w:sz w:val="24"/>
                <w:szCs w:val="24"/>
              </w:rPr>
              <w:t>2</w:t>
            </w:r>
            <w:r w:rsidR="00320255">
              <w:rPr>
                <w:rFonts w:asciiTheme="minorHAnsi" w:hAnsiTheme="minorHAnsi" w:cstheme="minorHAnsi"/>
                <w:snapToGrid w:val="0"/>
                <w:sz w:val="24"/>
                <w:szCs w:val="24"/>
              </w:rPr>
              <w:t>2</w:t>
            </w:r>
            <w:r w:rsidR="00740837" w:rsidRPr="008E7FCC">
              <w:rPr>
                <w:rFonts w:asciiTheme="minorHAnsi" w:hAnsiTheme="minorHAnsi" w:cstheme="minorHAnsi"/>
                <w:snapToGrid w:val="0"/>
                <w:sz w:val="24"/>
                <w:szCs w:val="24"/>
              </w:rPr>
              <w:t>k</w:t>
            </w:r>
            <w:r w:rsidRPr="008E7FCC">
              <w:rPr>
                <w:rFonts w:asciiTheme="minorHAnsi" w:hAnsiTheme="minorHAnsi" w:cstheme="minorHAnsi"/>
                <w:snapToGrid w:val="0"/>
                <w:sz w:val="24"/>
                <w:szCs w:val="24"/>
              </w:rPr>
              <w:t>o abenduaren 31n, ondoko hau izango da:</w:t>
            </w:r>
          </w:p>
          <w:p w14:paraId="6A87400F" w14:textId="77777777" w:rsidR="00A475DB" w:rsidRPr="008E7FCC" w:rsidRDefault="00A475DB" w:rsidP="00A475DB">
            <w:pPr>
              <w:ind w:right="57"/>
              <w:jc w:val="both"/>
              <w:rPr>
                <w:rFonts w:asciiTheme="minorHAnsi" w:hAnsiTheme="minorHAnsi" w:cstheme="minorHAnsi"/>
                <w:snapToGrid w:val="0"/>
                <w:sz w:val="24"/>
                <w:szCs w:val="24"/>
              </w:rPr>
            </w:pPr>
          </w:p>
          <w:p w14:paraId="3127879F" w14:textId="7D33B92B" w:rsidR="002719EC" w:rsidRPr="008E7FCC" w:rsidRDefault="00320255" w:rsidP="00A475DB">
            <w:pPr>
              <w:ind w:right="57"/>
              <w:jc w:val="center"/>
              <w:rPr>
                <w:rFonts w:asciiTheme="minorHAnsi" w:hAnsiTheme="minorHAnsi" w:cstheme="minorHAnsi"/>
                <w:snapToGrid w:val="0"/>
                <w:sz w:val="24"/>
                <w:szCs w:val="24"/>
              </w:rPr>
            </w:pPr>
            <w:r>
              <w:rPr>
                <w:rFonts w:asciiTheme="minorHAnsi" w:hAnsiTheme="minorHAnsi" w:cstheme="minorHAnsi"/>
                <w:snapToGrid w:val="0"/>
                <w:sz w:val="24"/>
                <w:szCs w:val="24"/>
              </w:rPr>
              <w:t>588.046.691,67</w:t>
            </w:r>
            <w:r w:rsidR="002719EC" w:rsidRPr="008E7FCC">
              <w:rPr>
                <w:rFonts w:asciiTheme="minorHAnsi" w:hAnsiTheme="minorHAnsi" w:cstheme="minorHAnsi"/>
                <w:snapToGrid w:val="0"/>
                <w:sz w:val="24"/>
                <w:szCs w:val="24"/>
              </w:rPr>
              <w:t xml:space="preserve"> euro</w:t>
            </w:r>
          </w:p>
        </w:tc>
        <w:tc>
          <w:tcPr>
            <w:tcW w:w="4605" w:type="dxa"/>
            <w:tcBorders>
              <w:left w:val="single" w:sz="4" w:space="0" w:color="808080"/>
            </w:tcBorders>
            <w:shd w:val="clear" w:color="auto" w:fill="auto"/>
          </w:tcPr>
          <w:p w14:paraId="6A51D0AE" w14:textId="347FF53C" w:rsidR="00061C02" w:rsidRPr="00061C02" w:rsidRDefault="00061C02" w:rsidP="00061C02">
            <w:pPr>
              <w:jc w:val="both"/>
              <w:rPr>
                <w:rFonts w:asciiTheme="minorHAnsi" w:hAnsiTheme="minorHAnsi" w:cstheme="minorHAnsi"/>
                <w:snapToGrid w:val="0"/>
                <w:sz w:val="24"/>
                <w:szCs w:val="24"/>
              </w:rPr>
            </w:pPr>
            <w:r>
              <w:rPr>
                <w:rFonts w:asciiTheme="minorHAnsi" w:hAnsiTheme="minorHAnsi" w:cstheme="minorHAnsi"/>
                <w:snapToGrid w:val="0"/>
                <w:sz w:val="24"/>
                <w:szCs w:val="24"/>
              </w:rPr>
              <w:lastRenderedPageBreak/>
              <w:t>Sin embargo, s</w:t>
            </w:r>
            <w:r w:rsidR="008A1967" w:rsidRPr="008A1967">
              <w:rPr>
                <w:rFonts w:asciiTheme="minorHAnsi" w:hAnsiTheme="minorHAnsi" w:cstheme="minorHAnsi"/>
                <w:snapToGrid w:val="0"/>
                <w:sz w:val="24"/>
                <w:szCs w:val="24"/>
              </w:rPr>
              <w:t>egún comunicación de la IGAE de fecha 27/01/2023,</w:t>
            </w:r>
            <w:r w:rsidR="008A1967">
              <w:rPr>
                <w:rFonts w:asciiTheme="minorHAnsi" w:hAnsiTheme="minorHAnsi" w:cstheme="minorHAnsi"/>
                <w:snapToGrid w:val="0"/>
                <w:sz w:val="24"/>
                <w:szCs w:val="24"/>
              </w:rPr>
              <w:t xml:space="preserve"> </w:t>
            </w:r>
            <w:r w:rsidRPr="00061C02">
              <w:rPr>
                <w:rFonts w:asciiTheme="minorHAnsi" w:hAnsiTheme="minorHAnsi" w:cstheme="minorHAnsi"/>
                <w:snapToGrid w:val="0"/>
                <w:sz w:val="24"/>
                <w:szCs w:val="24"/>
              </w:rPr>
              <w:t xml:space="preserve">sobre el análisis realizado de los contratos de redacción de proyecto, construcción y conservación de una residencia para personas mayores en el barrio de Abetxuko, y de una residencia en el barrio de Lakua, considera que ambos contratos constituyen Asociaciones Público-Privadas de acuerdo al Sistema Europeo de Cuentas (SEC) (Reglamento nº 549/2013) y al Manual de Eurostat para el déficit y endeudamiento públicos, y que, en </w:t>
            </w:r>
            <w:r w:rsidRPr="00061C02">
              <w:rPr>
                <w:rFonts w:asciiTheme="minorHAnsi" w:hAnsiTheme="minorHAnsi" w:cstheme="minorHAnsi"/>
                <w:snapToGrid w:val="0"/>
                <w:sz w:val="24"/>
                <w:szCs w:val="24"/>
              </w:rPr>
              <w:lastRenderedPageBreak/>
              <w:t xml:space="preserve">consecuencia, el propietario económico de los activos es la administración contratante, esto es, Diputación Foral de Álava. </w:t>
            </w:r>
          </w:p>
          <w:p w14:paraId="5FBF945A" w14:textId="77777777" w:rsidR="00061C02" w:rsidRPr="00061C02" w:rsidRDefault="00061C02" w:rsidP="00061C02">
            <w:pPr>
              <w:jc w:val="both"/>
              <w:rPr>
                <w:rFonts w:asciiTheme="minorHAnsi" w:hAnsiTheme="minorHAnsi" w:cstheme="minorHAnsi"/>
                <w:snapToGrid w:val="0"/>
                <w:sz w:val="24"/>
                <w:szCs w:val="24"/>
              </w:rPr>
            </w:pPr>
          </w:p>
          <w:p w14:paraId="53AB252C" w14:textId="2472F5FD" w:rsidR="00061C02" w:rsidRPr="00061C02" w:rsidRDefault="00061C02" w:rsidP="00061C02">
            <w:pPr>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Dado que en ambos contratos la inversión se encuentra plenamente ejecutada, y durante varios ejercicios ya se han ido satisfaciendo contraprestaciones al contratista, el ajuste propuesto por la IGAE es el registro de la inversión pendiente amortizar, que asciende en 2022 a 1</w:t>
            </w:r>
            <w:r>
              <w:rPr>
                <w:rFonts w:asciiTheme="minorHAnsi" w:hAnsiTheme="minorHAnsi" w:cstheme="minorHAnsi"/>
                <w:snapToGrid w:val="0"/>
                <w:sz w:val="24"/>
                <w:szCs w:val="24"/>
              </w:rPr>
              <w:t xml:space="preserve">8.054.391,63 </w:t>
            </w:r>
            <w:r w:rsidRPr="00061C02">
              <w:rPr>
                <w:rFonts w:asciiTheme="minorHAnsi" w:hAnsiTheme="minorHAnsi" w:cstheme="minorHAnsi"/>
                <w:snapToGrid w:val="0"/>
                <w:sz w:val="24"/>
                <w:szCs w:val="24"/>
              </w:rPr>
              <w:t xml:space="preserve">euros para el conjunto de las dos residencias. </w:t>
            </w:r>
          </w:p>
          <w:p w14:paraId="67BDF913" w14:textId="77777777" w:rsidR="00061C02" w:rsidRPr="00061C02" w:rsidRDefault="00061C02" w:rsidP="00061C02">
            <w:pPr>
              <w:jc w:val="both"/>
              <w:rPr>
                <w:rFonts w:asciiTheme="minorHAnsi" w:hAnsiTheme="minorHAnsi" w:cstheme="minorHAnsi"/>
                <w:snapToGrid w:val="0"/>
                <w:sz w:val="24"/>
                <w:szCs w:val="24"/>
              </w:rPr>
            </w:pPr>
          </w:p>
          <w:p w14:paraId="7E0943E9" w14:textId="77777777" w:rsidR="00061C02" w:rsidRPr="00061C02" w:rsidRDefault="00061C02" w:rsidP="00061C02">
            <w:pPr>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 xml:space="preserve">Por tanto, se producen los siguientes efectos en el déficit y la deuda viva: </w:t>
            </w:r>
          </w:p>
          <w:p w14:paraId="447F4512" w14:textId="77777777" w:rsidR="00061C02" w:rsidRPr="00061C02" w:rsidRDefault="00061C02" w:rsidP="00061C02">
            <w:pPr>
              <w:jc w:val="both"/>
              <w:rPr>
                <w:rFonts w:asciiTheme="minorHAnsi" w:hAnsiTheme="minorHAnsi" w:cstheme="minorHAnsi"/>
                <w:snapToGrid w:val="0"/>
                <w:sz w:val="24"/>
                <w:szCs w:val="24"/>
              </w:rPr>
            </w:pPr>
          </w:p>
          <w:p w14:paraId="61898E17" w14:textId="42AD9F15" w:rsidR="00061C02" w:rsidRPr="00061C02" w:rsidRDefault="00061C02" w:rsidP="00061C02">
            <w:pPr>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1)</w:t>
            </w:r>
            <w:r>
              <w:rPr>
                <w:rFonts w:asciiTheme="minorHAnsi" w:hAnsiTheme="minorHAnsi" w:cstheme="minorHAnsi"/>
                <w:snapToGrid w:val="0"/>
                <w:sz w:val="24"/>
                <w:szCs w:val="24"/>
              </w:rPr>
              <w:tab/>
            </w:r>
            <w:r w:rsidRPr="00061C02">
              <w:rPr>
                <w:rFonts w:asciiTheme="minorHAnsi" w:hAnsiTheme="minorHAnsi" w:cstheme="minorHAnsi"/>
                <w:snapToGrid w:val="0"/>
                <w:sz w:val="24"/>
                <w:szCs w:val="24"/>
              </w:rPr>
              <w:t xml:space="preserve">Ejercicio 2022: un aumento del déficit por 18,05 millones de euros como ajuste aplicado al saldo presupuestario inicial, y un aumento de la deuda viva por el mismo importe. </w:t>
            </w:r>
          </w:p>
          <w:p w14:paraId="59D14D9D" w14:textId="77777777" w:rsidR="00061C02" w:rsidRPr="00061C02" w:rsidRDefault="00061C02" w:rsidP="00061C02">
            <w:pPr>
              <w:rPr>
                <w:snapToGrid w:val="0"/>
              </w:rPr>
            </w:pPr>
          </w:p>
          <w:p w14:paraId="0C0E702F" w14:textId="7F6B76D0" w:rsidR="008A1967" w:rsidRDefault="00061C02" w:rsidP="00061C02">
            <w:pPr>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2)</w:t>
            </w:r>
            <w:r w:rsidRPr="00061C02">
              <w:rPr>
                <w:rFonts w:asciiTheme="minorHAnsi" w:hAnsiTheme="minorHAnsi" w:cstheme="minorHAnsi"/>
                <w:snapToGrid w:val="0"/>
                <w:sz w:val="24"/>
                <w:szCs w:val="24"/>
              </w:rPr>
              <w:tab/>
              <w:t>Ejercicios 2023</w:t>
            </w:r>
            <w:r w:rsidR="00185190">
              <w:rPr>
                <w:rFonts w:asciiTheme="minorHAnsi" w:hAnsiTheme="minorHAnsi" w:cstheme="minorHAnsi"/>
                <w:snapToGrid w:val="0"/>
                <w:sz w:val="24"/>
                <w:szCs w:val="24"/>
              </w:rPr>
              <w:t xml:space="preserve"> </w:t>
            </w:r>
            <w:r w:rsidRPr="00061C02">
              <w:rPr>
                <w:rFonts w:asciiTheme="minorHAnsi" w:hAnsiTheme="minorHAnsi" w:cstheme="minorHAnsi"/>
                <w:snapToGrid w:val="0"/>
                <w:sz w:val="24"/>
                <w:szCs w:val="24"/>
              </w:rPr>
              <w:t xml:space="preserve"> y sucesivos, se excluirá del gasto computable</w:t>
            </w:r>
            <w:r w:rsidR="001466A3">
              <w:rPr>
                <w:rFonts w:asciiTheme="minorHAnsi" w:hAnsiTheme="minorHAnsi" w:cstheme="minorHAnsi"/>
                <w:snapToGrid w:val="0"/>
                <w:sz w:val="24"/>
                <w:szCs w:val="24"/>
              </w:rPr>
              <w:t xml:space="preserve"> y de la deuda viva, </w:t>
            </w:r>
            <w:r w:rsidRPr="00061C02">
              <w:rPr>
                <w:rFonts w:asciiTheme="minorHAnsi" w:hAnsiTheme="minorHAnsi" w:cstheme="minorHAnsi"/>
                <w:snapToGrid w:val="0"/>
                <w:sz w:val="24"/>
                <w:szCs w:val="24"/>
              </w:rPr>
              <w:t>la parte de la contraprestación satisfecha al contratista que corresponda al préstamo imputado asociado a la inversión, en el conjunto de las dos residencias</w:t>
            </w:r>
            <w:r w:rsidR="00185190">
              <w:rPr>
                <w:rFonts w:asciiTheme="minorHAnsi" w:hAnsiTheme="minorHAnsi" w:cstheme="minorHAnsi"/>
                <w:snapToGrid w:val="0"/>
                <w:sz w:val="24"/>
                <w:szCs w:val="24"/>
              </w:rPr>
              <w:t xml:space="preserve"> de acuerdo al cuadro de amortización.</w:t>
            </w:r>
          </w:p>
          <w:p w14:paraId="3D792819" w14:textId="77777777" w:rsidR="008A1967" w:rsidRDefault="008A1967" w:rsidP="00A475DB">
            <w:pPr>
              <w:jc w:val="both"/>
              <w:rPr>
                <w:rFonts w:asciiTheme="minorHAnsi" w:hAnsiTheme="minorHAnsi" w:cstheme="minorHAnsi"/>
                <w:snapToGrid w:val="0"/>
                <w:sz w:val="24"/>
                <w:szCs w:val="24"/>
              </w:rPr>
            </w:pPr>
          </w:p>
          <w:p w14:paraId="0CC1F1F6" w14:textId="77777777" w:rsidR="00061C02" w:rsidRDefault="00061C02" w:rsidP="00A475DB">
            <w:pPr>
              <w:jc w:val="both"/>
              <w:rPr>
                <w:rFonts w:asciiTheme="minorHAnsi" w:hAnsiTheme="minorHAnsi" w:cstheme="minorHAnsi"/>
                <w:snapToGrid w:val="0"/>
                <w:sz w:val="24"/>
                <w:szCs w:val="24"/>
              </w:rPr>
            </w:pPr>
            <w:r>
              <w:rPr>
                <w:rFonts w:asciiTheme="minorHAnsi" w:hAnsiTheme="minorHAnsi" w:cstheme="minorHAnsi"/>
                <w:snapToGrid w:val="0"/>
                <w:sz w:val="24"/>
                <w:szCs w:val="24"/>
              </w:rPr>
              <w:t>De acuerdo con lo anterior, el desglose de Deuda Pública dispuesta a 31/12/2022 quedaría:</w:t>
            </w:r>
          </w:p>
          <w:p w14:paraId="2D631E0E" w14:textId="62870237" w:rsidR="00061C02" w:rsidRPr="008E7FCC" w:rsidRDefault="00061C02" w:rsidP="00061C02">
            <w:pPr>
              <w:numPr>
                <w:ilvl w:val="0"/>
                <w:numId w:val="17"/>
              </w:numPr>
              <w:spacing w:before="120" w:after="120"/>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Diputación Foral de Álava: </w:t>
            </w:r>
            <w:r>
              <w:rPr>
                <w:rFonts w:asciiTheme="minorHAnsi" w:hAnsiTheme="minorHAnsi" w:cstheme="minorHAnsi"/>
                <w:snapToGrid w:val="0"/>
                <w:sz w:val="24"/>
                <w:szCs w:val="24"/>
              </w:rPr>
              <w:t>586.217.419,55</w:t>
            </w:r>
            <w:r w:rsidRPr="008E7FCC">
              <w:rPr>
                <w:rFonts w:asciiTheme="minorHAnsi" w:hAnsiTheme="minorHAnsi" w:cstheme="minorHAnsi"/>
                <w:snapToGrid w:val="0"/>
                <w:sz w:val="24"/>
                <w:szCs w:val="24"/>
              </w:rPr>
              <w:t xml:space="preserve"> euros</w:t>
            </w:r>
          </w:p>
          <w:p w14:paraId="4E84D5ED" w14:textId="77777777" w:rsidR="00061C02" w:rsidRPr="008E7FCC" w:rsidRDefault="00061C02" w:rsidP="00061C02">
            <w:pPr>
              <w:numPr>
                <w:ilvl w:val="0"/>
                <w:numId w:val="17"/>
              </w:numPr>
              <w:spacing w:before="120" w:after="120"/>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Álava Agencia de Desarrollo S.A.: </w:t>
            </w:r>
            <w:r>
              <w:rPr>
                <w:rFonts w:asciiTheme="minorHAnsi" w:hAnsiTheme="minorHAnsi" w:cstheme="minorHAnsi"/>
                <w:snapToGrid w:val="0"/>
                <w:sz w:val="24"/>
                <w:szCs w:val="24"/>
              </w:rPr>
              <w:t>1.829.272,12</w:t>
            </w:r>
            <w:r w:rsidRPr="008E7FCC">
              <w:rPr>
                <w:rFonts w:asciiTheme="minorHAnsi" w:hAnsiTheme="minorHAnsi" w:cstheme="minorHAnsi"/>
                <w:snapToGrid w:val="0"/>
                <w:sz w:val="24"/>
                <w:szCs w:val="24"/>
              </w:rPr>
              <w:t xml:space="preserve"> euros</w:t>
            </w:r>
          </w:p>
          <w:p w14:paraId="56F7A2B3" w14:textId="77777777" w:rsidR="00061C02" w:rsidRDefault="00061C02" w:rsidP="00A475DB">
            <w:pPr>
              <w:jc w:val="both"/>
              <w:rPr>
                <w:rFonts w:asciiTheme="minorHAnsi" w:hAnsiTheme="minorHAnsi" w:cstheme="minorHAnsi"/>
                <w:snapToGrid w:val="0"/>
                <w:sz w:val="24"/>
                <w:szCs w:val="24"/>
              </w:rPr>
            </w:pPr>
          </w:p>
          <w:p w14:paraId="557840B3" w14:textId="77777777" w:rsidR="00061C02" w:rsidRDefault="00061C02" w:rsidP="00A475DB">
            <w:pPr>
              <w:jc w:val="both"/>
              <w:rPr>
                <w:rFonts w:asciiTheme="minorHAnsi" w:hAnsiTheme="minorHAnsi" w:cstheme="minorHAnsi"/>
                <w:snapToGrid w:val="0"/>
                <w:sz w:val="24"/>
                <w:szCs w:val="24"/>
              </w:rPr>
            </w:pPr>
          </w:p>
          <w:p w14:paraId="74F81709" w14:textId="1908A7D0" w:rsidR="006B6DCA" w:rsidRDefault="006B6DCA" w:rsidP="006B6DCA">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El total de Deuda Pública del Sector Público Foral de Álava, en términos SEC, a 31 de diciembre de 20</w:t>
            </w:r>
            <w:r>
              <w:rPr>
                <w:rFonts w:asciiTheme="minorHAnsi" w:hAnsiTheme="minorHAnsi" w:cstheme="minorHAnsi"/>
                <w:snapToGrid w:val="0"/>
                <w:sz w:val="24"/>
                <w:szCs w:val="24"/>
              </w:rPr>
              <w:t>22</w:t>
            </w:r>
            <w:r w:rsidRPr="008E7FCC">
              <w:rPr>
                <w:rFonts w:asciiTheme="minorHAnsi" w:hAnsiTheme="minorHAnsi" w:cstheme="minorHAnsi"/>
                <w:snapToGrid w:val="0"/>
                <w:sz w:val="24"/>
                <w:szCs w:val="24"/>
              </w:rPr>
              <w:t xml:space="preserve"> es de:</w:t>
            </w:r>
          </w:p>
          <w:p w14:paraId="5CAD90A0" w14:textId="4453A52D" w:rsidR="00A475DB" w:rsidRDefault="00A475DB" w:rsidP="00A475DB">
            <w:pPr>
              <w:jc w:val="both"/>
              <w:rPr>
                <w:rFonts w:asciiTheme="minorHAnsi" w:hAnsiTheme="minorHAnsi" w:cstheme="minorHAnsi"/>
                <w:snapToGrid w:val="0"/>
                <w:sz w:val="24"/>
                <w:szCs w:val="24"/>
              </w:rPr>
            </w:pPr>
          </w:p>
          <w:p w14:paraId="57F4813E" w14:textId="77777777" w:rsidR="00320255" w:rsidRPr="008E7FCC" w:rsidRDefault="00320255" w:rsidP="00A475DB">
            <w:pPr>
              <w:jc w:val="both"/>
              <w:rPr>
                <w:rFonts w:asciiTheme="minorHAnsi" w:hAnsiTheme="minorHAnsi" w:cstheme="minorHAnsi"/>
                <w:snapToGrid w:val="0"/>
                <w:sz w:val="24"/>
                <w:szCs w:val="24"/>
              </w:rPr>
            </w:pPr>
          </w:p>
          <w:p w14:paraId="65C800EC" w14:textId="79EA9F8A" w:rsidR="00E81B9E" w:rsidRPr="008E7FCC" w:rsidRDefault="00DE5031" w:rsidP="00A475DB">
            <w:pPr>
              <w:jc w:val="center"/>
              <w:rPr>
                <w:rFonts w:asciiTheme="minorHAnsi" w:hAnsiTheme="minorHAnsi" w:cstheme="minorHAnsi"/>
                <w:sz w:val="24"/>
                <w:szCs w:val="24"/>
              </w:rPr>
            </w:pPr>
            <w:r>
              <w:rPr>
                <w:rFonts w:asciiTheme="minorHAnsi" w:hAnsiTheme="minorHAnsi" w:cstheme="minorHAnsi"/>
                <w:snapToGrid w:val="0"/>
                <w:sz w:val="24"/>
                <w:szCs w:val="24"/>
              </w:rPr>
              <w:t>5</w:t>
            </w:r>
            <w:r w:rsidR="006B6DCA">
              <w:rPr>
                <w:rFonts w:asciiTheme="minorHAnsi" w:hAnsiTheme="minorHAnsi" w:cstheme="minorHAnsi"/>
                <w:snapToGrid w:val="0"/>
                <w:sz w:val="24"/>
                <w:szCs w:val="24"/>
              </w:rPr>
              <w:t>88.046.691,67</w:t>
            </w:r>
            <w:r w:rsidR="00162935" w:rsidRPr="008E7FCC">
              <w:rPr>
                <w:rFonts w:asciiTheme="minorHAnsi" w:hAnsiTheme="minorHAnsi" w:cstheme="minorHAnsi"/>
                <w:snapToGrid w:val="0"/>
                <w:sz w:val="24"/>
                <w:szCs w:val="24"/>
              </w:rPr>
              <w:t xml:space="preserve"> </w:t>
            </w:r>
            <w:r w:rsidR="00E81B9E" w:rsidRPr="008E7FCC">
              <w:rPr>
                <w:rFonts w:asciiTheme="minorHAnsi" w:hAnsiTheme="minorHAnsi" w:cstheme="minorHAnsi"/>
                <w:snapToGrid w:val="0"/>
                <w:sz w:val="24"/>
                <w:szCs w:val="24"/>
              </w:rPr>
              <w:t>euros.</w:t>
            </w:r>
          </w:p>
        </w:tc>
      </w:tr>
      <w:tr w:rsidR="00E81B9E" w:rsidRPr="008E7FCC" w14:paraId="5EF89A1D" w14:textId="77777777" w:rsidTr="005133A3">
        <w:tc>
          <w:tcPr>
            <w:tcW w:w="4605" w:type="dxa"/>
            <w:tcBorders>
              <w:right w:val="single" w:sz="4" w:space="0" w:color="808080"/>
            </w:tcBorders>
            <w:shd w:val="clear" w:color="auto" w:fill="auto"/>
          </w:tcPr>
          <w:p w14:paraId="0E6D2FB8" w14:textId="77777777" w:rsidR="00A475DB" w:rsidRDefault="00A475DB" w:rsidP="00A475DB">
            <w:pPr>
              <w:ind w:right="57"/>
              <w:jc w:val="both"/>
              <w:rPr>
                <w:rFonts w:asciiTheme="minorHAnsi" w:hAnsiTheme="minorHAnsi" w:cstheme="minorHAnsi"/>
                <w:snapToGrid w:val="0"/>
                <w:sz w:val="24"/>
                <w:szCs w:val="24"/>
              </w:rPr>
            </w:pPr>
          </w:p>
          <w:p w14:paraId="6980BEED" w14:textId="77777777" w:rsidR="00A475DB" w:rsidRDefault="00A475DB" w:rsidP="00A475DB">
            <w:pPr>
              <w:ind w:right="57"/>
              <w:jc w:val="both"/>
              <w:rPr>
                <w:rFonts w:asciiTheme="minorHAnsi" w:hAnsiTheme="minorHAnsi" w:cstheme="minorHAnsi"/>
                <w:snapToGrid w:val="0"/>
                <w:sz w:val="24"/>
                <w:szCs w:val="24"/>
              </w:rPr>
            </w:pPr>
          </w:p>
          <w:p w14:paraId="37A79F41" w14:textId="776947CA" w:rsidR="00E81B9E" w:rsidRPr="008E7FCC" w:rsidRDefault="00110523" w:rsidP="00A475DB">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Foru sektore publikoaren zorpeketa maila ebaluatzeko balio dezaketen ratio jakin batzuk kalkula daitezke, berbarako sarrera ez finantzarioen</w:t>
            </w:r>
            <w:r w:rsidR="002719EC" w:rsidRPr="008E7FCC">
              <w:rPr>
                <w:rFonts w:asciiTheme="minorHAnsi" w:hAnsiTheme="minorHAnsi" w:cstheme="minorHAnsi"/>
                <w:snapToGrid w:val="0"/>
                <w:sz w:val="24"/>
                <w:szCs w:val="24"/>
              </w:rPr>
              <w:t xml:space="preserve"> </w:t>
            </w:r>
            <w:r w:rsidR="002719EC" w:rsidRPr="008E7FCC">
              <w:rPr>
                <w:rFonts w:asciiTheme="minorHAnsi" w:hAnsiTheme="minorHAnsi" w:cstheme="minorHAnsi"/>
                <w:i/>
                <w:snapToGrid w:val="0"/>
                <w:sz w:val="24"/>
                <w:szCs w:val="24"/>
              </w:rPr>
              <w:t>(</w:t>
            </w:r>
            <w:r w:rsidR="006B6DCA">
              <w:rPr>
                <w:rFonts w:asciiTheme="minorHAnsi" w:hAnsiTheme="minorHAnsi" w:cstheme="minorHAnsi"/>
                <w:i/>
                <w:sz w:val="24"/>
                <w:szCs w:val="24"/>
              </w:rPr>
              <w:t>3.113.359.153,30</w:t>
            </w:r>
            <w:r w:rsidR="002719EC" w:rsidRPr="008E7FCC">
              <w:rPr>
                <w:rFonts w:asciiTheme="minorHAnsi" w:hAnsiTheme="minorHAnsi" w:cstheme="minorHAnsi"/>
                <w:i/>
                <w:snapToGrid w:val="0"/>
                <w:sz w:val="24"/>
                <w:szCs w:val="24"/>
              </w:rPr>
              <w:t xml:space="preserve"> euro)</w:t>
            </w:r>
            <w:r w:rsidRPr="008E7FCC">
              <w:rPr>
                <w:rFonts w:asciiTheme="minorHAnsi" w:hAnsiTheme="minorHAnsi" w:cstheme="minorHAnsi"/>
                <w:snapToGrid w:val="0"/>
                <w:sz w:val="24"/>
                <w:szCs w:val="24"/>
              </w:rPr>
              <w:t xml:space="preserve"> gaineko zorraren portzentaia (Z/SEF</w:t>
            </w:r>
            <w:r w:rsidR="0085624C" w:rsidRPr="008E7FCC">
              <w:rPr>
                <w:rFonts w:asciiTheme="minorHAnsi" w:hAnsiTheme="minorHAnsi" w:cstheme="minorHAnsi"/>
                <w:snapToGrid w:val="0"/>
                <w:sz w:val="24"/>
                <w:szCs w:val="24"/>
              </w:rPr>
              <w:t>)</w:t>
            </w:r>
          </w:p>
        </w:tc>
        <w:tc>
          <w:tcPr>
            <w:tcW w:w="4605" w:type="dxa"/>
            <w:tcBorders>
              <w:left w:val="single" w:sz="4" w:space="0" w:color="808080"/>
            </w:tcBorders>
            <w:shd w:val="clear" w:color="auto" w:fill="auto"/>
          </w:tcPr>
          <w:p w14:paraId="48FE6F6F" w14:textId="77777777" w:rsidR="00A475DB" w:rsidRDefault="00A475DB" w:rsidP="00A475DB">
            <w:pPr>
              <w:jc w:val="both"/>
              <w:rPr>
                <w:rFonts w:asciiTheme="minorHAnsi" w:hAnsiTheme="minorHAnsi" w:cstheme="minorHAnsi"/>
                <w:sz w:val="24"/>
                <w:szCs w:val="24"/>
              </w:rPr>
            </w:pPr>
          </w:p>
          <w:p w14:paraId="37F4E2BC" w14:textId="77777777" w:rsidR="00A475DB" w:rsidRDefault="00A475DB" w:rsidP="00A475DB">
            <w:pPr>
              <w:jc w:val="both"/>
              <w:rPr>
                <w:rFonts w:asciiTheme="minorHAnsi" w:hAnsiTheme="minorHAnsi" w:cstheme="minorHAnsi"/>
                <w:sz w:val="24"/>
                <w:szCs w:val="24"/>
              </w:rPr>
            </w:pPr>
          </w:p>
          <w:p w14:paraId="34954EB1" w14:textId="7B78923D" w:rsidR="00E81B9E" w:rsidRPr="008E7FCC" w:rsidRDefault="00A475DB" w:rsidP="00A475DB">
            <w:pPr>
              <w:jc w:val="both"/>
              <w:rPr>
                <w:rFonts w:asciiTheme="minorHAnsi" w:hAnsiTheme="minorHAnsi" w:cstheme="minorHAnsi"/>
                <w:sz w:val="24"/>
                <w:szCs w:val="24"/>
              </w:rPr>
            </w:pPr>
            <w:r>
              <w:rPr>
                <w:rFonts w:asciiTheme="minorHAnsi" w:hAnsiTheme="minorHAnsi" w:cstheme="minorHAnsi"/>
                <w:sz w:val="24"/>
                <w:szCs w:val="24"/>
              </w:rPr>
              <w:t>S</w:t>
            </w:r>
            <w:r w:rsidR="00110523" w:rsidRPr="008E7FCC">
              <w:rPr>
                <w:rFonts w:asciiTheme="minorHAnsi" w:hAnsiTheme="minorHAnsi" w:cstheme="minorHAnsi"/>
                <w:sz w:val="24"/>
                <w:szCs w:val="24"/>
              </w:rPr>
              <w:t xml:space="preserve">e pueden calcular una serie de ratios que sirvan para evaluar el nivel de endeudamiento del Sector Público Foral, como el porcentaje de la deuda sobre los ingresos no financieros </w:t>
            </w:r>
            <w:r w:rsidR="002719EC" w:rsidRPr="008E7FCC">
              <w:rPr>
                <w:rFonts w:asciiTheme="minorHAnsi" w:hAnsiTheme="minorHAnsi" w:cstheme="minorHAnsi"/>
                <w:sz w:val="24"/>
                <w:szCs w:val="24"/>
              </w:rPr>
              <w:t>(</w:t>
            </w:r>
            <w:r w:rsidR="006B6DCA">
              <w:rPr>
                <w:rFonts w:asciiTheme="minorHAnsi" w:hAnsiTheme="minorHAnsi" w:cstheme="minorHAnsi"/>
                <w:i/>
                <w:iCs/>
                <w:sz w:val="24"/>
                <w:szCs w:val="24"/>
              </w:rPr>
              <w:t>3.113.359.153,30</w:t>
            </w:r>
            <w:r w:rsidR="002719EC" w:rsidRPr="008E7FCC">
              <w:rPr>
                <w:rFonts w:asciiTheme="minorHAnsi" w:hAnsiTheme="minorHAnsi" w:cstheme="minorHAnsi"/>
                <w:i/>
                <w:sz w:val="24"/>
                <w:szCs w:val="24"/>
              </w:rPr>
              <w:t xml:space="preserve"> euros)</w:t>
            </w:r>
            <w:r w:rsidR="002719EC" w:rsidRPr="008E7FCC">
              <w:rPr>
                <w:rFonts w:asciiTheme="minorHAnsi" w:hAnsiTheme="minorHAnsi" w:cstheme="minorHAnsi"/>
                <w:sz w:val="24"/>
                <w:szCs w:val="24"/>
              </w:rPr>
              <w:t xml:space="preserve"> </w:t>
            </w:r>
            <w:r w:rsidR="00110523" w:rsidRPr="008E7FCC">
              <w:rPr>
                <w:rFonts w:asciiTheme="minorHAnsi" w:hAnsiTheme="minorHAnsi" w:cstheme="minorHAnsi"/>
                <w:sz w:val="24"/>
                <w:szCs w:val="24"/>
              </w:rPr>
              <w:t>(D/INF</w:t>
            </w:r>
            <w:r w:rsidR="0085624C" w:rsidRPr="008E7FCC">
              <w:rPr>
                <w:rFonts w:asciiTheme="minorHAnsi" w:hAnsiTheme="minorHAnsi" w:cstheme="minorHAnsi"/>
                <w:sz w:val="24"/>
                <w:szCs w:val="24"/>
              </w:rPr>
              <w:t>)</w:t>
            </w:r>
          </w:p>
        </w:tc>
      </w:tr>
      <w:tr w:rsidR="00110523" w:rsidRPr="008E7FCC" w14:paraId="7D83BE78" w14:textId="77777777" w:rsidTr="005133A3">
        <w:tc>
          <w:tcPr>
            <w:tcW w:w="4605" w:type="dxa"/>
            <w:tcBorders>
              <w:right w:val="single" w:sz="4" w:space="0" w:color="808080"/>
            </w:tcBorders>
            <w:shd w:val="clear" w:color="auto" w:fill="auto"/>
          </w:tcPr>
          <w:p w14:paraId="3819B1C7" w14:textId="77777777" w:rsidR="00A475DB" w:rsidRDefault="00A475DB" w:rsidP="00162935">
            <w:pPr>
              <w:spacing w:before="120" w:after="120"/>
              <w:ind w:right="57"/>
              <w:jc w:val="both"/>
              <w:rPr>
                <w:rFonts w:asciiTheme="minorHAnsi" w:hAnsiTheme="minorHAnsi" w:cstheme="minorHAnsi"/>
                <w:snapToGrid w:val="0"/>
                <w:sz w:val="24"/>
                <w:szCs w:val="24"/>
              </w:rPr>
            </w:pPr>
          </w:p>
          <w:p w14:paraId="023D451F" w14:textId="01F08DD7" w:rsidR="00110523" w:rsidRPr="008E7FCC" w:rsidRDefault="00110523" w:rsidP="00162935">
            <w:pPr>
              <w:spacing w:before="120" w:after="120"/>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/SEF </w:t>
            </w:r>
            <w:r w:rsidR="00581DE1" w:rsidRPr="008E7FCC">
              <w:rPr>
                <w:rFonts w:asciiTheme="minorHAnsi" w:hAnsiTheme="minorHAnsi" w:cstheme="minorHAnsi"/>
                <w:snapToGrid w:val="0"/>
                <w:sz w:val="24"/>
                <w:szCs w:val="24"/>
              </w:rPr>
              <w:t>1</w:t>
            </w:r>
            <w:r w:rsidR="00DE5031">
              <w:rPr>
                <w:rFonts w:asciiTheme="minorHAnsi" w:hAnsiTheme="minorHAnsi" w:cstheme="minorHAnsi"/>
                <w:snapToGrid w:val="0"/>
                <w:sz w:val="24"/>
                <w:szCs w:val="24"/>
              </w:rPr>
              <w:t>8,</w:t>
            </w:r>
            <w:r w:rsidR="006B6DCA">
              <w:rPr>
                <w:rFonts w:asciiTheme="minorHAnsi" w:hAnsiTheme="minorHAnsi" w:cstheme="minorHAnsi"/>
                <w:snapToGrid w:val="0"/>
                <w:sz w:val="24"/>
                <w:szCs w:val="24"/>
              </w:rPr>
              <w:t>89</w:t>
            </w:r>
            <w:r w:rsidRPr="008E7FCC">
              <w:rPr>
                <w:rFonts w:asciiTheme="minorHAnsi" w:hAnsiTheme="minorHAnsi" w:cstheme="minorHAnsi"/>
                <w:snapToGrid w:val="0"/>
                <w:sz w:val="24"/>
                <w:szCs w:val="24"/>
              </w:rPr>
              <w:t>koa da 20</w:t>
            </w:r>
            <w:r w:rsidR="00DE5031">
              <w:rPr>
                <w:rFonts w:asciiTheme="minorHAnsi" w:hAnsiTheme="minorHAnsi" w:cstheme="minorHAnsi"/>
                <w:snapToGrid w:val="0"/>
                <w:sz w:val="24"/>
                <w:szCs w:val="24"/>
              </w:rPr>
              <w:t>2</w:t>
            </w:r>
            <w:r w:rsidR="006B6DCA">
              <w:rPr>
                <w:rFonts w:asciiTheme="minorHAnsi" w:hAnsiTheme="minorHAnsi" w:cstheme="minorHAnsi"/>
                <w:snapToGrid w:val="0"/>
                <w:sz w:val="24"/>
                <w:szCs w:val="24"/>
              </w:rPr>
              <w:t>2</w:t>
            </w:r>
            <w:r w:rsidRPr="008E7FCC">
              <w:rPr>
                <w:rFonts w:asciiTheme="minorHAnsi" w:hAnsiTheme="minorHAnsi" w:cstheme="minorHAnsi"/>
                <w:snapToGrid w:val="0"/>
                <w:sz w:val="24"/>
                <w:szCs w:val="24"/>
              </w:rPr>
              <w:t xml:space="preserve"> urterako</w:t>
            </w:r>
            <w:r w:rsidR="0085624C" w:rsidRPr="008E7FCC">
              <w:rPr>
                <w:rFonts w:asciiTheme="minorHAnsi" w:hAnsiTheme="minorHAnsi" w:cstheme="minorHAnsi"/>
                <w:snapToGrid w:val="0"/>
                <w:sz w:val="24"/>
                <w:szCs w:val="24"/>
              </w:rPr>
              <w:t>.</w:t>
            </w:r>
            <w:r w:rsidR="00207C42" w:rsidRPr="008E7FCC">
              <w:rPr>
                <w:rFonts w:asciiTheme="minorHAnsi" w:hAnsiTheme="minorHAnsi" w:cstheme="minorHAnsi"/>
                <w:snapToGrid w:val="0"/>
                <w:sz w:val="24"/>
                <w:szCs w:val="24"/>
              </w:rPr>
              <w:t>( 20</w:t>
            </w:r>
            <w:r w:rsidR="00DE5031">
              <w:rPr>
                <w:rFonts w:asciiTheme="minorHAnsi" w:hAnsiTheme="minorHAnsi" w:cstheme="minorHAnsi"/>
                <w:snapToGrid w:val="0"/>
                <w:sz w:val="24"/>
                <w:szCs w:val="24"/>
              </w:rPr>
              <w:t>2</w:t>
            </w:r>
            <w:r w:rsidR="006B6DCA">
              <w:rPr>
                <w:rFonts w:asciiTheme="minorHAnsi" w:hAnsiTheme="minorHAnsi" w:cstheme="minorHAnsi"/>
                <w:snapToGrid w:val="0"/>
                <w:sz w:val="24"/>
                <w:szCs w:val="24"/>
              </w:rPr>
              <w:t>1e</w:t>
            </w:r>
            <w:r w:rsidR="00207C42" w:rsidRPr="008E7FCC">
              <w:rPr>
                <w:rFonts w:asciiTheme="minorHAnsi" w:hAnsiTheme="minorHAnsi" w:cstheme="minorHAnsi"/>
                <w:snapToGrid w:val="0"/>
                <w:sz w:val="24"/>
                <w:szCs w:val="24"/>
              </w:rPr>
              <w:t xml:space="preserve">an </w:t>
            </w:r>
            <w:r w:rsidR="00581DE1" w:rsidRPr="008E7FCC">
              <w:rPr>
                <w:rFonts w:asciiTheme="minorHAnsi" w:hAnsiTheme="minorHAnsi" w:cstheme="minorHAnsi"/>
                <w:snapToGrid w:val="0"/>
                <w:sz w:val="24"/>
                <w:szCs w:val="24"/>
              </w:rPr>
              <w:t>1</w:t>
            </w:r>
            <w:r w:rsidR="006B6DCA">
              <w:rPr>
                <w:rFonts w:asciiTheme="minorHAnsi" w:hAnsiTheme="minorHAnsi" w:cstheme="minorHAnsi"/>
                <w:snapToGrid w:val="0"/>
                <w:sz w:val="24"/>
                <w:szCs w:val="24"/>
              </w:rPr>
              <w:t>8,13</w:t>
            </w:r>
            <w:r w:rsidR="00207C42" w:rsidRPr="008E7FCC">
              <w:rPr>
                <w:rFonts w:asciiTheme="minorHAnsi" w:hAnsiTheme="minorHAnsi" w:cstheme="minorHAnsi"/>
                <w:snapToGrid w:val="0"/>
                <w:sz w:val="24"/>
                <w:szCs w:val="24"/>
              </w:rPr>
              <w:t>ko izan zen)</w:t>
            </w:r>
          </w:p>
        </w:tc>
        <w:tc>
          <w:tcPr>
            <w:tcW w:w="4605" w:type="dxa"/>
            <w:tcBorders>
              <w:left w:val="single" w:sz="4" w:space="0" w:color="808080"/>
            </w:tcBorders>
            <w:shd w:val="clear" w:color="auto" w:fill="auto"/>
          </w:tcPr>
          <w:p w14:paraId="50B77FA8" w14:textId="77777777" w:rsidR="00A475DB" w:rsidRDefault="00A475DB" w:rsidP="00162935">
            <w:pPr>
              <w:spacing w:before="120" w:after="120"/>
              <w:jc w:val="both"/>
              <w:rPr>
                <w:rFonts w:asciiTheme="minorHAnsi" w:hAnsiTheme="minorHAnsi" w:cstheme="minorHAnsi"/>
                <w:sz w:val="24"/>
                <w:szCs w:val="24"/>
              </w:rPr>
            </w:pPr>
          </w:p>
          <w:p w14:paraId="03917009" w14:textId="0E0F55E5" w:rsidR="00110523" w:rsidRPr="008E7FCC" w:rsidRDefault="00110523" w:rsidP="00162935">
            <w:pPr>
              <w:spacing w:before="120" w:after="120"/>
              <w:jc w:val="both"/>
              <w:rPr>
                <w:rFonts w:asciiTheme="minorHAnsi" w:hAnsiTheme="minorHAnsi" w:cstheme="minorHAnsi"/>
                <w:sz w:val="24"/>
                <w:szCs w:val="24"/>
              </w:rPr>
            </w:pPr>
            <w:r w:rsidRPr="008E7FCC">
              <w:rPr>
                <w:rFonts w:asciiTheme="minorHAnsi" w:hAnsiTheme="minorHAnsi" w:cstheme="minorHAnsi"/>
                <w:sz w:val="24"/>
                <w:szCs w:val="24"/>
              </w:rPr>
              <w:t>El D/I</w:t>
            </w:r>
            <w:r w:rsidR="00BD357D" w:rsidRPr="008E7FCC">
              <w:rPr>
                <w:rFonts w:asciiTheme="minorHAnsi" w:hAnsiTheme="minorHAnsi" w:cstheme="minorHAnsi"/>
                <w:sz w:val="24"/>
                <w:szCs w:val="24"/>
              </w:rPr>
              <w:t xml:space="preserve">NF es del </w:t>
            </w:r>
            <w:r w:rsidR="00207C42" w:rsidRPr="008E7FCC">
              <w:rPr>
                <w:rFonts w:asciiTheme="minorHAnsi" w:hAnsiTheme="minorHAnsi" w:cstheme="minorHAnsi"/>
                <w:sz w:val="24"/>
                <w:szCs w:val="24"/>
              </w:rPr>
              <w:t>1</w:t>
            </w:r>
            <w:r w:rsidR="00DE5031">
              <w:rPr>
                <w:rFonts w:asciiTheme="minorHAnsi" w:hAnsiTheme="minorHAnsi" w:cstheme="minorHAnsi"/>
                <w:sz w:val="24"/>
                <w:szCs w:val="24"/>
              </w:rPr>
              <w:t>8,</w:t>
            </w:r>
            <w:r w:rsidR="006B6DCA">
              <w:rPr>
                <w:rFonts w:asciiTheme="minorHAnsi" w:hAnsiTheme="minorHAnsi" w:cstheme="minorHAnsi"/>
                <w:sz w:val="24"/>
                <w:szCs w:val="24"/>
              </w:rPr>
              <w:t>89</w:t>
            </w:r>
            <w:r w:rsidR="00BD357D" w:rsidRPr="008E7FCC">
              <w:rPr>
                <w:rFonts w:asciiTheme="minorHAnsi" w:hAnsiTheme="minorHAnsi" w:cstheme="minorHAnsi"/>
                <w:sz w:val="24"/>
                <w:szCs w:val="24"/>
              </w:rPr>
              <w:t xml:space="preserve"> para el año 20</w:t>
            </w:r>
            <w:r w:rsidR="00DE5031">
              <w:rPr>
                <w:rFonts w:asciiTheme="minorHAnsi" w:hAnsiTheme="minorHAnsi" w:cstheme="minorHAnsi"/>
                <w:sz w:val="24"/>
                <w:szCs w:val="24"/>
              </w:rPr>
              <w:t>2</w:t>
            </w:r>
            <w:r w:rsidR="006B6DCA">
              <w:rPr>
                <w:rFonts w:asciiTheme="minorHAnsi" w:hAnsiTheme="minorHAnsi" w:cstheme="minorHAnsi"/>
                <w:sz w:val="24"/>
                <w:szCs w:val="24"/>
              </w:rPr>
              <w:t>2</w:t>
            </w:r>
            <w:r w:rsidR="00207C42" w:rsidRPr="008E7FCC">
              <w:rPr>
                <w:rFonts w:asciiTheme="minorHAnsi" w:hAnsiTheme="minorHAnsi" w:cstheme="minorHAnsi"/>
                <w:sz w:val="24"/>
                <w:szCs w:val="24"/>
              </w:rPr>
              <w:t>. (</w:t>
            </w:r>
            <w:r w:rsidR="00581DE1" w:rsidRPr="008E7FCC">
              <w:rPr>
                <w:rFonts w:asciiTheme="minorHAnsi" w:hAnsiTheme="minorHAnsi" w:cstheme="minorHAnsi"/>
                <w:sz w:val="24"/>
                <w:szCs w:val="24"/>
              </w:rPr>
              <w:t>1</w:t>
            </w:r>
            <w:r w:rsidR="006B6DCA">
              <w:rPr>
                <w:rFonts w:asciiTheme="minorHAnsi" w:hAnsiTheme="minorHAnsi" w:cstheme="minorHAnsi"/>
                <w:sz w:val="24"/>
                <w:szCs w:val="24"/>
              </w:rPr>
              <w:t>8,13</w:t>
            </w:r>
            <w:r w:rsidR="00207C42" w:rsidRPr="008E7FCC">
              <w:rPr>
                <w:rFonts w:asciiTheme="minorHAnsi" w:hAnsiTheme="minorHAnsi" w:cstheme="minorHAnsi"/>
                <w:sz w:val="24"/>
                <w:szCs w:val="24"/>
              </w:rPr>
              <w:t xml:space="preserve"> en 20</w:t>
            </w:r>
            <w:r w:rsidR="00DE5031">
              <w:rPr>
                <w:rFonts w:asciiTheme="minorHAnsi" w:hAnsiTheme="minorHAnsi" w:cstheme="minorHAnsi"/>
                <w:sz w:val="24"/>
                <w:szCs w:val="24"/>
              </w:rPr>
              <w:t>2</w:t>
            </w:r>
            <w:r w:rsidR="006B6DCA">
              <w:rPr>
                <w:rFonts w:asciiTheme="minorHAnsi" w:hAnsiTheme="minorHAnsi" w:cstheme="minorHAnsi"/>
                <w:sz w:val="24"/>
                <w:szCs w:val="24"/>
              </w:rPr>
              <w:t>1</w:t>
            </w:r>
            <w:r w:rsidR="00207C42" w:rsidRPr="008E7FCC">
              <w:rPr>
                <w:rFonts w:asciiTheme="minorHAnsi" w:hAnsiTheme="minorHAnsi" w:cstheme="minorHAnsi"/>
                <w:sz w:val="24"/>
                <w:szCs w:val="24"/>
              </w:rPr>
              <w:t>)</w:t>
            </w:r>
            <w:r w:rsidR="0085624C" w:rsidRPr="008E7FCC">
              <w:rPr>
                <w:rFonts w:asciiTheme="minorHAnsi" w:hAnsiTheme="minorHAnsi" w:cstheme="minorHAnsi"/>
                <w:sz w:val="24"/>
                <w:szCs w:val="24"/>
              </w:rPr>
              <w:t>.</w:t>
            </w:r>
          </w:p>
        </w:tc>
      </w:tr>
      <w:tr w:rsidR="00597BB8" w:rsidRPr="008E7FCC" w14:paraId="075167ED" w14:textId="77777777" w:rsidTr="00513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nil"/>
              <w:left w:val="nil"/>
              <w:bottom w:val="nil"/>
              <w:right w:val="single" w:sz="4" w:space="0" w:color="999999"/>
            </w:tcBorders>
            <w:shd w:val="clear" w:color="auto" w:fill="auto"/>
          </w:tcPr>
          <w:p w14:paraId="746BA1F1" w14:textId="77777777" w:rsidR="00A475DB" w:rsidRDefault="00A475DB" w:rsidP="009F45FD">
            <w:pPr>
              <w:spacing w:before="120" w:after="120"/>
              <w:ind w:right="57"/>
              <w:jc w:val="both"/>
              <w:rPr>
                <w:rFonts w:asciiTheme="minorHAnsi" w:hAnsiTheme="minorHAnsi" w:cstheme="minorHAnsi"/>
                <w:snapToGrid w:val="0"/>
                <w:sz w:val="24"/>
                <w:szCs w:val="24"/>
              </w:rPr>
            </w:pPr>
          </w:p>
          <w:p w14:paraId="5D7EBC56" w14:textId="100EAD09" w:rsidR="00597BB8" w:rsidRPr="008E7FCC" w:rsidRDefault="00DC25F8" w:rsidP="009F45FD">
            <w:pPr>
              <w:spacing w:before="120" w:after="120"/>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Diru sarrera arrunten % 2</w:t>
            </w:r>
            <w:r w:rsidR="006F19A5">
              <w:rPr>
                <w:rFonts w:asciiTheme="minorHAnsi" w:hAnsiTheme="minorHAnsi" w:cstheme="minorHAnsi"/>
                <w:snapToGrid w:val="0"/>
                <w:sz w:val="24"/>
                <w:szCs w:val="24"/>
              </w:rPr>
              <w:t>,4</w:t>
            </w:r>
            <w:r w:rsidR="006B6DCA">
              <w:rPr>
                <w:rFonts w:asciiTheme="minorHAnsi" w:hAnsiTheme="minorHAnsi" w:cstheme="minorHAnsi"/>
                <w:snapToGrid w:val="0"/>
                <w:sz w:val="24"/>
                <w:szCs w:val="24"/>
              </w:rPr>
              <w:t>4</w:t>
            </w:r>
            <w:r w:rsidRPr="008E7FCC">
              <w:rPr>
                <w:rFonts w:asciiTheme="minorHAnsi" w:hAnsiTheme="minorHAnsi" w:cstheme="minorHAnsi"/>
                <w:snapToGrid w:val="0"/>
                <w:sz w:val="24"/>
                <w:szCs w:val="24"/>
              </w:rPr>
              <w:t xml:space="preserve"> egiten dute Arabako Foru </w:t>
            </w:r>
            <w:r w:rsidR="006F19A5">
              <w:rPr>
                <w:rFonts w:asciiTheme="minorHAnsi" w:hAnsiTheme="minorHAnsi" w:cstheme="minorHAnsi"/>
                <w:snapToGrid w:val="0"/>
                <w:sz w:val="24"/>
                <w:szCs w:val="24"/>
              </w:rPr>
              <w:t>Sektore Publiko</w:t>
            </w:r>
            <w:r w:rsidRPr="008E7FCC">
              <w:rPr>
                <w:rFonts w:asciiTheme="minorHAnsi" w:hAnsiTheme="minorHAnsi" w:cstheme="minorHAnsi"/>
                <w:snapToGrid w:val="0"/>
                <w:sz w:val="24"/>
                <w:szCs w:val="24"/>
              </w:rPr>
              <w:t>aren interes eta amortizazioek, 20</w:t>
            </w:r>
            <w:r w:rsidR="006F19A5">
              <w:rPr>
                <w:rFonts w:asciiTheme="minorHAnsi" w:hAnsiTheme="minorHAnsi" w:cstheme="minorHAnsi"/>
                <w:snapToGrid w:val="0"/>
                <w:sz w:val="24"/>
                <w:szCs w:val="24"/>
              </w:rPr>
              <w:t>2</w:t>
            </w:r>
            <w:r w:rsidR="006B6DCA">
              <w:rPr>
                <w:rFonts w:asciiTheme="minorHAnsi" w:hAnsiTheme="minorHAnsi" w:cstheme="minorHAnsi"/>
                <w:snapToGrid w:val="0"/>
                <w:sz w:val="24"/>
                <w:szCs w:val="24"/>
              </w:rPr>
              <w:t>2</w:t>
            </w:r>
            <w:r w:rsidRPr="008E7FCC">
              <w:rPr>
                <w:rFonts w:asciiTheme="minorHAnsi" w:hAnsiTheme="minorHAnsi" w:cstheme="minorHAnsi"/>
                <w:snapToGrid w:val="0"/>
                <w:sz w:val="24"/>
                <w:szCs w:val="24"/>
              </w:rPr>
              <w:t>ko ekitaldian.</w:t>
            </w:r>
          </w:p>
        </w:tc>
        <w:tc>
          <w:tcPr>
            <w:tcW w:w="4605" w:type="dxa"/>
            <w:tcBorders>
              <w:top w:val="nil"/>
              <w:left w:val="single" w:sz="4" w:space="0" w:color="999999"/>
              <w:bottom w:val="nil"/>
              <w:right w:val="nil"/>
            </w:tcBorders>
            <w:shd w:val="clear" w:color="auto" w:fill="auto"/>
          </w:tcPr>
          <w:p w14:paraId="60A8CDE5" w14:textId="77777777" w:rsidR="00A475DB" w:rsidRDefault="00A475DB" w:rsidP="009F45FD">
            <w:pPr>
              <w:spacing w:before="120" w:after="120"/>
              <w:jc w:val="both"/>
              <w:rPr>
                <w:rFonts w:asciiTheme="minorHAnsi" w:hAnsiTheme="minorHAnsi" w:cstheme="minorHAnsi"/>
                <w:sz w:val="24"/>
                <w:szCs w:val="24"/>
              </w:rPr>
            </w:pPr>
          </w:p>
          <w:p w14:paraId="620C276D" w14:textId="699F22B6" w:rsidR="00597BB8" w:rsidRPr="008E7FCC" w:rsidRDefault="00597BB8" w:rsidP="009F45FD">
            <w:pPr>
              <w:spacing w:before="120" w:after="120"/>
              <w:jc w:val="both"/>
              <w:rPr>
                <w:rFonts w:asciiTheme="minorHAnsi" w:hAnsiTheme="minorHAnsi" w:cstheme="minorHAnsi"/>
                <w:sz w:val="24"/>
                <w:szCs w:val="24"/>
              </w:rPr>
            </w:pPr>
            <w:r w:rsidRPr="008E7FCC">
              <w:rPr>
                <w:rFonts w:asciiTheme="minorHAnsi" w:hAnsiTheme="minorHAnsi" w:cstheme="minorHAnsi"/>
                <w:sz w:val="24"/>
                <w:szCs w:val="24"/>
              </w:rPr>
              <w:t>En el ejercicio 20</w:t>
            </w:r>
            <w:r w:rsidR="008B3605">
              <w:rPr>
                <w:rFonts w:asciiTheme="minorHAnsi" w:hAnsiTheme="minorHAnsi" w:cstheme="minorHAnsi"/>
                <w:sz w:val="24"/>
                <w:szCs w:val="24"/>
              </w:rPr>
              <w:t>2</w:t>
            </w:r>
            <w:r w:rsidR="006B6DCA">
              <w:rPr>
                <w:rFonts w:asciiTheme="minorHAnsi" w:hAnsiTheme="minorHAnsi" w:cstheme="minorHAnsi"/>
                <w:sz w:val="24"/>
                <w:szCs w:val="24"/>
              </w:rPr>
              <w:t>2</w:t>
            </w:r>
            <w:r w:rsidRPr="008E7FCC">
              <w:rPr>
                <w:rFonts w:asciiTheme="minorHAnsi" w:hAnsiTheme="minorHAnsi" w:cstheme="minorHAnsi"/>
                <w:sz w:val="24"/>
                <w:szCs w:val="24"/>
              </w:rPr>
              <w:t xml:space="preserve">, los intereses y amortizaciones </w:t>
            </w:r>
            <w:r w:rsidR="006504BE" w:rsidRPr="008E7FCC">
              <w:rPr>
                <w:rFonts w:asciiTheme="minorHAnsi" w:hAnsiTheme="minorHAnsi" w:cstheme="minorHAnsi"/>
                <w:sz w:val="24"/>
                <w:szCs w:val="24"/>
              </w:rPr>
              <w:t>de</w:t>
            </w:r>
            <w:r w:rsidR="008B3605">
              <w:rPr>
                <w:rFonts w:asciiTheme="minorHAnsi" w:hAnsiTheme="minorHAnsi" w:cstheme="minorHAnsi"/>
                <w:sz w:val="24"/>
                <w:szCs w:val="24"/>
              </w:rPr>
              <w:t>l Sector Público Foral de Álava</w:t>
            </w:r>
            <w:r w:rsidR="006504BE" w:rsidRPr="008E7FCC">
              <w:rPr>
                <w:rFonts w:asciiTheme="minorHAnsi" w:hAnsiTheme="minorHAnsi" w:cstheme="minorHAnsi"/>
                <w:sz w:val="24"/>
                <w:szCs w:val="24"/>
              </w:rPr>
              <w:t xml:space="preserve">, </w:t>
            </w:r>
            <w:r w:rsidRPr="008E7FCC">
              <w:rPr>
                <w:rFonts w:asciiTheme="minorHAnsi" w:hAnsiTheme="minorHAnsi" w:cstheme="minorHAnsi"/>
                <w:sz w:val="24"/>
                <w:szCs w:val="24"/>
              </w:rPr>
              <w:t>supone un 2,</w:t>
            </w:r>
            <w:r w:rsidR="006F19A5">
              <w:rPr>
                <w:rFonts w:asciiTheme="minorHAnsi" w:hAnsiTheme="minorHAnsi" w:cstheme="minorHAnsi"/>
                <w:sz w:val="24"/>
                <w:szCs w:val="24"/>
              </w:rPr>
              <w:t>4</w:t>
            </w:r>
            <w:r w:rsidR="006B6DCA">
              <w:rPr>
                <w:rFonts w:asciiTheme="minorHAnsi" w:hAnsiTheme="minorHAnsi" w:cstheme="minorHAnsi"/>
                <w:sz w:val="24"/>
                <w:szCs w:val="24"/>
              </w:rPr>
              <w:t>4</w:t>
            </w:r>
            <w:r w:rsidRPr="008E7FCC">
              <w:rPr>
                <w:rFonts w:asciiTheme="minorHAnsi" w:hAnsiTheme="minorHAnsi" w:cstheme="minorHAnsi"/>
                <w:sz w:val="24"/>
                <w:szCs w:val="24"/>
              </w:rPr>
              <w:t xml:space="preserve"> sobre los ingresos corrientes.</w:t>
            </w:r>
          </w:p>
        </w:tc>
      </w:tr>
      <w:tr w:rsidR="00B754D0" w:rsidRPr="006F19A5" w14:paraId="1B696686" w14:textId="77777777" w:rsidTr="005133A3">
        <w:tc>
          <w:tcPr>
            <w:tcW w:w="4605" w:type="dxa"/>
            <w:tcBorders>
              <w:right w:val="single" w:sz="4" w:space="0" w:color="808080"/>
            </w:tcBorders>
            <w:shd w:val="clear" w:color="auto" w:fill="auto"/>
          </w:tcPr>
          <w:p w14:paraId="33953330" w14:textId="18280D57" w:rsidR="00B754D0" w:rsidRPr="006F19A5" w:rsidRDefault="008E7FCC" w:rsidP="005133A3">
            <w:pPr>
              <w:spacing w:before="120" w:after="120"/>
              <w:ind w:right="57"/>
              <w:jc w:val="both"/>
              <w:rPr>
                <w:rFonts w:asciiTheme="minorHAnsi" w:hAnsiTheme="minorHAnsi" w:cstheme="minorHAnsi"/>
                <w:snapToGrid w:val="0"/>
                <w:sz w:val="24"/>
                <w:szCs w:val="24"/>
              </w:rPr>
            </w:pPr>
            <w:r>
              <w:rPr>
                <w:rFonts w:asciiTheme="minorHAnsi" w:hAnsiTheme="minorHAnsi" w:cstheme="minorHAnsi"/>
                <w:snapToGrid w:val="0"/>
                <w:sz w:val="24"/>
                <w:szCs w:val="24"/>
              </w:rPr>
              <w:br w:type="page"/>
            </w:r>
          </w:p>
        </w:tc>
        <w:tc>
          <w:tcPr>
            <w:tcW w:w="4605" w:type="dxa"/>
            <w:tcBorders>
              <w:left w:val="single" w:sz="4" w:space="0" w:color="808080"/>
            </w:tcBorders>
            <w:shd w:val="clear" w:color="auto" w:fill="auto"/>
          </w:tcPr>
          <w:p w14:paraId="7DD97BA5" w14:textId="77777777" w:rsidR="00B754D0" w:rsidRPr="006F19A5" w:rsidRDefault="00B754D0" w:rsidP="005133A3">
            <w:pPr>
              <w:spacing w:before="120" w:after="120"/>
              <w:jc w:val="both"/>
              <w:rPr>
                <w:rFonts w:asciiTheme="minorHAnsi" w:hAnsiTheme="minorHAnsi" w:cstheme="minorHAnsi"/>
                <w:snapToGrid w:val="0"/>
                <w:sz w:val="24"/>
                <w:szCs w:val="24"/>
              </w:rPr>
            </w:pPr>
          </w:p>
        </w:tc>
      </w:tr>
      <w:tr w:rsidR="00B754D0" w:rsidRPr="006F19A5" w14:paraId="2B713A3A" w14:textId="77777777" w:rsidTr="005133A3">
        <w:tc>
          <w:tcPr>
            <w:tcW w:w="4605" w:type="dxa"/>
            <w:tcBorders>
              <w:right w:val="single" w:sz="4" w:space="0" w:color="808080"/>
            </w:tcBorders>
            <w:shd w:val="clear" w:color="auto" w:fill="auto"/>
          </w:tcPr>
          <w:p w14:paraId="358EE6A4" w14:textId="77777777" w:rsidR="00B754D0" w:rsidRPr="006F19A5" w:rsidRDefault="00B754D0" w:rsidP="005133A3">
            <w:pPr>
              <w:spacing w:before="120" w:after="120"/>
              <w:ind w:right="57"/>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4632F1C0" w14:textId="77777777" w:rsidR="00B754D0" w:rsidRPr="006F19A5" w:rsidRDefault="00B754D0" w:rsidP="005133A3">
            <w:pPr>
              <w:spacing w:before="120" w:after="120"/>
              <w:jc w:val="both"/>
              <w:rPr>
                <w:rFonts w:asciiTheme="minorHAnsi" w:hAnsiTheme="minorHAnsi" w:cstheme="minorHAnsi"/>
                <w:snapToGrid w:val="0"/>
                <w:sz w:val="24"/>
                <w:szCs w:val="24"/>
              </w:rPr>
            </w:pPr>
          </w:p>
        </w:tc>
      </w:tr>
    </w:tbl>
    <w:p w14:paraId="31D396FE" w14:textId="77777777" w:rsidR="0039580C" w:rsidRPr="006F19A5" w:rsidRDefault="0039580C">
      <w:pPr>
        <w:rPr>
          <w:rFonts w:asciiTheme="minorHAnsi" w:hAnsiTheme="minorHAnsi" w:cstheme="minorHAnsi"/>
          <w:snapToGrid w:val="0"/>
          <w:sz w:val="24"/>
          <w:szCs w:val="24"/>
        </w:rPr>
      </w:pPr>
    </w:p>
    <w:p w14:paraId="1D545289" w14:textId="77777777" w:rsidR="0039580C" w:rsidRDefault="0039580C">
      <w:pPr>
        <w:rPr>
          <w:rFonts w:ascii="Arial" w:hAnsi="Arial"/>
          <w:snapToGrid w:val="0"/>
          <w:sz w:val="24"/>
        </w:rPr>
      </w:pPr>
    </w:p>
    <w:p w14:paraId="46EF1774" w14:textId="77777777" w:rsidR="0039580C" w:rsidRDefault="0039580C">
      <w:pPr>
        <w:rPr>
          <w:rFonts w:ascii="Arial" w:hAnsi="Arial"/>
          <w:snapToGrid w:val="0"/>
        </w:rPr>
      </w:pPr>
    </w:p>
    <w:p w14:paraId="5D639422" w14:textId="77777777" w:rsidR="0039580C" w:rsidRDefault="0039580C">
      <w:pPr>
        <w:rPr>
          <w:rFonts w:ascii="Arial" w:hAnsi="Arial"/>
          <w:snapToGrid w:val="0"/>
        </w:rPr>
      </w:pPr>
    </w:p>
    <w:p w14:paraId="5036B1C5" w14:textId="77777777" w:rsidR="0039580C" w:rsidRDefault="0039580C">
      <w:pPr>
        <w:rPr>
          <w:rFonts w:ascii="Arial" w:hAnsi="Arial"/>
          <w:snapToGrid w:val="0"/>
        </w:rPr>
      </w:pPr>
    </w:p>
    <w:p w14:paraId="5D4EAF1A" w14:textId="77777777" w:rsidR="0039580C" w:rsidRDefault="0039580C">
      <w:pPr>
        <w:rPr>
          <w:rFonts w:ascii="Arial" w:hAnsi="Arial"/>
          <w:snapToGrid w:val="0"/>
        </w:rPr>
      </w:pPr>
    </w:p>
    <w:sectPr w:rsidR="0039580C" w:rsidSect="00CB0FEF">
      <w:headerReference w:type="default" r:id="rId25"/>
      <w:headerReference w:type="first" r:id="rId26"/>
      <w:pgSz w:w="11906" w:h="16838" w:code="9"/>
      <w:pgMar w:top="1418" w:right="567"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E112" w14:textId="77777777" w:rsidR="00231F31" w:rsidRDefault="00231F31">
      <w:r>
        <w:separator/>
      </w:r>
    </w:p>
  </w:endnote>
  <w:endnote w:type="continuationSeparator" w:id="0">
    <w:p w14:paraId="33DA45B7" w14:textId="77777777" w:rsidR="00231F31" w:rsidRDefault="0023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30C8" w14:textId="77777777" w:rsidR="00231F31" w:rsidRDefault="00231F31">
      <w:r>
        <w:separator/>
      </w:r>
    </w:p>
  </w:footnote>
  <w:footnote w:type="continuationSeparator" w:id="0">
    <w:p w14:paraId="10793E9A" w14:textId="77777777" w:rsidR="00231F31" w:rsidRDefault="0023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4D24431" w14:textId="77777777" w:rsidTr="009B0DF3">
      <w:tc>
        <w:tcPr>
          <w:tcW w:w="6591" w:type="dxa"/>
        </w:tcPr>
        <w:p w14:paraId="4A8689EA" w14:textId="77777777" w:rsidR="00231F31" w:rsidRDefault="00231F31" w:rsidP="009B0DF3">
          <w:pPr>
            <w:pStyle w:val="Encabezado"/>
            <w:ind w:left="74"/>
            <w:rPr>
              <w:noProof/>
              <w:sz w:val="16"/>
            </w:rPr>
          </w:pPr>
          <w:r>
            <w:rPr>
              <w:noProof/>
              <w:sz w:val="16"/>
            </w:rPr>
            <w:object w:dxaOrig="3301" w:dyaOrig="1126" w14:anchorId="6DD3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48407141" r:id="rId2"/>
            </w:object>
          </w:r>
        </w:p>
        <w:p w14:paraId="2665C5A7" w14:textId="77777777" w:rsidR="00231F31" w:rsidRDefault="00231F31" w:rsidP="009B0DF3">
          <w:pPr>
            <w:pStyle w:val="Encabezado"/>
            <w:ind w:left="1064"/>
            <w:rPr>
              <w:noProof/>
              <w:sz w:val="16"/>
            </w:rPr>
          </w:pPr>
        </w:p>
      </w:tc>
      <w:tc>
        <w:tcPr>
          <w:tcW w:w="2551" w:type="dxa"/>
        </w:tcPr>
        <w:p w14:paraId="295C63D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70316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255DD7"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B8DFE3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15F2AA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AF4F16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1DD21D4" w14:textId="77777777" w:rsidR="00231F31" w:rsidRDefault="00231F31" w:rsidP="009B0DF3">
          <w:pPr>
            <w:pStyle w:val="Encabezado"/>
            <w:ind w:left="-70"/>
            <w:rPr>
              <w:noProof/>
              <w:sz w:val="16"/>
            </w:rPr>
          </w:pPr>
        </w:p>
        <w:p w14:paraId="7B67B687" w14:textId="77777777" w:rsidR="00231F31" w:rsidRDefault="00231F31" w:rsidP="009B0DF3">
          <w:pPr>
            <w:pStyle w:val="Encabezado"/>
            <w:ind w:left="-70"/>
            <w:rPr>
              <w:noProof/>
              <w:sz w:val="18"/>
            </w:rPr>
          </w:pPr>
        </w:p>
      </w:tc>
    </w:tr>
  </w:tbl>
  <w:p w14:paraId="218EDC0D" w14:textId="77777777" w:rsidR="00231F31" w:rsidRDefault="001466A3" w:rsidP="002C4DDC">
    <w:pPr>
      <w:pStyle w:val="Encabezado"/>
    </w:pPr>
    <w:r>
      <w:pict w14:anchorId="7654C792">
        <v:shape id="_x0000_i1026"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7163BDD9" w14:textId="77777777" w:rsidTr="005133A3">
      <w:tc>
        <w:tcPr>
          <w:tcW w:w="9210" w:type="dxa"/>
          <w:shd w:val="clear" w:color="auto" w:fill="auto"/>
        </w:tcPr>
        <w:p w14:paraId="009CA6CF" w14:textId="68E11787" w:rsidR="00231F31" w:rsidRPr="001149EF" w:rsidRDefault="00231F31"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w:t>
          </w:r>
          <w:r w:rsidR="00B23FA6">
            <w:rPr>
              <w:rFonts w:asciiTheme="minorHAnsi" w:hAnsiTheme="minorHAnsi" w:cstheme="minorHAnsi"/>
              <w:b/>
              <w:sz w:val="24"/>
              <w:szCs w:val="24"/>
            </w:rPr>
            <w:t>2</w:t>
          </w:r>
          <w:r w:rsidR="0051571A">
            <w:rPr>
              <w:rFonts w:asciiTheme="minorHAnsi" w:hAnsiTheme="minorHAnsi" w:cstheme="minorHAnsi"/>
              <w:b/>
              <w:sz w:val="24"/>
              <w:szCs w:val="24"/>
            </w:rPr>
            <w:t>2</w:t>
          </w:r>
          <w:r w:rsidR="00B23FA6">
            <w:rPr>
              <w:rFonts w:asciiTheme="minorHAnsi" w:hAnsiTheme="minorHAnsi" w:cstheme="minorHAnsi"/>
              <w:b/>
              <w:sz w:val="24"/>
              <w:szCs w:val="24"/>
            </w:rPr>
            <w:t>K</w:t>
          </w:r>
          <w:r w:rsidRPr="001149EF">
            <w:rPr>
              <w:rFonts w:asciiTheme="minorHAnsi" w:hAnsiTheme="minorHAnsi" w:cstheme="minorHAnsi"/>
              <w:b/>
              <w:sz w:val="24"/>
              <w:szCs w:val="24"/>
            </w:rPr>
            <w:t xml:space="preserve">O TXOSTENA / </w:t>
          </w:r>
        </w:p>
        <w:p w14:paraId="14B7FCA3" w14:textId="12001ED3" w:rsidR="00231F31" w:rsidRPr="001149EF" w:rsidRDefault="00231F31" w:rsidP="006B67BC">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sidR="00B23FA6">
            <w:rPr>
              <w:rFonts w:asciiTheme="minorHAnsi" w:hAnsiTheme="minorHAnsi" w:cstheme="minorHAnsi"/>
              <w:b/>
              <w:sz w:val="24"/>
              <w:szCs w:val="24"/>
            </w:rPr>
            <w:t>2</w:t>
          </w:r>
          <w:r w:rsidR="0051571A">
            <w:rPr>
              <w:rFonts w:asciiTheme="minorHAnsi" w:hAnsiTheme="minorHAnsi" w:cstheme="minorHAnsi"/>
              <w:b/>
              <w:sz w:val="24"/>
              <w:szCs w:val="24"/>
            </w:rPr>
            <w:t>2</w:t>
          </w:r>
        </w:p>
      </w:tc>
    </w:tr>
  </w:tbl>
  <w:p w14:paraId="1A7721DC" w14:textId="77777777" w:rsidR="00231F31" w:rsidRDefault="001466A3" w:rsidP="0020017B">
    <w:pPr>
      <w:pStyle w:val="Encabezado"/>
      <w:spacing w:before="120" w:after="120"/>
    </w:pPr>
    <w:r>
      <w:pict w14:anchorId="2D7930BD">
        <v:shape id="_x0000_i1027" type="#_x0000_t75" style="width:567pt;height:7.1pt;mso-position-horizontal:absolute" o:hrpct="0" o:hralign="center" o:hr="t">
          <v:imagedata r:id="rId3" o:title="BD10290_"/>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7D80899" w14:textId="77777777" w:rsidTr="009B0DF3">
      <w:tc>
        <w:tcPr>
          <w:tcW w:w="6591" w:type="dxa"/>
        </w:tcPr>
        <w:p w14:paraId="206D6F84" w14:textId="77777777" w:rsidR="00231F31" w:rsidRDefault="00231F31" w:rsidP="009B0DF3">
          <w:pPr>
            <w:pStyle w:val="Encabezado"/>
            <w:ind w:left="74"/>
            <w:rPr>
              <w:noProof/>
              <w:sz w:val="16"/>
            </w:rPr>
          </w:pPr>
          <w:r>
            <w:rPr>
              <w:noProof/>
              <w:sz w:val="16"/>
            </w:rPr>
            <w:object w:dxaOrig="3301" w:dyaOrig="1126" w14:anchorId="1D4F9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75pt;height:56.25pt" fillcolor="window">
                <v:imagedata r:id="rId1" o:title=""/>
              </v:shape>
              <o:OLEObject Type="Embed" ProgID="Word.Picture.8" ShapeID="_x0000_i1028" DrawAspect="Content" ObjectID="_1748407142" r:id="rId2"/>
            </w:object>
          </w:r>
        </w:p>
        <w:p w14:paraId="215BDFAA" w14:textId="77777777" w:rsidR="00231F31" w:rsidRDefault="00231F31" w:rsidP="009B0DF3">
          <w:pPr>
            <w:pStyle w:val="Encabezado"/>
            <w:ind w:left="1064"/>
            <w:rPr>
              <w:noProof/>
              <w:sz w:val="16"/>
            </w:rPr>
          </w:pPr>
        </w:p>
      </w:tc>
      <w:tc>
        <w:tcPr>
          <w:tcW w:w="2551" w:type="dxa"/>
        </w:tcPr>
        <w:p w14:paraId="5CA045E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BA5FA1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9784262"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597976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7396F565"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01511463"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1E87D4A3" w14:textId="77777777" w:rsidR="00231F31" w:rsidRDefault="00231F31" w:rsidP="009B0DF3">
          <w:pPr>
            <w:pStyle w:val="Encabezado"/>
            <w:ind w:left="-70"/>
            <w:rPr>
              <w:noProof/>
              <w:sz w:val="16"/>
            </w:rPr>
          </w:pPr>
        </w:p>
        <w:p w14:paraId="5BF52D4F" w14:textId="77777777" w:rsidR="00231F31" w:rsidRDefault="00231F31" w:rsidP="009B0DF3">
          <w:pPr>
            <w:pStyle w:val="Encabezado"/>
            <w:ind w:left="-70"/>
            <w:rPr>
              <w:noProof/>
              <w:sz w:val="18"/>
            </w:rPr>
          </w:pPr>
        </w:p>
      </w:tc>
    </w:tr>
  </w:tbl>
  <w:p w14:paraId="65CED675" w14:textId="77777777" w:rsidR="00231F31" w:rsidRDefault="001466A3" w:rsidP="002C4DDC">
    <w:pPr>
      <w:pStyle w:val="Encabezado"/>
    </w:pPr>
    <w:r>
      <w:pict w14:anchorId="1067C0DE">
        <v:shape id="_x0000_i1029"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2896425A" w14:textId="77777777" w:rsidTr="005133A3">
      <w:tc>
        <w:tcPr>
          <w:tcW w:w="9210" w:type="dxa"/>
          <w:shd w:val="clear" w:color="auto" w:fill="auto"/>
        </w:tcPr>
        <w:p w14:paraId="4B063087" w14:textId="670D62EA" w:rsidR="00231F31" w:rsidRPr="001149EF" w:rsidRDefault="00231F31"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w:t>
          </w:r>
          <w:r w:rsidR="00B23FA6">
            <w:rPr>
              <w:rFonts w:asciiTheme="minorHAnsi" w:hAnsiTheme="minorHAnsi" w:cstheme="minorHAnsi"/>
              <w:b/>
              <w:sz w:val="24"/>
              <w:szCs w:val="24"/>
            </w:rPr>
            <w:t>2</w:t>
          </w:r>
          <w:r w:rsidR="0051571A">
            <w:rPr>
              <w:rFonts w:asciiTheme="minorHAnsi" w:hAnsiTheme="minorHAnsi" w:cstheme="minorHAnsi"/>
              <w:b/>
              <w:sz w:val="24"/>
              <w:szCs w:val="24"/>
            </w:rPr>
            <w:t>2</w:t>
          </w:r>
          <w:r w:rsidRPr="001149EF">
            <w:rPr>
              <w:rFonts w:asciiTheme="minorHAnsi" w:hAnsiTheme="minorHAnsi" w:cstheme="minorHAnsi"/>
              <w:b/>
              <w:sz w:val="24"/>
              <w:szCs w:val="24"/>
            </w:rPr>
            <w:t xml:space="preserve">KO TXOSTENA / </w:t>
          </w:r>
        </w:p>
        <w:p w14:paraId="478085B5" w14:textId="040A4988" w:rsidR="00231F31" w:rsidRPr="005133A3" w:rsidRDefault="00231F31" w:rsidP="006B67BC">
          <w:pPr>
            <w:ind w:left="170"/>
            <w:jc w:val="both"/>
            <w:rPr>
              <w:rFonts w:ascii="Arial" w:hAnsi="Arial" w:cs="Arial"/>
              <w:b/>
              <w:sz w:val="24"/>
              <w:szCs w:val="24"/>
            </w:rPr>
          </w:pPr>
          <w:r w:rsidRPr="001149EF">
            <w:rPr>
              <w:rFonts w:asciiTheme="minorHAnsi" w:hAnsiTheme="minorHAnsi" w:cstheme="minorHAnsi"/>
              <w:b/>
              <w:sz w:val="24"/>
              <w:szCs w:val="24"/>
            </w:rPr>
            <w:t xml:space="preserve"> INFORME DE ESTABILIDAD PRESUPUESTARIA Y SOSTENIBILIDAD FINANCIERA - 20</w:t>
          </w:r>
          <w:r w:rsidR="00B23FA6">
            <w:rPr>
              <w:rFonts w:asciiTheme="minorHAnsi" w:hAnsiTheme="minorHAnsi" w:cstheme="minorHAnsi"/>
              <w:b/>
              <w:sz w:val="24"/>
              <w:szCs w:val="24"/>
            </w:rPr>
            <w:t>2</w:t>
          </w:r>
          <w:r w:rsidR="0051571A">
            <w:rPr>
              <w:rFonts w:asciiTheme="minorHAnsi" w:hAnsiTheme="minorHAnsi" w:cstheme="minorHAnsi"/>
              <w:b/>
              <w:sz w:val="24"/>
              <w:szCs w:val="24"/>
            </w:rPr>
            <w:t>2</w:t>
          </w:r>
        </w:p>
      </w:tc>
    </w:tr>
  </w:tbl>
  <w:p w14:paraId="277C491E" w14:textId="77777777" w:rsidR="00231F31" w:rsidRDefault="001466A3" w:rsidP="0020017B">
    <w:pPr>
      <w:pStyle w:val="Encabezado"/>
      <w:spacing w:before="120" w:after="120"/>
    </w:pPr>
    <w:r>
      <w:pict w14:anchorId="775EBEDD">
        <v:shape id="_x0000_i1030" type="#_x0000_t75" style="width:567pt;height:7.1pt;mso-position-horizontal:absolute" o:hrpct="0" o:hralign="center" o:hr="t">
          <v:imagedata r:id="rId3" o:title="BD10290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78" w:type="dxa"/>
      <w:tblLayout w:type="fixed"/>
      <w:tblCellMar>
        <w:left w:w="70" w:type="dxa"/>
        <w:right w:w="70" w:type="dxa"/>
      </w:tblCellMar>
      <w:tblLook w:val="0000" w:firstRow="0" w:lastRow="0" w:firstColumn="0" w:lastColumn="0" w:noHBand="0" w:noVBand="0"/>
    </w:tblPr>
    <w:tblGrid>
      <w:gridCol w:w="6591"/>
      <w:gridCol w:w="2551"/>
      <w:gridCol w:w="1064"/>
      <w:gridCol w:w="3472"/>
    </w:tblGrid>
    <w:tr w:rsidR="00231F31" w14:paraId="23F5C30E" w14:textId="77777777" w:rsidTr="00693004">
      <w:tc>
        <w:tcPr>
          <w:tcW w:w="10206" w:type="dxa"/>
          <w:gridSpan w:val="3"/>
        </w:tcPr>
        <w:p w14:paraId="40EDD234" w14:textId="77777777" w:rsidR="00231F31" w:rsidRDefault="00231F31" w:rsidP="00E041FE">
          <w:pPr>
            <w:pStyle w:val="Encabezado"/>
            <w:ind w:left="1064"/>
            <w:rPr>
              <w:noProof/>
              <w:sz w:val="16"/>
            </w:rPr>
          </w:pPr>
        </w:p>
      </w:tc>
      <w:tc>
        <w:tcPr>
          <w:tcW w:w="3472" w:type="dxa"/>
        </w:tcPr>
        <w:p w14:paraId="09BC9D93" w14:textId="77777777" w:rsidR="00231F31" w:rsidRDefault="00231F31" w:rsidP="00E041FE">
          <w:pPr>
            <w:pStyle w:val="Encabezado"/>
            <w:ind w:left="-70"/>
            <w:rPr>
              <w:noProof/>
              <w:sz w:val="18"/>
            </w:rPr>
          </w:pPr>
        </w:p>
      </w:tc>
    </w:tr>
    <w:tr w:rsidR="00693004" w14:paraId="7C7335AC" w14:textId="77777777" w:rsidTr="00693004">
      <w:trPr>
        <w:gridAfter w:val="2"/>
        <w:wAfter w:w="4536" w:type="dxa"/>
      </w:trPr>
      <w:tc>
        <w:tcPr>
          <w:tcW w:w="6591" w:type="dxa"/>
        </w:tcPr>
        <w:p w14:paraId="216B2B3D" w14:textId="77777777" w:rsidR="00693004" w:rsidRDefault="00693004" w:rsidP="00693004">
          <w:pPr>
            <w:pStyle w:val="Encabezado"/>
            <w:ind w:left="74"/>
            <w:rPr>
              <w:noProof/>
              <w:sz w:val="16"/>
            </w:rPr>
          </w:pPr>
          <w:r>
            <w:rPr>
              <w:noProof/>
              <w:sz w:val="16"/>
            </w:rPr>
            <w:object w:dxaOrig="3301" w:dyaOrig="1126" w14:anchorId="6F147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75pt;height:56.25pt" fillcolor="window">
                <v:imagedata r:id="rId1" o:title=""/>
              </v:shape>
              <o:OLEObject Type="Embed" ProgID="Word.Picture.8" ShapeID="_x0000_i1031" DrawAspect="Content" ObjectID="_1748407143" r:id="rId2"/>
            </w:object>
          </w:r>
        </w:p>
        <w:p w14:paraId="27667870" w14:textId="77777777" w:rsidR="00693004" w:rsidRDefault="00693004" w:rsidP="00693004">
          <w:pPr>
            <w:pStyle w:val="Encabezado"/>
            <w:ind w:left="1064"/>
            <w:rPr>
              <w:noProof/>
              <w:sz w:val="16"/>
            </w:rPr>
          </w:pPr>
        </w:p>
      </w:tc>
      <w:tc>
        <w:tcPr>
          <w:tcW w:w="2551" w:type="dxa"/>
        </w:tcPr>
        <w:p w14:paraId="212719C9"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7414F73A"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5D69A6"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1AAEFA2"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65B7C3A9" w14:textId="77777777" w:rsidR="00693004" w:rsidRPr="00A57E5E" w:rsidRDefault="00693004" w:rsidP="00693004">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55DA11DF" w14:textId="77777777" w:rsidR="00693004" w:rsidRPr="00A57E5E" w:rsidRDefault="00693004" w:rsidP="00693004">
          <w:pPr>
            <w:pStyle w:val="Encabezado"/>
            <w:ind w:left="-70"/>
            <w:rPr>
              <w:rFonts w:ascii="Arial" w:hAnsi="Arial" w:cs="Arial"/>
              <w:noProof/>
              <w:sz w:val="16"/>
            </w:rPr>
          </w:pPr>
          <w:r w:rsidRPr="00A57E5E">
            <w:rPr>
              <w:rFonts w:ascii="Arial" w:hAnsi="Arial" w:cs="Arial"/>
              <w:noProof/>
              <w:sz w:val="16"/>
            </w:rPr>
            <w:t>Servicio de Contabilidad</w:t>
          </w:r>
        </w:p>
        <w:p w14:paraId="29EC6BEF" w14:textId="77777777" w:rsidR="00693004" w:rsidRDefault="00693004" w:rsidP="00693004">
          <w:pPr>
            <w:pStyle w:val="Encabezado"/>
            <w:ind w:left="-70"/>
            <w:rPr>
              <w:noProof/>
              <w:sz w:val="16"/>
            </w:rPr>
          </w:pPr>
        </w:p>
        <w:p w14:paraId="6DF57415" w14:textId="77777777" w:rsidR="00693004" w:rsidRDefault="00693004" w:rsidP="00693004">
          <w:pPr>
            <w:pStyle w:val="Encabezado"/>
            <w:ind w:left="-70"/>
            <w:rPr>
              <w:noProof/>
              <w:sz w:val="18"/>
            </w:rPr>
          </w:pPr>
        </w:p>
      </w:tc>
    </w:tr>
  </w:tbl>
  <w:p w14:paraId="6ADF04FD" w14:textId="77777777" w:rsidR="00693004" w:rsidRDefault="001466A3" w:rsidP="00693004">
    <w:pPr>
      <w:pStyle w:val="Encabezado"/>
    </w:pPr>
    <w:r>
      <w:pict w14:anchorId="7F9414C2">
        <v:shape id="_x0000_i1032"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693004" w:rsidRPr="002C5A81" w14:paraId="3827E480" w14:textId="77777777" w:rsidTr="00BE2406">
      <w:tc>
        <w:tcPr>
          <w:tcW w:w="9210" w:type="dxa"/>
          <w:shd w:val="clear" w:color="auto" w:fill="auto"/>
        </w:tcPr>
        <w:p w14:paraId="08CF4158" w14:textId="731D4CC3" w:rsidR="00693004" w:rsidRPr="001149EF" w:rsidRDefault="00693004" w:rsidP="00693004">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w:t>
          </w:r>
          <w:r>
            <w:rPr>
              <w:rFonts w:asciiTheme="minorHAnsi" w:hAnsiTheme="minorHAnsi" w:cstheme="minorHAnsi"/>
              <w:b/>
              <w:sz w:val="24"/>
              <w:szCs w:val="24"/>
            </w:rPr>
            <w:t>2</w:t>
          </w:r>
          <w:r w:rsidR="003A2F17">
            <w:rPr>
              <w:rFonts w:asciiTheme="minorHAnsi" w:hAnsiTheme="minorHAnsi" w:cstheme="minorHAnsi"/>
              <w:b/>
              <w:sz w:val="24"/>
              <w:szCs w:val="24"/>
            </w:rPr>
            <w:t>2</w:t>
          </w:r>
          <w:r>
            <w:rPr>
              <w:rFonts w:asciiTheme="minorHAnsi" w:hAnsiTheme="minorHAnsi" w:cstheme="minorHAnsi"/>
              <w:b/>
              <w:sz w:val="24"/>
              <w:szCs w:val="24"/>
            </w:rPr>
            <w:t>K</w:t>
          </w:r>
          <w:r w:rsidRPr="001149EF">
            <w:rPr>
              <w:rFonts w:asciiTheme="minorHAnsi" w:hAnsiTheme="minorHAnsi" w:cstheme="minorHAnsi"/>
              <w:b/>
              <w:sz w:val="24"/>
              <w:szCs w:val="24"/>
            </w:rPr>
            <w:t xml:space="preserve">O TXOSTENA / </w:t>
          </w:r>
        </w:p>
        <w:p w14:paraId="120A81F2" w14:textId="75035839" w:rsidR="00693004" w:rsidRPr="001149EF" w:rsidRDefault="00693004" w:rsidP="00693004">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Pr>
              <w:rFonts w:asciiTheme="minorHAnsi" w:hAnsiTheme="minorHAnsi" w:cstheme="minorHAnsi"/>
              <w:b/>
              <w:sz w:val="24"/>
              <w:szCs w:val="24"/>
            </w:rPr>
            <w:t>2</w:t>
          </w:r>
          <w:r w:rsidR="003A2F17">
            <w:rPr>
              <w:rFonts w:asciiTheme="minorHAnsi" w:hAnsiTheme="minorHAnsi" w:cstheme="minorHAnsi"/>
              <w:b/>
              <w:sz w:val="24"/>
              <w:szCs w:val="24"/>
            </w:rPr>
            <w:t>2</w:t>
          </w:r>
        </w:p>
      </w:tc>
    </w:tr>
  </w:tbl>
  <w:p w14:paraId="6D75D631" w14:textId="77777777" w:rsidR="00693004" w:rsidRDefault="001466A3" w:rsidP="00693004">
    <w:pPr>
      <w:pStyle w:val="Encabezado"/>
      <w:spacing w:before="120" w:after="120"/>
    </w:pPr>
    <w:r>
      <w:pict w14:anchorId="6EED51E2">
        <v:shape id="_x0000_i1033" type="#_x0000_t75" style="width:567pt;height:7.1pt;mso-position-horizontal:absolute" o:hrpct="0" o:hralign="center" o:hr="t">
          <v:imagedata r:id="rId3" o:title="BD10290_"/>
        </v:shape>
      </w:pict>
    </w:r>
  </w:p>
  <w:p w14:paraId="4B44A856" w14:textId="22822308" w:rsidR="00231F31" w:rsidRDefault="00231F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0FDAFD4" w14:textId="77777777" w:rsidTr="009B0DF3">
      <w:tc>
        <w:tcPr>
          <w:tcW w:w="6591" w:type="dxa"/>
        </w:tcPr>
        <w:p w14:paraId="645F3FB5" w14:textId="77777777" w:rsidR="00231F31" w:rsidRDefault="00231F31" w:rsidP="009B0DF3">
          <w:pPr>
            <w:pStyle w:val="Encabezado"/>
            <w:ind w:left="74"/>
            <w:rPr>
              <w:noProof/>
              <w:sz w:val="16"/>
            </w:rPr>
          </w:pPr>
          <w:r>
            <w:rPr>
              <w:noProof/>
              <w:sz w:val="16"/>
            </w:rPr>
            <w:object w:dxaOrig="3301" w:dyaOrig="1126" w14:anchorId="19493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75pt;height:56.25pt" fillcolor="window">
                <v:imagedata r:id="rId1" o:title=""/>
              </v:shape>
              <o:OLEObject Type="Embed" ProgID="Word.Picture.8" ShapeID="_x0000_i1034" DrawAspect="Content" ObjectID="_1748407144" r:id="rId2"/>
            </w:object>
          </w:r>
        </w:p>
        <w:p w14:paraId="351BED27" w14:textId="77777777" w:rsidR="00231F31" w:rsidRDefault="00231F31" w:rsidP="009B0DF3">
          <w:pPr>
            <w:pStyle w:val="Encabezado"/>
            <w:ind w:left="1064"/>
            <w:rPr>
              <w:noProof/>
              <w:sz w:val="16"/>
            </w:rPr>
          </w:pPr>
        </w:p>
      </w:tc>
      <w:tc>
        <w:tcPr>
          <w:tcW w:w="2551" w:type="dxa"/>
        </w:tcPr>
        <w:p w14:paraId="0B65C85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AC2620E"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E388761"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09AE7B5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5BE900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AA8F539"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ED475E1" w14:textId="77777777" w:rsidR="00231F31" w:rsidRDefault="00231F31" w:rsidP="009B0DF3">
          <w:pPr>
            <w:pStyle w:val="Encabezado"/>
            <w:ind w:left="-70"/>
            <w:rPr>
              <w:noProof/>
              <w:sz w:val="16"/>
            </w:rPr>
          </w:pPr>
        </w:p>
        <w:p w14:paraId="77BB2169" w14:textId="77777777" w:rsidR="00231F31" w:rsidRDefault="00231F31" w:rsidP="009B0DF3">
          <w:pPr>
            <w:pStyle w:val="Encabezado"/>
            <w:ind w:left="-70"/>
            <w:rPr>
              <w:noProof/>
              <w:sz w:val="18"/>
            </w:rPr>
          </w:pPr>
        </w:p>
      </w:tc>
    </w:tr>
  </w:tbl>
  <w:p w14:paraId="7F4F4D6D" w14:textId="77777777" w:rsidR="00231F31" w:rsidRDefault="001466A3" w:rsidP="002C4DDC">
    <w:pPr>
      <w:pStyle w:val="Encabezado"/>
    </w:pPr>
    <w:r>
      <w:pict w14:anchorId="28F77036">
        <v:shape id="_x0000_i1035"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4AE6573D" w14:textId="77777777" w:rsidTr="005133A3">
      <w:tc>
        <w:tcPr>
          <w:tcW w:w="9210" w:type="dxa"/>
          <w:shd w:val="clear" w:color="auto" w:fill="auto"/>
        </w:tcPr>
        <w:p w14:paraId="205A40A4" w14:textId="6D4C8A6D" w:rsidR="00231F31" w:rsidRPr="00FE0D4F" w:rsidRDefault="00231F31" w:rsidP="00492A0B">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w:t>
          </w:r>
          <w:r w:rsidR="00AB0C97">
            <w:rPr>
              <w:rFonts w:asciiTheme="minorHAnsi" w:hAnsiTheme="minorHAnsi" w:cstheme="minorHAnsi"/>
              <w:b/>
              <w:sz w:val="24"/>
              <w:szCs w:val="24"/>
            </w:rPr>
            <w:t>2</w:t>
          </w:r>
          <w:r w:rsidR="008C6E78">
            <w:rPr>
              <w:rFonts w:asciiTheme="minorHAnsi" w:hAnsiTheme="minorHAnsi" w:cstheme="minorHAnsi"/>
              <w:b/>
              <w:sz w:val="24"/>
              <w:szCs w:val="24"/>
            </w:rPr>
            <w:t>2</w:t>
          </w:r>
          <w:r w:rsidRPr="00FE0D4F">
            <w:rPr>
              <w:rFonts w:asciiTheme="minorHAnsi" w:hAnsiTheme="minorHAnsi" w:cstheme="minorHAnsi"/>
              <w:b/>
              <w:sz w:val="24"/>
              <w:szCs w:val="24"/>
            </w:rPr>
            <w:t xml:space="preserve">KO TXOSTENA / </w:t>
          </w:r>
        </w:p>
        <w:p w14:paraId="416E98BD" w14:textId="14163724" w:rsidR="00231F31" w:rsidRPr="005133A3" w:rsidRDefault="00231F31" w:rsidP="00231F31">
          <w:pPr>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AB0C97">
            <w:rPr>
              <w:rFonts w:asciiTheme="minorHAnsi" w:hAnsiTheme="minorHAnsi" w:cstheme="minorHAnsi"/>
              <w:b/>
              <w:sz w:val="24"/>
              <w:szCs w:val="24"/>
            </w:rPr>
            <w:t>2</w:t>
          </w:r>
          <w:r w:rsidR="008C6E78">
            <w:rPr>
              <w:rFonts w:asciiTheme="minorHAnsi" w:hAnsiTheme="minorHAnsi" w:cstheme="minorHAnsi"/>
              <w:b/>
              <w:sz w:val="24"/>
              <w:szCs w:val="24"/>
            </w:rPr>
            <w:t>2</w:t>
          </w:r>
        </w:p>
      </w:tc>
    </w:tr>
  </w:tbl>
  <w:p w14:paraId="01AD8B11" w14:textId="77777777" w:rsidR="00231F31" w:rsidRDefault="001466A3" w:rsidP="0020017B">
    <w:pPr>
      <w:pStyle w:val="Encabezado"/>
      <w:spacing w:before="120" w:after="120"/>
    </w:pPr>
    <w:r>
      <w:pict w14:anchorId="37989146">
        <v:shape id="_x0000_i1036" type="#_x0000_t75" style="width:567pt;height:7.1pt;mso-position-horizontal:absolute" o:hrpct="0" o:hralign="center" o:hr="t">
          <v:imagedata r:id="rId3" o:title="BD10290_"/>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66C8EF6C" w14:textId="77777777" w:rsidTr="00451A5F">
      <w:tc>
        <w:tcPr>
          <w:tcW w:w="10985" w:type="dxa"/>
        </w:tcPr>
        <w:p w14:paraId="58EDBE36" w14:textId="77777777" w:rsidR="00231F31" w:rsidRDefault="00231F31" w:rsidP="009B0DF3">
          <w:pPr>
            <w:pStyle w:val="Encabezado"/>
            <w:ind w:left="74"/>
            <w:rPr>
              <w:noProof/>
              <w:sz w:val="16"/>
            </w:rPr>
          </w:pPr>
          <w:r>
            <w:rPr>
              <w:noProof/>
              <w:sz w:val="16"/>
            </w:rPr>
            <w:object w:dxaOrig="3301" w:dyaOrig="1126" w14:anchorId="7309F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5.75pt;height:56.25pt" fillcolor="window">
                <v:imagedata r:id="rId1" o:title=""/>
              </v:shape>
              <o:OLEObject Type="Embed" ProgID="Word.Picture.8" ShapeID="_x0000_i1037" DrawAspect="Content" ObjectID="_1748407145" r:id="rId2"/>
            </w:object>
          </w:r>
        </w:p>
        <w:p w14:paraId="33A709E4" w14:textId="77777777" w:rsidR="00231F31" w:rsidRDefault="00231F31" w:rsidP="009B0DF3">
          <w:pPr>
            <w:pStyle w:val="Encabezado"/>
            <w:ind w:left="1064"/>
            <w:rPr>
              <w:noProof/>
              <w:sz w:val="16"/>
            </w:rPr>
          </w:pPr>
        </w:p>
      </w:tc>
      <w:tc>
        <w:tcPr>
          <w:tcW w:w="2693" w:type="dxa"/>
        </w:tcPr>
        <w:p w14:paraId="2A33355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992F9D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6878AC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78E35CF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573434E"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1E9E8AA"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8FC016" w14:textId="77777777" w:rsidR="00231F31" w:rsidRDefault="00231F31" w:rsidP="009B0DF3">
          <w:pPr>
            <w:pStyle w:val="Encabezado"/>
            <w:ind w:left="-70"/>
            <w:rPr>
              <w:noProof/>
              <w:sz w:val="18"/>
            </w:rPr>
          </w:pPr>
        </w:p>
      </w:tc>
    </w:tr>
  </w:tbl>
  <w:p w14:paraId="4595DD7F" w14:textId="77777777" w:rsidR="00231F31" w:rsidRDefault="001466A3" w:rsidP="00482817">
    <w:pPr>
      <w:pStyle w:val="Encabezado"/>
    </w:pPr>
    <w:r>
      <w:pict w14:anchorId="5FC05A5A">
        <v:shape id="_x0000_i1038"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C5C53D3" w14:textId="77777777" w:rsidTr="005133A3">
      <w:tc>
        <w:tcPr>
          <w:tcW w:w="13716" w:type="dxa"/>
          <w:shd w:val="clear" w:color="auto" w:fill="auto"/>
        </w:tcPr>
        <w:p w14:paraId="215F341F" w14:textId="6532D32D" w:rsidR="00231F31" w:rsidRPr="00FE0D4F" w:rsidRDefault="00231F31" w:rsidP="00501773">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w:t>
          </w:r>
          <w:r w:rsidR="001231E7">
            <w:rPr>
              <w:rFonts w:asciiTheme="minorHAnsi" w:hAnsiTheme="minorHAnsi" w:cstheme="minorHAnsi"/>
              <w:b/>
              <w:sz w:val="24"/>
              <w:szCs w:val="24"/>
            </w:rPr>
            <w:t xml:space="preserve"> </w:t>
          </w:r>
          <w:r w:rsidRPr="00FE0D4F">
            <w:rPr>
              <w:rFonts w:asciiTheme="minorHAnsi" w:hAnsiTheme="minorHAnsi" w:cstheme="minorHAnsi"/>
              <w:b/>
              <w:sz w:val="24"/>
              <w:szCs w:val="24"/>
            </w:rPr>
            <w:t>20</w:t>
          </w:r>
          <w:r w:rsidR="003218D4">
            <w:rPr>
              <w:rFonts w:asciiTheme="minorHAnsi" w:hAnsiTheme="minorHAnsi" w:cstheme="minorHAnsi"/>
              <w:b/>
              <w:sz w:val="24"/>
              <w:szCs w:val="24"/>
            </w:rPr>
            <w:t>2</w:t>
          </w:r>
          <w:r w:rsidR="00E4643C">
            <w:rPr>
              <w:rFonts w:asciiTheme="minorHAnsi" w:hAnsiTheme="minorHAnsi" w:cstheme="minorHAnsi"/>
              <w:b/>
              <w:sz w:val="24"/>
              <w:szCs w:val="24"/>
            </w:rPr>
            <w:t>2</w:t>
          </w:r>
          <w:r w:rsidRPr="00FE0D4F">
            <w:rPr>
              <w:rFonts w:asciiTheme="minorHAnsi" w:hAnsiTheme="minorHAnsi" w:cstheme="minorHAnsi"/>
              <w:b/>
              <w:sz w:val="24"/>
              <w:szCs w:val="24"/>
            </w:rPr>
            <w:t xml:space="preserve">KO TXOSTENA / </w:t>
          </w:r>
        </w:p>
        <w:p w14:paraId="5C5F3AB7" w14:textId="0BDF8500"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3218D4">
            <w:rPr>
              <w:rFonts w:asciiTheme="minorHAnsi" w:hAnsiTheme="minorHAnsi" w:cstheme="minorHAnsi"/>
              <w:b/>
              <w:sz w:val="24"/>
              <w:szCs w:val="24"/>
            </w:rPr>
            <w:t>2</w:t>
          </w:r>
          <w:r w:rsidR="00E4643C">
            <w:rPr>
              <w:rFonts w:asciiTheme="minorHAnsi" w:hAnsiTheme="minorHAnsi" w:cstheme="minorHAnsi"/>
              <w:b/>
              <w:sz w:val="24"/>
              <w:szCs w:val="24"/>
            </w:rPr>
            <w:t>2</w:t>
          </w:r>
        </w:p>
      </w:tc>
    </w:tr>
  </w:tbl>
  <w:p w14:paraId="0D089B39" w14:textId="77777777" w:rsidR="00231F31" w:rsidRDefault="001466A3">
    <w:pPr>
      <w:pStyle w:val="Encabezado"/>
    </w:pPr>
    <w:r>
      <w:pict w14:anchorId="71571F29">
        <v:shape id="_x0000_i1039" type="#_x0000_t75" style="width:680.4pt;height:7.1pt" o:hrpct="0" o:hr="t">
          <v:imagedata r:id="rId3" o:title="BD10290_"/>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5E087FC9" w14:textId="77777777" w:rsidTr="00451A5F">
      <w:tc>
        <w:tcPr>
          <w:tcW w:w="10985" w:type="dxa"/>
        </w:tcPr>
        <w:p w14:paraId="56AE3909" w14:textId="77777777" w:rsidR="00231F31" w:rsidRDefault="00231F31" w:rsidP="009B0DF3">
          <w:pPr>
            <w:pStyle w:val="Encabezado"/>
            <w:ind w:left="74"/>
            <w:rPr>
              <w:noProof/>
              <w:sz w:val="16"/>
            </w:rPr>
          </w:pPr>
          <w:r>
            <w:rPr>
              <w:noProof/>
              <w:sz w:val="16"/>
            </w:rPr>
            <w:object w:dxaOrig="3301" w:dyaOrig="1126" w14:anchorId="36535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5.75pt;height:56.25pt" fillcolor="window">
                <v:imagedata r:id="rId1" o:title=""/>
              </v:shape>
              <o:OLEObject Type="Embed" ProgID="Word.Picture.8" ShapeID="_x0000_i1040" DrawAspect="Content" ObjectID="_1748407146" r:id="rId2"/>
            </w:object>
          </w:r>
        </w:p>
        <w:p w14:paraId="74CEED80" w14:textId="77777777" w:rsidR="00231F31" w:rsidRDefault="00231F31" w:rsidP="009B0DF3">
          <w:pPr>
            <w:pStyle w:val="Encabezado"/>
            <w:ind w:left="1064"/>
            <w:rPr>
              <w:noProof/>
              <w:sz w:val="16"/>
            </w:rPr>
          </w:pPr>
        </w:p>
      </w:tc>
      <w:tc>
        <w:tcPr>
          <w:tcW w:w="2693" w:type="dxa"/>
        </w:tcPr>
        <w:p w14:paraId="417A428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A573F2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501DF27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7EC77E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35C0D899"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42422CD7"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7FBF03FA" w14:textId="77777777" w:rsidR="00231F31" w:rsidRDefault="00231F31" w:rsidP="009B0DF3">
          <w:pPr>
            <w:pStyle w:val="Encabezado"/>
            <w:ind w:left="-70"/>
            <w:rPr>
              <w:noProof/>
              <w:sz w:val="18"/>
            </w:rPr>
          </w:pPr>
        </w:p>
      </w:tc>
    </w:tr>
  </w:tbl>
  <w:p w14:paraId="071B2681" w14:textId="77777777" w:rsidR="00231F31" w:rsidRDefault="001466A3" w:rsidP="002C4DDC">
    <w:pPr>
      <w:pStyle w:val="Encabezado"/>
    </w:pPr>
    <w:r>
      <w:pict w14:anchorId="36BF506C">
        <v:shape id="_x0000_i1041"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22123B1" w14:textId="77777777" w:rsidTr="005133A3">
      <w:tc>
        <w:tcPr>
          <w:tcW w:w="13716" w:type="dxa"/>
          <w:shd w:val="clear" w:color="auto" w:fill="auto"/>
        </w:tcPr>
        <w:p w14:paraId="37A0C63B" w14:textId="318F29BE" w:rsidR="00231F31" w:rsidRPr="00FE0D4F" w:rsidRDefault="00231F31" w:rsidP="002F01D9">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w:t>
          </w:r>
          <w:r w:rsidR="00AB0C97">
            <w:rPr>
              <w:rFonts w:asciiTheme="minorHAnsi" w:hAnsiTheme="minorHAnsi" w:cstheme="minorHAnsi"/>
              <w:b/>
              <w:sz w:val="24"/>
              <w:szCs w:val="24"/>
            </w:rPr>
            <w:t>2</w:t>
          </w:r>
          <w:r w:rsidR="008C6E78">
            <w:rPr>
              <w:rFonts w:asciiTheme="minorHAnsi" w:hAnsiTheme="minorHAnsi" w:cstheme="minorHAnsi"/>
              <w:b/>
              <w:sz w:val="24"/>
              <w:szCs w:val="24"/>
            </w:rPr>
            <w:t>2</w:t>
          </w:r>
          <w:r w:rsidRPr="00FE0D4F">
            <w:rPr>
              <w:rFonts w:asciiTheme="minorHAnsi" w:hAnsiTheme="minorHAnsi" w:cstheme="minorHAnsi"/>
              <w:b/>
              <w:sz w:val="24"/>
              <w:szCs w:val="24"/>
            </w:rPr>
            <w:t xml:space="preserve">KO TXOSTENA / </w:t>
          </w:r>
        </w:p>
        <w:p w14:paraId="2DE19515" w14:textId="4BEF37A1"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 xml:space="preserve">INFORME DE ESTABILIDAD PRESUPUESTARIA Y SOSTENIBILIDAD FINANCIERA </w:t>
          </w:r>
          <w:r w:rsidR="00AB0C97">
            <w:rPr>
              <w:rFonts w:asciiTheme="minorHAnsi" w:hAnsiTheme="minorHAnsi" w:cstheme="minorHAnsi"/>
              <w:b/>
              <w:sz w:val="24"/>
              <w:szCs w:val="24"/>
            </w:rPr>
            <w:t>–</w:t>
          </w:r>
          <w:r w:rsidRPr="00FE0D4F">
            <w:rPr>
              <w:rFonts w:asciiTheme="minorHAnsi" w:hAnsiTheme="minorHAnsi" w:cstheme="minorHAnsi"/>
              <w:b/>
              <w:sz w:val="24"/>
              <w:szCs w:val="24"/>
            </w:rPr>
            <w:t xml:space="preserve"> 20</w:t>
          </w:r>
          <w:r w:rsidR="00AB0C97">
            <w:rPr>
              <w:rFonts w:asciiTheme="minorHAnsi" w:hAnsiTheme="minorHAnsi" w:cstheme="minorHAnsi"/>
              <w:b/>
              <w:sz w:val="24"/>
              <w:szCs w:val="24"/>
            </w:rPr>
            <w:t>2</w:t>
          </w:r>
          <w:r w:rsidR="008C6E78">
            <w:rPr>
              <w:rFonts w:asciiTheme="minorHAnsi" w:hAnsiTheme="minorHAnsi" w:cstheme="minorHAnsi"/>
              <w:b/>
              <w:sz w:val="24"/>
              <w:szCs w:val="24"/>
            </w:rPr>
            <w:t>2</w:t>
          </w:r>
        </w:p>
      </w:tc>
    </w:tr>
  </w:tbl>
  <w:p w14:paraId="0C6307B5" w14:textId="77777777" w:rsidR="00231F31" w:rsidRDefault="001466A3">
    <w:pPr>
      <w:pStyle w:val="Encabezado"/>
    </w:pPr>
    <w:r>
      <w:pict w14:anchorId="647D0B82">
        <v:shape id="_x0000_i1042" type="#_x0000_t75" style="width:680.4pt;height:7.1pt" o:hrpct="0" o:hr="t">
          <v:imagedata r:id="rId3" o:title="BD10290_"/>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152E3771" w14:textId="77777777" w:rsidTr="009B0DF3">
      <w:tc>
        <w:tcPr>
          <w:tcW w:w="6591" w:type="dxa"/>
        </w:tcPr>
        <w:p w14:paraId="72EA16A9" w14:textId="77777777" w:rsidR="00231F31" w:rsidRDefault="00231F31" w:rsidP="009B0DF3">
          <w:pPr>
            <w:pStyle w:val="Encabezado"/>
            <w:ind w:left="74"/>
            <w:rPr>
              <w:noProof/>
              <w:sz w:val="16"/>
            </w:rPr>
          </w:pPr>
          <w:r>
            <w:rPr>
              <w:noProof/>
              <w:sz w:val="16"/>
            </w:rPr>
            <w:object w:dxaOrig="3301" w:dyaOrig="1126" w14:anchorId="2C2F7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5.75pt;height:56.25pt" fillcolor="window">
                <v:imagedata r:id="rId1" o:title=""/>
              </v:shape>
              <o:OLEObject Type="Embed" ProgID="Word.Picture.8" ShapeID="_x0000_i1043" DrawAspect="Content" ObjectID="_1748407147" r:id="rId2"/>
            </w:object>
          </w:r>
        </w:p>
        <w:p w14:paraId="19744589" w14:textId="77777777" w:rsidR="00231F31" w:rsidRDefault="00231F31" w:rsidP="009B0DF3">
          <w:pPr>
            <w:pStyle w:val="Encabezado"/>
            <w:ind w:left="1064"/>
            <w:rPr>
              <w:noProof/>
              <w:sz w:val="16"/>
            </w:rPr>
          </w:pPr>
        </w:p>
      </w:tc>
      <w:tc>
        <w:tcPr>
          <w:tcW w:w="2551" w:type="dxa"/>
        </w:tcPr>
        <w:p w14:paraId="1C9C613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364ABA5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BDBBEB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6830A99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2DE77674"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23B7FD2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476D5A5" w14:textId="77777777" w:rsidR="00231F31" w:rsidRDefault="00231F31" w:rsidP="009B0DF3">
          <w:pPr>
            <w:pStyle w:val="Encabezado"/>
            <w:ind w:left="-70"/>
            <w:rPr>
              <w:noProof/>
              <w:sz w:val="16"/>
            </w:rPr>
          </w:pPr>
        </w:p>
        <w:p w14:paraId="3DEF020B" w14:textId="77777777" w:rsidR="00231F31" w:rsidRDefault="00231F31" w:rsidP="009B0DF3">
          <w:pPr>
            <w:pStyle w:val="Encabezado"/>
            <w:ind w:left="-70"/>
            <w:rPr>
              <w:noProof/>
              <w:sz w:val="18"/>
            </w:rPr>
          </w:pPr>
        </w:p>
      </w:tc>
    </w:tr>
  </w:tbl>
  <w:p w14:paraId="29119C8E" w14:textId="77777777" w:rsidR="00231F31" w:rsidRDefault="001466A3" w:rsidP="00357202">
    <w:pPr>
      <w:pStyle w:val="Encabezado"/>
    </w:pPr>
    <w:r>
      <w:pict w14:anchorId="33F46595">
        <v:shape id="_x0000_i1044" type="#_x0000_t75" style="width:453.6pt;height:7.1pt" o:hrpct="0" o:hr="t">
          <v:imagedata r:id="rId3" o:title="BD10290_"/>
        </v:shape>
      </w:pict>
    </w:r>
  </w:p>
  <w:tbl>
    <w:tblPr>
      <w:tblW w:w="0" w:type="auto"/>
      <w:tblLook w:val="01E0" w:firstRow="1" w:lastRow="1" w:firstColumn="1" w:lastColumn="1" w:noHBand="0" w:noVBand="0"/>
    </w:tblPr>
    <w:tblGrid>
      <w:gridCol w:w="9070"/>
    </w:tblGrid>
    <w:tr w:rsidR="00231F31" w:rsidRPr="002C5A81" w14:paraId="65FBB499" w14:textId="77777777" w:rsidTr="005133A3">
      <w:tc>
        <w:tcPr>
          <w:tcW w:w="9210" w:type="dxa"/>
          <w:shd w:val="clear" w:color="auto" w:fill="auto"/>
        </w:tcPr>
        <w:p w14:paraId="23AFB766" w14:textId="52DCC9B9" w:rsidR="00231F31" w:rsidRPr="00F14225" w:rsidRDefault="00231F31" w:rsidP="009A525A">
          <w:pPr>
            <w:ind w:left="170"/>
            <w:jc w:val="both"/>
            <w:rPr>
              <w:rFonts w:asciiTheme="minorHAnsi" w:hAnsiTheme="minorHAnsi" w:cstheme="minorHAnsi"/>
              <w:b/>
              <w:sz w:val="24"/>
              <w:szCs w:val="24"/>
            </w:rPr>
          </w:pPr>
          <w:r w:rsidRPr="00F14225">
            <w:rPr>
              <w:rFonts w:asciiTheme="minorHAnsi" w:hAnsiTheme="minorHAnsi" w:cstheme="minorHAnsi"/>
              <w:b/>
              <w:sz w:val="24"/>
              <w:szCs w:val="24"/>
            </w:rPr>
            <w:t>AURREKONTU EGONKORTASUNAREN ETA FINANTZA IRAUNKORTASUNAREN 20</w:t>
          </w:r>
          <w:r w:rsidR="00DE5031">
            <w:rPr>
              <w:rFonts w:asciiTheme="minorHAnsi" w:hAnsiTheme="minorHAnsi" w:cstheme="minorHAnsi"/>
              <w:b/>
              <w:sz w:val="24"/>
              <w:szCs w:val="24"/>
            </w:rPr>
            <w:t>2</w:t>
          </w:r>
          <w:r w:rsidR="001231E7">
            <w:rPr>
              <w:rFonts w:asciiTheme="minorHAnsi" w:hAnsiTheme="minorHAnsi" w:cstheme="minorHAnsi"/>
              <w:b/>
              <w:sz w:val="24"/>
              <w:szCs w:val="24"/>
            </w:rPr>
            <w:t>2</w:t>
          </w:r>
          <w:r w:rsidRPr="00F14225">
            <w:rPr>
              <w:rFonts w:asciiTheme="minorHAnsi" w:hAnsiTheme="minorHAnsi" w:cstheme="minorHAnsi"/>
              <w:b/>
              <w:sz w:val="24"/>
              <w:szCs w:val="24"/>
            </w:rPr>
            <w:t xml:space="preserve">KO TXOSTENA / </w:t>
          </w:r>
        </w:p>
        <w:p w14:paraId="271B864B" w14:textId="04A4DE50" w:rsidR="00231F31" w:rsidRPr="005133A3" w:rsidRDefault="00231F31" w:rsidP="009F45FD">
          <w:pPr>
            <w:spacing w:after="140"/>
            <w:ind w:left="170"/>
            <w:jc w:val="both"/>
            <w:rPr>
              <w:rFonts w:ascii="Arial" w:hAnsi="Arial" w:cs="Arial"/>
              <w:b/>
              <w:sz w:val="24"/>
              <w:szCs w:val="24"/>
            </w:rPr>
          </w:pPr>
          <w:r w:rsidRPr="00F14225">
            <w:rPr>
              <w:rFonts w:asciiTheme="minorHAnsi" w:hAnsiTheme="minorHAnsi" w:cstheme="minorHAnsi"/>
              <w:b/>
              <w:sz w:val="24"/>
              <w:szCs w:val="24"/>
            </w:rPr>
            <w:t>INFORME DE ESTABILIDAD PRESUPUESTARIA Y SOSTENIBILIDAD FINANCIERA - 20</w:t>
          </w:r>
          <w:r w:rsidR="00DE5031">
            <w:rPr>
              <w:rFonts w:asciiTheme="minorHAnsi" w:hAnsiTheme="minorHAnsi" w:cstheme="minorHAnsi"/>
              <w:b/>
              <w:sz w:val="24"/>
              <w:szCs w:val="24"/>
            </w:rPr>
            <w:t>2</w:t>
          </w:r>
          <w:r w:rsidR="001231E7">
            <w:rPr>
              <w:rFonts w:asciiTheme="minorHAnsi" w:hAnsiTheme="minorHAnsi" w:cstheme="minorHAnsi"/>
              <w:b/>
              <w:sz w:val="24"/>
              <w:szCs w:val="24"/>
            </w:rPr>
            <w:t>2</w:t>
          </w:r>
        </w:p>
      </w:tc>
    </w:tr>
  </w:tbl>
  <w:p w14:paraId="044C4B1F" w14:textId="77777777" w:rsidR="00231F31" w:rsidRDefault="001466A3">
    <w:pPr>
      <w:pStyle w:val="Encabezado"/>
    </w:pPr>
    <w:r>
      <w:pict w14:anchorId="41E9DC45">
        <v:shape id="_x0000_i1045" type="#_x0000_t75" style="width:453.6pt;height:7.1pt" o:hrpct="0" o:hr="t">
          <v:imagedata r:id="rId3" o:title="BD10290_"/>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CC09945" w14:textId="77777777" w:rsidTr="009B0DF3">
      <w:tc>
        <w:tcPr>
          <w:tcW w:w="6591" w:type="dxa"/>
        </w:tcPr>
        <w:p w14:paraId="299E586C" w14:textId="77777777" w:rsidR="00231F31" w:rsidRDefault="00231F31" w:rsidP="009B0DF3">
          <w:pPr>
            <w:pStyle w:val="Encabezado"/>
            <w:ind w:left="74"/>
            <w:rPr>
              <w:noProof/>
              <w:sz w:val="16"/>
            </w:rPr>
          </w:pPr>
          <w:r>
            <w:rPr>
              <w:noProof/>
              <w:sz w:val="16"/>
            </w:rPr>
            <w:object w:dxaOrig="3301" w:dyaOrig="1126" w14:anchorId="43B42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5.75pt;height:56.25pt" fillcolor="window">
                <v:imagedata r:id="rId1" o:title=""/>
              </v:shape>
              <o:OLEObject Type="Embed" ProgID="Word.Picture.8" ShapeID="_x0000_i1046" DrawAspect="Content" ObjectID="_1748407148" r:id="rId2"/>
            </w:object>
          </w:r>
        </w:p>
        <w:p w14:paraId="3AB2FA7B" w14:textId="77777777" w:rsidR="00231F31" w:rsidRDefault="00231F31" w:rsidP="009B0DF3">
          <w:pPr>
            <w:pStyle w:val="Encabezado"/>
            <w:ind w:left="1064"/>
            <w:rPr>
              <w:noProof/>
              <w:sz w:val="16"/>
            </w:rPr>
          </w:pPr>
        </w:p>
      </w:tc>
      <w:tc>
        <w:tcPr>
          <w:tcW w:w="2551" w:type="dxa"/>
        </w:tcPr>
        <w:p w14:paraId="7F4012F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24056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8F0873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3E7FAB9C"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2E751B8"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F36D5B6"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B1871A" w14:textId="77777777" w:rsidR="00231F31" w:rsidRDefault="00231F31" w:rsidP="009B0DF3">
          <w:pPr>
            <w:pStyle w:val="Encabezado"/>
            <w:ind w:left="-70"/>
            <w:rPr>
              <w:noProof/>
              <w:sz w:val="16"/>
            </w:rPr>
          </w:pPr>
        </w:p>
        <w:p w14:paraId="7698BE11" w14:textId="77777777" w:rsidR="00231F31" w:rsidRDefault="00231F31" w:rsidP="009B0DF3">
          <w:pPr>
            <w:pStyle w:val="Encabezado"/>
            <w:ind w:left="-70"/>
            <w:rPr>
              <w:noProof/>
              <w:sz w:val="18"/>
            </w:rPr>
          </w:pPr>
        </w:p>
      </w:tc>
    </w:tr>
  </w:tbl>
  <w:p w14:paraId="63C4D916" w14:textId="77777777" w:rsidR="00231F31" w:rsidRDefault="001466A3" w:rsidP="00CB0FEF">
    <w:pPr>
      <w:pStyle w:val="Encabezado"/>
    </w:pPr>
    <w:r>
      <w:pict w14:anchorId="7132D187">
        <v:shape id="_x0000_i1047"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14:paraId="4E2A8D0A" w14:textId="77777777" w:rsidTr="005133A3">
      <w:tc>
        <w:tcPr>
          <w:tcW w:w="9210" w:type="dxa"/>
          <w:shd w:val="clear" w:color="auto" w:fill="auto"/>
        </w:tcPr>
        <w:p w14:paraId="11C905D9" w14:textId="31FD58F2" w:rsidR="00231F31" w:rsidRPr="00240BAC" w:rsidRDefault="00231F31" w:rsidP="009A525A">
          <w:pPr>
            <w:ind w:left="170"/>
            <w:jc w:val="both"/>
            <w:rPr>
              <w:rFonts w:asciiTheme="minorHAnsi" w:hAnsiTheme="minorHAnsi" w:cstheme="minorHAnsi"/>
              <w:b/>
              <w:sz w:val="24"/>
              <w:szCs w:val="24"/>
            </w:rPr>
          </w:pPr>
          <w:r w:rsidRPr="00240BAC">
            <w:rPr>
              <w:rFonts w:asciiTheme="minorHAnsi" w:hAnsiTheme="minorHAnsi" w:cstheme="minorHAnsi"/>
              <w:b/>
              <w:sz w:val="24"/>
              <w:szCs w:val="24"/>
            </w:rPr>
            <w:t>AURREKONTU EGONKORTASUNAREN ETA FINANTZA IRAUNKORTASUNAREN 20</w:t>
          </w:r>
          <w:r w:rsidR="008E7FCC">
            <w:rPr>
              <w:rFonts w:asciiTheme="minorHAnsi" w:hAnsiTheme="minorHAnsi" w:cstheme="minorHAnsi"/>
              <w:b/>
              <w:sz w:val="24"/>
              <w:szCs w:val="24"/>
            </w:rPr>
            <w:t>2</w:t>
          </w:r>
          <w:r w:rsidR="001231E7">
            <w:rPr>
              <w:rFonts w:asciiTheme="minorHAnsi" w:hAnsiTheme="minorHAnsi" w:cstheme="minorHAnsi"/>
              <w:b/>
              <w:sz w:val="24"/>
              <w:szCs w:val="24"/>
            </w:rPr>
            <w:t>2</w:t>
          </w:r>
          <w:r w:rsidRPr="00240BAC">
            <w:rPr>
              <w:rFonts w:asciiTheme="minorHAnsi" w:hAnsiTheme="minorHAnsi" w:cstheme="minorHAnsi"/>
              <w:b/>
              <w:sz w:val="24"/>
              <w:szCs w:val="24"/>
            </w:rPr>
            <w:t xml:space="preserve">KO TXOSTENA / </w:t>
          </w:r>
        </w:p>
        <w:p w14:paraId="67F21C0A" w14:textId="379905A4" w:rsidR="00231F31" w:rsidRPr="005133A3" w:rsidRDefault="00231F31" w:rsidP="00DA6728">
          <w:pPr>
            <w:ind w:left="170"/>
            <w:jc w:val="both"/>
            <w:rPr>
              <w:rFonts w:ascii="Arial" w:hAnsi="Arial" w:cs="Arial"/>
              <w:b/>
              <w:sz w:val="24"/>
              <w:szCs w:val="24"/>
            </w:rPr>
          </w:pPr>
          <w:r w:rsidRPr="00240BAC">
            <w:rPr>
              <w:rFonts w:asciiTheme="minorHAnsi" w:hAnsiTheme="minorHAnsi" w:cstheme="minorHAnsi"/>
              <w:b/>
              <w:sz w:val="24"/>
              <w:szCs w:val="24"/>
            </w:rPr>
            <w:t>INFORME DE ESTABILIDAD PRESUPUESTARIA Y SOSTENIBILIDAD FINANCIERA - 20</w:t>
          </w:r>
          <w:r w:rsidR="008E7FCC">
            <w:rPr>
              <w:rFonts w:asciiTheme="minorHAnsi" w:hAnsiTheme="minorHAnsi" w:cstheme="minorHAnsi"/>
              <w:b/>
              <w:sz w:val="24"/>
              <w:szCs w:val="24"/>
            </w:rPr>
            <w:t>2</w:t>
          </w:r>
          <w:r w:rsidR="001231E7">
            <w:rPr>
              <w:rFonts w:asciiTheme="minorHAnsi" w:hAnsiTheme="minorHAnsi" w:cstheme="minorHAnsi"/>
              <w:b/>
              <w:sz w:val="24"/>
              <w:szCs w:val="24"/>
            </w:rPr>
            <w:t>2</w:t>
          </w:r>
        </w:p>
      </w:tc>
    </w:tr>
  </w:tbl>
  <w:p w14:paraId="51719791" w14:textId="77777777" w:rsidR="00231F31" w:rsidRDefault="001466A3" w:rsidP="0020017B">
    <w:pPr>
      <w:pStyle w:val="Encabezado"/>
      <w:spacing w:before="120" w:after="120"/>
    </w:pPr>
    <w:r>
      <w:pict w14:anchorId="459D0F25">
        <v:shape id="_x0000_i1048" type="#_x0000_t75" style="width:453.6pt;height:7.1pt" o:hrpct="0" o:hr="t">
          <v:imagedata r:id="rId3" o:title="BD10290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E67"/>
    <w:multiLevelType w:val="hybridMultilevel"/>
    <w:tmpl w:val="576665C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525C0"/>
    <w:multiLevelType w:val="hybridMultilevel"/>
    <w:tmpl w:val="D5DCD232"/>
    <w:lvl w:ilvl="0" w:tplc="368CEE22">
      <w:start w:val="1"/>
      <w:numFmt w:val="bullet"/>
      <w:lvlText w:val=""/>
      <w:lvlJc w:val="left"/>
      <w:pPr>
        <w:tabs>
          <w:tab w:val="num" w:pos="284"/>
        </w:tabs>
        <w:ind w:left="720" w:hanging="3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A7138"/>
    <w:multiLevelType w:val="hybridMultilevel"/>
    <w:tmpl w:val="A2F66390"/>
    <w:lvl w:ilvl="0" w:tplc="EB56FC26">
      <w:start w:val="1"/>
      <w:numFmt w:val="bullet"/>
      <w:lvlText w:val=""/>
      <w:lvlJc w:val="left"/>
      <w:pPr>
        <w:tabs>
          <w:tab w:val="num" w:pos="170"/>
        </w:tabs>
        <w:ind w:left="227"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00996"/>
    <w:multiLevelType w:val="hybridMultilevel"/>
    <w:tmpl w:val="F1A8424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858"/>
    <w:multiLevelType w:val="multilevel"/>
    <w:tmpl w:val="71265816"/>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E46070"/>
    <w:multiLevelType w:val="singleLevel"/>
    <w:tmpl w:val="FF96B89E"/>
    <w:lvl w:ilvl="0">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367E449E"/>
    <w:multiLevelType w:val="hybridMultilevel"/>
    <w:tmpl w:val="6018F15E"/>
    <w:lvl w:ilvl="0" w:tplc="FC7CE674">
      <w:start w:val="1"/>
      <w:numFmt w:val="bullet"/>
      <w:lvlText w:val=""/>
      <w:lvlJc w:val="left"/>
      <w:pPr>
        <w:tabs>
          <w:tab w:val="num" w:pos="397"/>
        </w:tabs>
        <w:ind w:left="45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2278D"/>
    <w:multiLevelType w:val="hybridMultilevel"/>
    <w:tmpl w:val="4E986C9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AD41FAE"/>
    <w:multiLevelType w:val="hybridMultilevel"/>
    <w:tmpl w:val="0B1C843C"/>
    <w:lvl w:ilvl="0" w:tplc="05B66BF2">
      <w:start w:val="1"/>
      <w:numFmt w:val="bullet"/>
      <w:lvlText w:val="-"/>
      <w:lvlJc w:val="left"/>
      <w:pPr>
        <w:tabs>
          <w:tab w:val="num" w:pos="453"/>
        </w:tabs>
        <w:ind w:left="679"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50DED"/>
    <w:multiLevelType w:val="multilevel"/>
    <w:tmpl w:val="6ADE2C8C"/>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
      <w:lvlJc w:val="left"/>
      <w:pPr>
        <w:tabs>
          <w:tab w:val="num" w:pos="454"/>
        </w:tabs>
        <w:ind w:left="454"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12C28"/>
    <w:multiLevelType w:val="hybridMultilevel"/>
    <w:tmpl w:val="6930D31A"/>
    <w:lvl w:ilvl="0" w:tplc="E994573C">
      <w:start w:val="1"/>
      <w:numFmt w:val="bullet"/>
      <w:lvlText w:val="-"/>
      <w:lvlJc w:val="left"/>
      <w:pPr>
        <w:tabs>
          <w:tab w:val="num" w:pos="453"/>
        </w:tabs>
        <w:ind w:left="680" w:hanging="22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2ED"/>
    <w:multiLevelType w:val="multilevel"/>
    <w:tmpl w:val="848EC188"/>
    <w:lvl w:ilvl="0">
      <w:start w:val="1"/>
      <w:numFmt w:val="bullet"/>
      <w:lvlText w:val="-"/>
      <w:lvlJc w:val="left"/>
      <w:pPr>
        <w:tabs>
          <w:tab w:val="num" w:pos="454"/>
        </w:tabs>
        <w:ind w:left="680" w:hanging="22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14C72"/>
    <w:multiLevelType w:val="hybridMultilevel"/>
    <w:tmpl w:val="EA8EF8DE"/>
    <w:lvl w:ilvl="0" w:tplc="C5168E56">
      <w:start w:val="1"/>
      <w:numFmt w:val="decimal"/>
      <w:lvlText w:val="%1)"/>
      <w:lvlJc w:val="left"/>
      <w:pPr>
        <w:ind w:left="1065" w:hanging="705"/>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34B3057"/>
    <w:multiLevelType w:val="hybridMultilevel"/>
    <w:tmpl w:val="8D50B844"/>
    <w:lvl w:ilvl="0" w:tplc="E63669C2">
      <w:start w:val="1"/>
      <w:numFmt w:val="bullet"/>
      <w:lvlText w:val=""/>
      <w:lvlJc w:val="left"/>
      <w:pPr>
        <w:tabs>
          <w:tab w:val="num" w:pos="530"/>
        </w:tabs>
        <w:ind w:left="530" w:hanging="360"/>
      </w:pPr>
      <w:rPr>
        <w:rFonts w:ascii="Symbol" w:hAnsi="Symbol" w:hint="default"/>
      </w:rPr>
    </w:lvl>
    <w:lvl w:ilvl="1" w:tplc="0C0A0003">
      <w:start w:val="1"/>
      <w:numFmt w:val="bullet"/>
      <w:lvlText w:val="o"/>
      <w:lvlJc w:val="left"/>
      <w:pPr>
        <w:tabs>
          <w:tab w:val="num" w:pos="1250"/>
        </w:tabs>
        <w:ind w:left="1250" w:hanging="360"/>
      </w:pPr>
      <w:rPr>
        <w:rFonts w:ascii="Courier New" w:hAnsi="Courier New" w:cs="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cs="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cs="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53EB2156"/>
    <w:multiLevelType w:val="hybridMultilevel"/>
    <w:tmpl w:val="3830D5EE"/>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3C1D69"/>
    <w:multiLevelType w:val="hybridMultilevel"/>
    <w:tmpl w:val="F586CD80"/>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A2B95"/>
    <w:multiLevelType w:val="hybridMultilevel"/>
    <w:tmpl w:val="63763BA6"/>
    <w:lvl w:ilvl="0" w:tplc="EF7AAF26">
      <w:start w:val="1"/>
      <w:numFmt w:val="bullet"/>
      <w:lvlText w:val="-"/>
      <w:lvlJc w:val="left"/>
      <w:pPr>
        <w:tabs>
          <w:tab w:val="num" w:pos="454"/>
        </w:tabs>
        <w:ind w:left="454" w:hanging="171"/>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B7648"/>
    <w:multiLevelType w:val="multilevel"/>
    <w:tmpl w:val="A2F66390"/>
    <w:lvl w:ilvl="0">
      <w:start w:val="1"/>
      <w:numFmt w:val="bullet"/>
      <w:lvlText w:val=""/>
      <w:lvlJc w:val="left"/>
      <w:pPr>
        <w:tabs>
          <w:tab w:val="num" w:pos="170"/>
        </w:tabs>
        <w:ind w:left="22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03E5D"/>
    <w:multiLevelType w:val="multilevel"/>
    <w:tmpl w:val="6930D31A"/>
    <w:lvl w:ilvl="0">
      <w:start w:val="1"/>
      <w:numFmt w:val="bullet"/>
      <w:lvlText w:val="-"/>
      <w:lvlJc w:val="left"/>
      <w:pPr>
        <w:tabs>
          <w:tab w:val="num" w:pos="453"/>
        </w:tabs>
        <w:ind w:left="680"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1349E"/>
    <w:multiLevelType w:val="hybridMultilevel"/>
    <w:tmpl w:val="848EC188"/>
    <w:lvl w:ilvl="0" w:tplc="9BEE7812">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14B90"/>
    <w:multiLevelType w:val="hybridMultilevel"/>
    <w:tmpl w:val="3410D5DA"/>
    <w:lvl w:ilvl="0" w:tplc="332A3C5A">
      <w:start w:val="1"/>
      <w:numFmt w:val="bullet"/>
      <w:lvlText w:val="-"/>
      <w:lvlJc w:val="left"/>
      <w:pPr>
        <w:tabs>
          <w:tab w:val="num" w:pos="454"/>
        </w:tabs>
        <w:ind w:left="454" w:firstLine="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31C9B"/>
    <w:multiLevelType w:val="hybridMultilevel"/>
    <w:tmpl w:val="33581AD6"/>
    <w:lvl w:ilvl="0" w:tplc="B3E043F8">
      <w:start w:val="1"/>
      <w:numFmt w:val="bullet"/>
      <w:lvlText w:val="-"/>
      <w:lvlJc w:val="left"/>
      <w:pPr>
        <w:tabs>
          <w:tab w:val="num" w:pos="454"/>
        </w:tabs>
        <w:ind w:left="454" w:hanging="1"/>
      </w:pPr>
      <w:rPr>
        <w:rFonts w:ascii="Times New Roman" w:hAnsi="Times New Roman" w:cs="Times New Roman" w:hint="default"/>
      </w:rPr>
    </w:lvl>
    <w:lvl w:ilvl="1" w:tplc="4268154C">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5C6876"/>
    <w:multiLevelType w:val="multilevel"/>
    <w:tmpl w:val="3410D5DA"/>
    <w:lvl w:ilvl="0">
      <w:start w:val="1"/>
      <w:numFmt w:val="bullet"/>
      <w:lvlText w:val="-"/>
      <w:lvlJc w:val="left"/>
      <w:pPr>
        <w:tabs>
          <w:tab w:val="num" w:pos="454"/>
        </w:tabs>
        <w:ind w:left="454"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BA6C83"/>
    <w:multiLevelType w:val="hybridMultilevel"/>
    <w:tmpl w:val="6ADE2C8C"/>
    <w:lvl w:ilvl="0" w:tplc="B3E043F8">
      <w:start w:val="1"/>
      <w:numFmt w:val="bullet"/>
      <w:lvlText w:val="-"/>
      <w:lvlJc w:val="left"/>
      <w:pPr>
        <w:tabs>
          <w:tab w:val="num" w:pos="454"/>
        </w:tabs>
        <w:ind w:left="454" w:hanging="1"/>
      </w:pPr>
      <w:rPr>
        <w:rFonts w:ascii="Times New Roman" w:hAnsi="Times New Roman" w:cs="Times New Roman" w:hint="default"/>
      </w:rPr>
    </w:lvl>
    <w:lvl w:ilvl="1" w:tplc="61069B62">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6214C"/>
    <w:multiLevelType w:val="multilevel"/>
    <w:tmpl w:val="D5DCD232"/>
    <w:lvl w:ilvl="0">
      <w:start w:val="1"/>
      <w:numFmt w:val="bullet"/>
      <w:lvlText w:val=""/>
      <w:lvlJc w:val="left"/>
      <w:pPr>
        <w:tabs>
          <w:tab w:val="num" w:pos="284"/>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4313223">
    <w:abstractNumId w:val="5"/>
  </w:num>
  <w:num w:numId="2" w16cid:durableId="1284727275">
    <w:abstractNumId w:val="13"/>
  </w:num>
  <w:num w:numId="3" w16cid:durableId="299186599">
    <w:abstractNumId w:val="16"/>
  </w:num>
  <w:num w:numId="4" w16cid:durableId="760492355">
    <w:abstractNumId w:val="23"/>
  </w:num>
  <w:num w:numId="5" w16cid:durableId="275335031">
    <w:abstractNumId w:val="4"/>
  </w:num>
  <w:num w:numId="6" w16cid:durableId="246615393">
    <w:abstractNumId w:val="9"/>
  </w:num>
  <w:num w:numId="7" w16cid:durableId="297810253">
    <w:abstractNumId w:val="21"/>
  </w:num>
  <w:num w:numId="8" w16cid:durableId="1238636999">
    <w:abstractNumId w:val="20"/>
  </w:num>
  <w:num w:numId="9" w16cid:durableId="86657804">
    <w:abstractNumId w:val="22"/>
  </w:num>
  <w:num w:numId="10" w16cid:durableId="511913306">
    <w:abstractNumId w:val="10"/>
  </w:num>
  <w:num w:numId="11" w16cid:durableId="603080199">
    <w:abstractNumId w:val="19"/>
  </w:num>
  <w:num w:numId="12" w16cid:durableId="1725981495">
    <w:abstractNumId w:val="18"/>
  </w:num>
  <w:num w:numId="13" w16cid:durableId="1174153707">
    <w:abstractNumId w:val="11"/>
  </w:num>
  <w:num w:numId="14" w16cid:durableId="1871138929">
    <w:abstractNumId w:val="8"/>
  </w:num>
  <w:num w:numId="15" w16cid:durableId="1869878608">
    <w:abstractNumId w:val="0"/>
  </w:num>
  <w:num w:numId="16" w16cid:durableId="1120224746">
    <w:abstractNumId w:val="3"/>
  </w:num>
  <w:num w:numId="17" w16cid:durableId="1522862670">
    <w:abstractNumId w:val="14"/>
  </w:num>
  <w:num w:numId="18" w16cid:durableId="1805854166">
    <w:abstractNumId w:val="15"/>
  </w:num>
  <w:num w:numId="19" w16cid:durableId="138348555">
    <w:abstractNumId w:val="1"/>
  </w:num>
  <w:num w:numId="20" w16cid:durableId="1042366038">
    <w:abstractNumId w:val="24"/>
  </w:num>
  <w:num w:numId="21" w16cid:durableId="2174971">
    <w:abstractNumId w:val="2"/>
  </w:num>
  <w:num w:numId="22" w16cid:durableId="883448585">
    <w:abstractNumId w:val="17"/>
  </w:num>
  <w:num w:numId="23" w16cid:durableId="2077704853">
    <w:abstractNumId w:val="6"/>
  </w:num>
  <w:num w:numId="24" w16cid:durableId="239142831">
    <w:abstractNumId w:val="12"/>
  </w:num>
  <w:num w:numId="25" w16cid:durableId="384719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5E"/>
    <w:rsid w:val="0002307E"/>
    <w:rsid w:val="000249E2"/>
    <w:rsid w:val="00026534"/>
    <w:rsid w:val="00050830"/>
    <w:rsid w:val="00050DF9"/>
    <w:rsid w:val="000563CE"/>
    <w:rsid w:val="00061C02"/>
    <w:rsid w:val="00076E8F"/>
    <w:rsid w:val="00091459"/>
    <w:rsid w:val="00092342"/>
    <w:rsid w:val="00094F4B"/>
    <w:rsid w:val="0009583B"/>
    <w:rsid w:val="000C21F3"/>
    <w:rsid w:val="000C6971"/>
    <w:rsid w:val="00110523"/>
    <w:rsid w:val="0011151B"/>
    <w:rsid w:val="001135AF"/>
    <w:rsid w:val="001149EF"/>
    <w:rsid w:val="001231E7"/>
    <w:rsid w:val="001466A3"/>
    <w:rsid w:val="001468B0"/>
    <w:rsid w:val="00162935"/>
    <w:rsid w:val="00185190"/>
    <w:rsid w:val="00196FCE"/>
    <w:rsid w:val="001A0F3A"/>
    <w:rsid w:val="001B0E0A"/>
    <w:rsid w:val="001C1658"/>
    <w:rsid w:val="001C4CCA"/>
    <w:rsid w:val="001D27B9"/>
    <w:rsid w:val="001F5A93"/>
    <w:rsid w:val="0020017B"/>
    <w:rsid w:val="00207C42"/>
    <w:rsid w:val="00231F31"/>
    <w:rsid w:val="00240BAC"/>
    <w:rsid w:val="002637A7"/>
    <w:rsid w:val="002657C9"/>
    <w:rsid w:val="00265994"/>
    <w:rsid w:val="002719EC"/>
    <w:rsid w:val="00284B23"/>
    <w:rsid w:val="0029045E"/>
    <w:rsid w:val="002B0078"/>
    <w:rsid w:val="002B3608"/>
    <w:rsid w:val="002C4DDC"/>
    <w:rsid w:val="002C5A81"/>
    <w:rsid w:val="002E4F5D"/>
    <w:rsid w:val="002F01D9"/>
    <w:rsid w:val="002F2F8C"/>
    <w:rsid w:val="003070DB"/>
    <w:rsid w:val="00311E9C"/>
    <w:rsid w:val="0031265C"/>
    <w:rsid w:val="00313686"/>
    <w:rsid w:val="003156ED"/>
    <w:rsid w:val="00315DDA"/>
    <w:rsid w:val="00320255"/>
    <w:rsid w:val="003218D4"/>
    <w:rsid w:val="00340307"/>
    <w:rsid w:val="00343BCB"/>
    <w:rsid w:val="003448B6"/>
    <w:rsid w:val="00357202"/>
    <w:rsid w:val="00361F93"/>
    <w:rsid w:val="003651B2"/>
    <w:rsid w:val="00373590"/>
    <w:rsid w:val="0037523E"/>
    <w:rsid w:val="00393E15"/>
    <w:rsid w:val="0039580C"/>
    <w:rsid w:val="003A19CE"/>
    <w:rsid w:val="003A2F17"/>
    <w:rsid w:val="003C37C9"/>
    <w:rsid w:val="003D2C39"/>
    <w:rsid w:val="0040005A"/>
    <w:rsid w:val="00451A5F"/>
    <w:rsid w:val="0047754E"/>
    <w:rsid w:val="00482817"/>
    <w:rsid w:val="0048728F"/>
    <w:rsid w:val="00492A0B"/>
    <w:rsid w:val="00497298"/>
    <w:rsid w:val="004B1404"/>
    <w:rsid w:val="004E3513"/>
    <w:rsid w:val="004F5B0E"/>
    <w:rsid w:val="00501773"/>
    <w:rsid w:val="0050460D"/>
    <w:rsid w:val="005072F0"/>
    <w:rsid w:val="00507417"/>
    <w:rsid w:val="005107CD"/>
    <w:rsid w:val="005133A3"/>
    <w:rsid w:val="0051571A"/>
    <w:rsid w:val="00520038"/>
    <w:rsid w:val="005327E7"/>
    <w:rsid w:val="00536A76"/>
    <w:rsid w:val="00537085"/>
    <w:rsid w:val="0055730A"/>
    <w:rsid w:val="0056390E"/>
    <w:rsid w:val="00581DE1"/>
    <w:rsid w:val="0059786F"/>
    <w:rsid w:val="00597BB8"/>
    <w:rsid w:val="005A1A20"/>
    <w:rsid w:val="005A3C8E"/>
    <w:rsid w:val="005B452F"/>
    <w:rsid w:val="005B7E91"/>
    <w:rsid w:val="005D19E7"/>
    <w:rsid w:val="005D3105"/>
    <w:rsid w:val="005D4B82"/>
    <w:rsid w:val="005D791E"/>
    <w:rsid w:val="005F3A30"/>
    <w:rsid w:val="005F7CE2"/>
    <w:rsid w:val="00601F9B"/>
    <w:rsid w:val="006163C8"/>
    <w:rsid w:val="006220BA"/>
    <w:rsid w:val="00635214"/>
    <w:rsid w:val="00641CB7"/>
    <w:rsid w:val="00643B10"/>
    <w:rsid w:val="006504BE"/>
    <w:rsid w:val="00651081"/>
    <w:rsid w:val="00654801"/>
    <w:rsid w:val="00683EF3"/>
    <w:rsid w:val="00685989"/>
    <w:rsid w:val="00693004"/>
    <w:rsid w:val="00697BA7"/>
    <w:rsid w:val="006B67BC"/>
    <w:rsid w:val="006B6DCA"/>
    <w:rsid w:val="006F19A5"/>
    <w:rsid w:val="00737E56"/>
    <w:rsid w:val="00740837"/>
    <w:rsid w:val="00743236"/>
    <w:rsid w:val="00754735"/>
    <w:rsid w:val="00762DC6"/>
    <w:rsid w:val="007857F7"/>
    <w:rsid w:val="00787686"/>
    <w:rsid w:val="007913F8"/>
    <w:rsid w:val="00794FC1"/>
    <w:rsid w:val="007A6CB6"/>
    <w:rsid w:val="007D116E"/>
    <w:rsid w:val="007D3796"/>
    <w:rsid w:val="007F09F2"/>
    <w:rsid w:val="0080231C"/>
    <w:rsid w:val="00821A7A"/>
    <w:rsid w:val="00822999"/>
    <w:rsid w:val="0082395F"/>
    <w:rsid w:val="0082535A"/>
    <w:rsid w:val="00832C6F"/>
    <w:rsid w:val="00845979"/>
    <w:rsid w:val="0085624C"/>
    <w:rsid w:val="00860159"/>
    <w:rsid w:val="0086323B"/>
    <w:rsid w:val="00864ACF"/>
    <w:rsid w:val="00866E18"/>
    <w:rsid w:val="0088197D"/>
    <w:rsid w:val="00882DEA"/>
    <w:rsid w:val="0088437A"/>
    <w:rsid w:val="008848FF"/>
    <w:rsid w:val="00887FA5"/>
    <w:rsid w:val="008A1967"/>
    <w:rsid w:val="008A5CD1"/>
    <w:rsid w:val="008B3605"/>
    <w:rsid w:val="008C6E78"/>
    <w:rsid w:val="008D6734"/>
    <w:rsid w:val="008E7FCC"/>
    <w:rsid w:val="00902460"/>
    <w:rsid w:val="009269D2"/>
    <w:rsid w:val="0094665C"/>
    <w:rsid w:val="00951F4B"/>
    <w:rsid w:val="009771B8"/>
    <w:rsid w:val="00987417"/>
    <w:rsid w:val="00992C09"/>
    <w:rsid w:val="009A51FE"/>
    <w:rsid w:val="009A525A"/>
    <w:rsid w:val="009B0DF3"/>
    <w:rsid w:val="009B236A"/>
    <w:rsid w:val="009D70BB"/>
    <w:rsid w:val="009F45FD"/>
    <w:rsid w:val="00A15373"/>
    <w:rsid w:val="00A470B3"/>
    <w:rsid w:val="00A475DB"/>
    <w:rsid w:val="00A540C1"/>
    <w:rsid w:val="00A57E5E"/>
    <w:rsid w:val="00A60ABC"/>
    <w:rsid w:val="00A852FC"/>
    <w:rsid w:val="00A93ACD"/>
    <w:rsid w:val="00AB089B"/>
    <w:rsid w:val="00AB0C97"/>
    <w:rsid w:val="00AB5CAD"/>
    <w:rsid w:val="00AD09C9"/>
    <w:rsid w:val="00AD3A69"/>
    <w:rsid w:val="00AF7435"/>
    <w:rsid w:val="00B02DFE"/>
    <w:rsid w:val="00B14DD0"/>
    <w:rsid w:val="00B23FA6"/>
    <w:rsid w:val="00B34A32"/>
    <w:rsid w:val="00B44DF2"/>
    <w:rsid w:val="00B53DC2"/>
    <w:rsid w:val="00B754D0"/>
    <w:rsid w:val="00B92561"/>
    <w:rsid w:val="00B949A5"/>
    <w:rsid w:val="00BA1E95"/>
    <w:rsid w:val="00BB1FE9"/>
    <w:rsid w:val="00BB3AC5"/>
    <w:rsid w:val="00BD357D"/>
    <w:rsid w:val="00C06C09"/>
    <w:rsid w:val="00C26615"/>
    <w:rsid w:val="00C33CAF"/>
    <w:rsid w:val="00C64EB1"/>
    <w:rsid w:val="00C94670"/>
    <w:rsid w:val="00CA2446"/>
    <w:rsid w:val="00CB0FEF"/>
    <w:rsid w:val="00CC1F76"/>
    <w:rsid w:val="00CC2F3B"/>
    <w:rsid w:val="00CD796C"/>
    <w:rsid w:val="00CF1FC6"/>
    <w:rsid w:val="00CF793C"/>
    <w:rsid w:val="00D00C08"/>
    <w:rsid w:val="00D00ED2"/>
    <w:rsid w:val="00D40873"/>
    <w:rsid w:val="00D51772"/>
    <w:rsid w:val="00D66B42"/>
    <w:rsid w:val="00D77730"/>
    <w:rsid w:val="00D808B0"/>
    <w:rsid w:val="00DA6728"/>
    <w:rsid w:val="00DA735C"/>
    <w:rsid w:val="00DC25F8"/>
    <w:rsid w:val="00DC560C"/>
    <w:rsid w:val="00DC7F5E"/>
    <w:rsid w:val="00DD0EF0"/>
    <w:rsid w:val="00DD2099"/>
    <w:rsid w:val="00DE0F85"/>
    <w:rsid w:val="00DE5031"/>
    <w:rsid w:val="00DF374D"/>
    <w:rsid w:val="00E041FE"/>
    <w:rsid w:val="00E055E6"/>
    <w:rsid w:val="00E1587A"/>
    <w:rsid w:val="00E225E5"/>
    <w:rsid w:val="00E43978"/>
    <w:rsid w:val="00E450D6"/>
    <w:rsid w:val="00E4643C"/>
    <w:rsid w:val="00E611B5"/>
    <w:rsid w:val="00E75736"/>
    <w:rsid w:val="00E81B9E"/>
    <w:rsid w:val="00EA016C"/>
    <w:rsid w:val="00EA66F8"/>
    <w:rsid w:val="00EB6B0B"/>
    <w:rsid w:val="00EC35C3"/>
    <w:rsid w:val="00EC59D9"/>
    <w:rsid w:val="00EF4742"/>
    <w:rsid w:val="00F033E8"/>
    <w:rsid w:val="00F04B67"/>
    <w:rsid w:val="00F14225"/>
    <w:rsid w:val="00F21E3E"/>
    <w:rsid w:val="00F25B9A"/>
    <w:rsid w:val="00F32A65"/>
    <w:rsid w:val="00F36638"/>
    <w:rsid w:val="00F44E1E"/>
    <w:rsid w:val="00F5538E"/>
    <w:rsid w:val="00F56C3D"/>
    <w:rsid w:val="00FA7148"/>
    <w:rsid w:val="00FB6A4F"/>
    <w:rsid w:val="00FC2318"/>
    <w:rsid w:val="00FE0D4F"/>
    <w:rsid w:val="00FE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45"/>
    <o:shapelayout v:ext="edit">
      <o:idmap v:ext="edit" data="1"/>
    </o:shapelayout>
  </w:shapeDefaults>
  <w:decimalSymbol w:val=","/>
  <w:listSeparator w:val=";"/>
  <w14:docId w14:val="78CC17F7"/>
  <w15:docId w15:val="{7EB46DEC-14B9-429A-9478-1733F8E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 w:type="paragraph" w:styleId="Prrafodelista">
    <w:name w:val="List Paragraph"/>
    <w:basedOn w:val="Normal"/>
    <w:uiPriority w:val="34"/>
    <w:qFormat/>
    <w:rsid w:val="00515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04226">
      <w:bodyDiv w:val="1"/>
      <w:marLeft w:val="0"/>
      <w:marRight w:val="0"/>
      <w:marTop w:val="0"/>
      <w:marBottom w:val="0"/>
      <w:divBdr>
        <w:top w:val="none" w:sz="0" w:space="0" w:color="auto"/>
        <w:left w:val="none" w:sz="0" w:space="0" w:color="auto"/>
        <w:bottom w:val="none" w:sz="0" w:space="0" w:color="auto"/>
        <w:right w:val="none" w:sz="0" w:space="0" w:color="auto"/>
      </w:divBdr>
    </w:div>
    <w:div w:id="15425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8.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B873C-86F6-484E-B6E0-7BFEC102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20</Pages>
  <Words>2222</Words>
  <Characters>13648</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Introducción</vt:lpstr>
    </vt:vector>
  </TitlesOfParts>
  <Company>DFA-AFA</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jlcimi</dc:creator>
  <cp:lastModifiedBy>Rodriguez Fernandez, Eva</cp:lastModifiedBy>
  <cp:revision>19</cp:revision>
  <cp:lastPrinted>2023-06-14T11:43:00Z</cp:lastPrinted>
  <dcterms:created xsi:type="dcterms:W3CDTF">2022-05-06T07:24:00Z</dcterms:created>
  <dcterms:modified xsi:type="dcterms:W3CDTF">2023-06-16T05:50:00Z</dcterms:modified>
</cp:coreProperties>
</file>