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533"/>
        <w:gridCol w:w="4537"/>
      </w:tblGrid>
      <w:tr w:rsidR="002C5A81" w:rsidRPr="00CA2446" w14:paraId="1B15700E" w14:textId="77777777" w:rsidTr="00B23FA6">
        <w:trPr>
          <w:trHeight w:val="4876"/>
        </w:trPr>
        <w:tc>
          <w:tcPr>
            <w:tcW w:w="4533" w:type="dxa"/>
            <w:tcBorders>
              <w:right w:val="single" w:sz="4" w:space="0" w:color="808080"/>
            </w:tcBorders>
            <w:shd w:val="clear" w:color="auto" w:fill="auto"/>
          </w:tcPr>
          <w:p w14:paraId="2AE863D6" w14:textId="77777777" w:rsidR="002C5A81" w:rsidRPr="00B23FA6" w:rsidRDefault="002C5A81" w:rsidP="00F21E3E">
            <w:pPr>
              <w:pStyle w:val="Ttulo1"/>
              <w:shd w:val="clear" w:color="auto" w:fill="D9D9D9"/>
              <w:spacing w:before="480" w:after="120"/>
              <w:ind w:left="57" w:right="5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3FA6">
              <w:rPr>
                <w:rFonts w:asciiTheme="minorHAnsi" w:hAnsiTheme="minorHAnsi" w:cstheme="minorHAnsi"/>
                <w:b/>
                <w:sz w:val="28"/>
                <w:szCs w:val="28"/>
              </w:rPr>
              <w:t>SARRERA</w:t>
            </w:r>
          </w:p>
          <w:p w14:paraId="59736C98" w14:textId="77777777" w:rsidR="006F19A5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304ADF49" w14:textId="207F9492" w:rsidR="002C5A81" w:rsidRPr="00B23FA6" w:rsidRDefault="002C5A81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Aurrekontuen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egonkortasunari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eta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iraunkortasun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finantzarioari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buruzko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apirilaren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27ko 2/2012 Lege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Organikoak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(AEIFLO)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besteak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beste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herri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administrazioen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kontu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orokorra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likidatzerakoan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eta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onesterakoan</w:t>
            </w:r>
            <w:proofErr w:type="spellEnd"/>
            <w:r w:rsidR="00AB5CAD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AB5CAD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derrigorrez</w:t>
            </w:r>
            <w:proofErr w:type="spellEnd"/>
            <w:r w:rsidR="00AB5CAD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AB5CAD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bete</w:t>
            </w:r>
            <w:proofErr w:type="spellEnd"/>
            <w:r w:rsidR="00AB5CAD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AB5CAD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behar</w:t>
            </w:r>
            <w:proofErr w:type="spellEnd"/>
            <w:r w:rsidR="00AB5CAD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AB5CAD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diren</w:t>
            </w:r>
            <w:proofErr w:type="spellEnd"/>
            <w:r w:rsidR="00AB5CAD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AB5CAD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beharkizun</w:t>
            </w:r>
            <w:proofErr w:type="spellEnd"/>
            <w:r w:rsidR="00AB5CAD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AB5CAD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batzuk</w:t>
            </w:r>
            <w:proofErr w:type="spellEnd"/>
            <w:r w:rsidR="00AB5CAD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AB5CAD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ezarri</w:t>
            </w:r>
            <w:proofErr w:type="spellEnd"/>
            <w:r w:rsidR="00AB5CAD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ditu. </w:t>
            </w:r>
          </w:p>
          <w:p w14:paraId="0BF941AD" w14:textId="01F836D9" w:rsidR="002C5A81" w:rsidRPr="00C64EB1" w:rsidRDefault="00C64EB1" w:rsidP="00B23FA6">
            <w:pPr>
              <w:spacing w:before="480" w:after="120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Hala ere,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betetze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hori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informatiboa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baino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ez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da, 2020rako eta 2021erako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arau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fiskalak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ez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ohiko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eran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eten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baitira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Ministro</w:t>
            </w:r>
            <w:proofErr w:type="gram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Kontseiluaren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2020ko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urriaren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6ko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Erabakiaren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bidez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administrazio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publikoei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Covid-19ren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pandemiaren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aurka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borrokatzeko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behar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duten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malgutasuna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emateko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helburuarekin</w:t>
            </w:r>
            <w:proofErr w:type="spellEnd"/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left w:val="single" w:sz="4" w:space="0" w:color="808080"/>
            </w:tcBorders>
            <w:shd w:val="clear" w:color="auto" w:fill="auto"/>
          </w:tcPr>
          <w:p w14:paraId="74594796" w14:textId="77777777" w:rsidR="002C5A81" w:rsidRPr="00B23FA6" w:rsidRDefault="002C5A81" w:rsidP="00F21E3E">
            <w:pPr>
              <w:pStyle w:val="Ttulo1"/>
              <w:shd w:val="clear" w:color="auto" w:fill="D9D9D9"/>
              <w:spacing w:before="480" w:after="120"/>
              <w:ind w:left="57" w:right="5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3FA6">
              <w:rPr>
                <w:rFonts w:asciiTheme="minorHAnsi" w:hAnsiTheme="minorHAnsi" w:cstheme="minorHAnsi"/>
                <w:b/>
                <w:sz w:val="28"/>
                <w:szCs w:val="28"/>
              </w:rPr>
              <w:t>INTRODUCCIÓN</w:t>
            </w:r>
          </w:p>
          <w:p w14:paraId="77969F1D" w14:textId="77777777" w:rsidR="006F19A5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734ED9C5" w14:textId="0AD063F0" w:rsidR="00B23FA6" w:rsidRDefault="00B23FA6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F9466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La ley Orgánica 2/2012, de 27 de abril, de Estabilidad Presupuestaria y Sostenibilidad Financiera (LOEPSF) establece una serie de requisitos a cumplir, entre otros, la Liquidación y Aprobación de la Cuenta General de las Administraciones Públicas.</w:t>
            </w:r>
          </w:p>
          <w:p w14:paraId="79333753" w14:textId="3CDE56FA" w:rsidR="006F19A5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38BB76FC" w14:textId="77777777" w:rsidR="006F19A5" w:rsidRPr="00F94663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666757E2" w14:textId="77777777" w:rsidR="00AB0C97" w:rsidRPr="00C64EB1" w:rsidRDefault="00AB0C97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No obstante, este cumplimiento es meramente informativo, al suspenderse extraordinariamente, las reglas fiscales para los años 2020 y 2021 mediante acuerdo de Consejo de </w:t>
            </w:r>
            <w:proofErr w:type="gram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Ministros</w:t>
            </w:r>
            <w:proofErr w:type="gram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de 6 de octubre de 2020, con el objetivo de dotar a las administraciones públicas de la flexibilidad necesaria para luchar contra la pandemia de la Covid-19</w:t>
            </w:r>
          </w:p>
          <w:p w14:paraId="330554A0" w14:textId="1EB1ADBD" w:rsidR="00B23FA6" w:rsidRPr="00F94663" w:rsidRDefault="00B23FA6" w:rsidP="00B23FA6">
            <w:pPr>
              <w:spacing w:before="480" w:after="120"/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071711E0" w14:textId="77777777" w:rsidR="002C5A81" w:rsidRPr="00CA2446" w:rsidRDefault="002C5A81" w:rsidP="00AB0C97">
            <w:pPr>
              <w:spacing w:before="480" w:after="12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C5A81" w14:paraId="5E113FFD" w14:textId="77777777" w:rsidTr="00B23FA6">
        <w:tc>
          <w:tcPr>
            <w:tcW w:w="4533" w:type="dxa"/>
            <w:tcBorders>
              <w:right w:val="single" w:sz="4" w:space="0" w:color="808080"/>
            </w:tcBorders>
            <w:shd w:val="clear" w:color="auto" w:fill="auto"/>
          </w:tcPr>
          <w:p w14:paraId="20788CF9" w14:textId="77777777" w:rsidR="002C5A81" w:rsidRDefault="002C5A81" w:rsidP="005133A3">
            <w:pPr>
              <w:ind w:right="170"/>
            </w:pPr>
          </w:p>
        </w:tc>
        <w:tc>
          <w:tcPr>
            <w:tcW w:w="4537" w:type="dxa"/>
            <w:tcBorders>
              <w:left w:val="single" w:sz="4" w:space="0" w:color="808080"/>
            </w:tcBorders>
            <w:shd w:val="clear" w:color="auto" w:fill="auto"/>
          </w:tcPr>
          <w:p w14:paraId="4BC4F5A9" w14:textId="77777777" w:rsidR="002C5A81" w:rsidRDefault="002C5A81" w:rsidP="005133A3">
            <w:pPr>
              <w:ind w:left="170"/>
            </w:pPr>
          </w:p>
        </w:tc>
      </w:tr>
    </w:tbl>
    <w:p w14:paraId="56D0C6D1" w14:textId="77777777" w:rsidR="00EC59D9" w:rsidRDefault="00EC59D9"/>
    <w:p w14:paraId="22682E13" w14:textId="77777777" w:rsidR="00EC59D9" w:rsidRDefault="00EC59D9"/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4"/>
      </w:tblGrid>
      <w:tr w:rsidR="00EC59D9" w:rsidRPr="00B23FA6" w14:paraId="1F12E633" w14:textId="77777777" w:rsidTr="00693004">
        <w:tc>
          <w:tcPr>
            <w:tcW w:w="4536" w:type="dxa"/>
            <w:tcBorders>
              <w:right w:val="single" w:sz="4" w:space="0" w:color="808080"/>
            </w:tcBorders>
            <w:shd w:val="clear" w:color="auto" w:fill="auto"/>
          </w:tcPr>
          <w:p w14:paraId="11BC42D5" w14:textId="77777777" w:rsidR="00EC59D9" w:rsidRPr="00B23FA6" w:rsidRDefault="00EC59D9" w:rsidP="00F21E3E">
            <w:pPr>
              <w:pStyle w:val="Ttulo1"/>
              <w:shd w:val="clear" w:color="auto" w:fill="D9D9D9"/>
              <w:spacing w:before="60" w:after="60"/>
              <w:ind w:left="57" w:right="57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B23FA6">
              <w:rPr>
                <w:rFonts w:asciiTheme="minorHAnsi" w:hAnsiTheme="minorHAnsi" w:cstheme="minorHAnsi"/>
                <w:b/>
                <w:szCs w:val="24"/>
              </w:rPr>
              <w:lastRenderedPageBreak/>
              <w:t>ARABAKO FORU ALDUNDIAREN MENPEKO ADMINISTRAZIO PUBLIKOAREN SEKTOREAREN MUGAKETA</w:t>
            </w:r>
          </w:p>
          <w:p w14:paraId="29B3D317" w14:textId="77777777" w:rsidR="006F19A5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7E5C9421" w14:textId="72B5D286" w:rsidR="00EC59D9" w:rsidRDefault="00EC59D9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Izakien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sektoriza</w:t>
            </w:r>
            <w:r w:rsidR="00902460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z</w:t>
            </w: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ioa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Kontseiluaren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1996ko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ekainaren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25eko 2223/96 (CE)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Arautegian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dago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definituta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eta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mugatuta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  <w:p w14:paraId="445A4F39" w14:textId="579E10F4" w:rsidR="006F19A5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65FD32E9" w14:textId="77777777" w:rsidR="006F19A5" w:rsidRPr="00B23FA6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40ABC361" w14:textId="3D96FF6B" w:rsidR="00EC59D9" w:rsidRDefault="00EC59D9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Estatu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espainiarrean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izakien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sektorizazioa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egiteko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eta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horiek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zein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erakunderen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menpe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dauden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zehazteko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eskumena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arestian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adierazi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den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Arautegia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betez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estatuko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administrazioko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Kontu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Hartzailetza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Orokorrarena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(IGAE) da.</w:t>
            </w:r>
          </w:p>
          <w:p w14:paraId="64D17F7D" w14:textId="5414D386" w:rsidR="006F19A5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3E0391D9" w14:textId="77777777" w:rsidR="006F19A5" w:rsidRPr="00B23FA6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187330CA" w14:textId="6EF7AA13" w:rsidR="00F21E3E" w:rsidRPr="00B23FA6" w:rsidRDefault="00F21E3E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IGAEgandik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jasotako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azken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txostenaren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arabera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(20</w:t>
            </w:r>
            <w:r w:rsid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21</w:t>
            </w: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ko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urtera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aplikagarria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), Arabako Foru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Aldundiaren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menpeko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administrazio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publikoaren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sektorea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osatzen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duten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erakundeak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honakoak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dira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:</w:t>
            </w:r>
          </w:p>
          <w:p w14:paraId="162372FA" w14:textId="77777777" w:rsidR="00D00ED2" w:rsidRPr="00B23FA6" w:rsidRDefault="00D00ED2" w:rsidP="004B1404">
            <w:pPr>
              <w:spacing w:before="500" w:after="60"/>
              <w:ind w:left="57" w:right="5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- Foru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Administrazioa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:</w:t>
            </w:r>
          </w:p>
          <w:p w14:paraId="68FEA022" w14:textId="77777777" w:rsidR="00D00ED2" w:rsidRPr="00B23FA6" w:rsidRDefault="00D00ED2" w:rsidP="00F21E3E">
            <w:pPr>
              <w:numPr>
                <w:ilvl w:val="0"/>
                <w:numId w:val="4"/>
              </w:numPr>
              <w:spacing w:before="60" w:after="200"/>
              <w:ind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Arabako Foru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Aldundia</w:t>
            </w:r>
            <w:proofErr w:type="spellEnd"/>
          </w:p>
          <w:p w14:paraId="0B5224DA" w14:textId="77777777" w:rsidR="00D00ED2" w:rsidRPr="00B23FA6" w:rsidRDefault="00D00ED2" w:rsidP="00F21E3E">
            <w:pPr>
              <w:spacing w:before="500" w:after="60"/>
              <w:ind w:left="57" w:right="5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- </w:t>
            </w:r>
            <w:r w:rsidR="00B02DFE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Foru </w:t>
            </w:r>
            <w:proofErr w:type="spellStart"/>
            <w:r w:rsidR="00B02DFE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erakunde</w:t>
            </w:r>
            <w:proofErr w:type="spellEnd"/>
            <w:r w:rsidR="00B02DFE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02DFE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autonomoak</w:t>
            </w:r>
            <w:proofErr w:type="spellEnd"/>
            <w:r w:rsidR="00B02DFE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:</w:t>
            </w: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</w:p>
          <w:p w14:paraId="695C7345" w14:textId="77777777" w:rsidR="00D00ED2" w:rsidRPr="00B23FA6" w:rsidRDefault="000249E2" w:rsidP="00F21E3E">
            <w:pPr>
              <w:numPr>
                <w:ilvl w:val="0"/>
                <w:numId w:val="10"/>
              </w:numPr>
              <w:spacing w:before="60"/>
              <w:ind w:left="454" w:right="5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Gizarte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Ongizaterako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Foru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Erakundea</w:t>
            </w:r>
            <w:proofErr w:type="spellEnd"/>
            <w:r w:rsidR="00D00ED2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</w:p>
          <w:p w14:paraId="1ABF0120" w14:textId="77777777" w:rsidR="00D00ED2" w:rsidRPr="00B23FA6" w:rsidRDefault="000249E2" w:rsidP="00F21E3E">
            <w:pPr>
              <w:numPr>
                <w:ilvl w:val="0"/>
                <w:numId w:val="10"/>
              </w:numPr>
              <w:spacing w:before="60" w:after="60"/>
              <w:ind w:left="454" w:right="5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Gazteriaren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Foru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Erakundea</w:t>
            </w:r>
            <w:proofErr w:type="spellEnd"/>
          </w:p>
          <w:p w14:paraId="2C9AE10C" w14:textId="3D033BED" w:rsidR="001149EF" w:rsidRPr="00B23FA6" w:rsidRDefault="001149EF" w:rsidP="00F21E3E">
            <w:pPr>
              <w:numPr>
                <w:ilvl w:val="0"/>
                <w:numId w:val="10"/>
              </w:numPr>
              <w:spacing w:before="60" w:after="200"/>
              <w:ind w:left="454" w:right="5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- Arabako </w:t>
            </w:r>
            <w:r w:rsid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F</w:t>
            </w: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oru Suhiltzaileak</w:t>
            </w:r>
          </w:p>
          <w:p w14:paraId="4CB85A95" w14:textId="77777777" w:rsidR="00D00ED2" w:rsidRPr="00B23FA6" w:rsidRDefault="00D00ED2" w:rsidP="004B1404">
            <w:pPr>
              <w:spacing w:before="500" w:after="60"/>
              <w:ind w:left="57" w:right="5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- </w:t>
            </w:r>
            <w:proofErr w:type="spellStart"/>
            <w:r w:rsidR="000249E2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Merkataritzako</w:t>
            </w:r>
            <w:proofErr w:type="spellEnd"/>
            <w:r w:rsidR="000249E2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0249E2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sozietateak</w:t>
            </w:r>
            <w:proofErr w:type="spellEnd"/>
          </w:p>
          <w:p w14:paraId="5777DC12" w14:textId="7680FDB0" w:rsidR="00D00ED2" w:rsidRPr="00B23FA6" w:rsidRDefault="000249E2" w:rsidP="00F21E3E">
            <w:pPr>
              <w:numPr>
                <w:ilvl w:val="0"/>
                <w:numId w:val="14"/>
              </w:numPr>
              <w:spacing w:before="60" w:after="12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Araba</w:t>
            </w:r>
            <w:r w:rsidR="00507417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Garapen Agentzia</w:t>
            </w: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="0094665C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SA</w:t>
            </w:r>
          </w:p>
          <w:p w14:paraId="2C42857E" w14:textId="77777777" w:rsidR="00507417" w:rsidRPr="00B23FA6" w:rsidRDefault="00507417" w:rsidP="00F21E3E">
            <w:pPr>
              <w:numPr>
                <w:ilvl w:val="0"/>
                <w:numId w:val="14"/>
              </w:numPr>
              <w:spacing w:before="60" w:after="12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Arabako Kalkulu Gunea SA</w:t>
            </w:r>
          </w:p>
          <w:p w14:paraId="0F07FC48" w14:textId="77777777" w:rsidR="00507417" w:rsidRPr="00B23FA6" w:rsidRDefault="00507417" w:rsidP="00F21E3E">
            <w:pPr>
              <w:numPr>
                <w:ilvl w:val="0"/>
                <w:numId w:val="14"/>
              </w:numPr>
              <w:spacing w:before="60" w:after="12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lastRenderedPageBreak/>
              <w:t>Indesa 2010 SL</w:t>
            </w:r>
          </w:p>
          <w:p w14:paraId="26A330FB" w14:textId="0D7AD992" w:rsidR="00507417" w:rsidRPr="00B23FA6" w:rsidRDefault="00507417" w:rsidP="00F21E3E">
            <w:pPr>
              <w:numPr>
                <w:ilvl w:val="0"/>
                <w:numId w:val="14"/>
              </w:numPr>
              <w:spacing w:before="60" w:after="12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  <w:lang w:val="en-US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  <w:lang w:val="en-US"/>
              </w:rPr>
              <w:t xml:space="preserve">Arabarri, SA. </w:t>
            </w:r>
            <w:r w:rsidR="00D66B42" w:rsidRPr="00B23FA6">
              <w:rPr>
                <w:rFonts w:asciiTheme="minorHAnsi" w:hAnsiTheme="minorHAnsi" w:cstheme="minorHAnsi"/>
                <w:snapToGrid w:val="0"/>
                <w:sz w:val="24"/>
                <w:szCs w:val="24"/>
                <w:lang w:val="en-US"/>
              </w:rPr>
              <w:t>(</w:t>
            </w:r>
            <w:r w:rsidR="00CF1FC6" w:rsidRPr="00CF1FC6">
              <w:rPr>
                <w:rFonts w:asciiTheme="minorHAnsi" w:hAnsiTheme="minorHAnsi" w:cstheme="minorHAnsi"/>
                <w:snapToGrid w:val="0"/>
                <w:sz w:val="24"/>
                <w:szCs w:val="24"/>
                <w:lang w:val="en-US"/>
              </w:rPr>
              <w:t xml:space="preserve">2021/12/29an </w:t>
            </w:r>
            <w:proofErr w:type="spellStart"/>
            <w:r w:rsidR="00CF1FC6" w:rsidRPr="00CF1FC6">
              <w:rPr>
                <w:rFonts w:asciiTheme="minorHAnsi" w:hAnsiTheme="minorHAnsi" w:cstheme="minorHAnsi"/>
                <w:snapToGrid w:val="0"/>
                <w:sz w:val="24"/>
                <w:szCs w:val="24"/>
                <w:lang w:val="en-US"/>
              </w:rPr>
              <w:t>iraungia</w:t>
            </w:r>
            <w:proofErr w:type="spellEnd"/>
            <w:r w:rsidR="00D66B42" w:rsidRPr="00B23FA6">
              <w:rPr>
                <w:rFonts w:asciiTheme="minorHAnsi" w:hAnsiTheme="minorHAnsi" w:cstheme="minorHAnsi"/>
                <w:snapToGrid w:val="0"/>
                <w:sz w:val="24"/>
                <w:szCs w:val="24"/>
                <w:lang w:val="en-US"/>
              </w:rPr>
              <w:t>)</w:t>
            </w:r>
          </w:p>
          <w:p w14:paraId="18225F6F" w14:textId="77777777" w:rsidR="005A3C8E" w:rsidRPr="00B23FA6" w:rsidRDefault="005A3C8E" w:rsidP="007857F7">
            <w:pPr>
              <w:numPr>
                <w:ilvl w:val="0"/>
                <w:numId w:val="14"/>
              </w:numPr>
              <w:spacing w:before="60" w:after="12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Naturgolf S.A.</w:t>
            </w:r>
          </w:p>
          <w:p w14:paraId="79B3F4BF" w14:textId="77777777" w:rsidR="007857F7" w:rsidRPr="00B23FA6" w:rsidRDefault="007857F7" w:rsidP="007857F7">
            <w:pPr>
              <w:numPr>
                <w:ilvl w:val="0"/>
                <w:numId w:val="14"/>
              </w:numPr>
              <w:spacing w:before="60" w:after="200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VIA Promoción del Aeropuerto de Vitoria S.A.</w:t>
            </w:r>
          </w:p>
          <w:p w14:paraId="07C131E9" w14:textId="77777777" w:rsidR="00D00ED2" w:rsidRPr="00B23FA6" w:rsidRDefault="00D00ED2" w:rsidP="00693004">
            <w:pPr>
              <w:spacing w:before="240" w:after="60"/>
              <w:ind w:left="57" w:right="5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-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F</w:t>
            </w:r>
            <w:r w:rsidR="000249E2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undazioak</w:t>
            </w:r>
            <w:proofErr w:type="spellEnd"/>
            <w:r w:rsidR="000249E2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:</w:t>
            </w:r>
          </w:p>
          <w:p w14:paraId="19A46820" w14:textId="77777777" w:rsidR="00D00ED2" w:rsidRPr="00B23FA6" w:rsidRDefault="000249E2" w:rsidP="00F21E3E">
            <w:pPr>
              <w:numPr>
                <w:ilvl w:val="0"/>
                <w:numId w:val="15"/>
              </w:numPr>
              <w:spacing w:before="60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Santa Maria Katedrala Fundazioa</w:t>
            </w:r>
          </w:p>
          <w:p w14:paraId="533B5B1B" w14:textId="77777777" w:rsidR="00D00ED2" w:rsidRPr="00B23FA6" w:rsidRDefault="00497298" w:rsidP="00F21E3E">
            <w:pPr>
              <w:numPr>
                <w:ilvl w:val="0"/>
                <w:numId w:val="15"/>
              </w:numPr>
              <w:spacing w:before="60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Artium Fundazioa</w:t>
            </w:r>
          </w:p>
          <w:p w14:paraId="2722FF97" w14:textId="77777777" w:rsidR="00D00ED2" w:rsidRPr="00B23FA6" w:rsidRDefault="001149EF" w:rsidP="007857F7">
            <w:pPr>
              <w:numPr>
                <w:ilvl w:val="0"/>
                <w:numId w:val="16"/>
              </w:numPr>
              <w:spacing w:before="60" w:after="12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Kirolaraba</w:t>
            </w:r>
            <w:r w:rsidR="005D3105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Fundazioa </w:t>
            </w:r>
          </w:p>
          <w:p w14:paraId="04B40319" w14:textId="77777777" w:rsidR="007857F7" w:rsidRPr="00B23FA6" w:rsidRDefault="007857F7" w:rsidP="007857F7">
            <w:pPr>
              <w:numPr>
                <w:ilvl w:val="0"/>
                <w:numId w:val="16"/>
              </w:numPr>
              <w:spacing w:before="60" w:after="12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Añanako Gatz Harana Fundazioa</w:t>
            </w:r>
          </w:p>
          <w:p w14:paraId="08E79540" w14:textId="77777777" w:rsidR="00D00ED2" w:rsidRPr="00B23FA6" w:rsidRDefault="00D00ED2" w:rsidP="00F21E3E">
            <w:pPr>
              <w:numPr>
                <w:ilvl w:val="0"/>
                <w:numId w:val="15"/>
              </w:numPr>
              <w:spacing w:before="60"/>
              <w:ind w:left="57" w:righ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4" w:type="dxa"/>
            <w:tcBorders>
              <w:left w:val="single" w:sz="4" w:space="0" w:color="808080"/>
            </w:tcBorders>
            <w:shd w:val="clear" w:color="auto" w:fill="auto"/>
          </w:tcPr>
          <w:p w14:paraId="37557072" w14:textId="77777777" w:rsidR="00EC59D9" w:rsidRPr="00B23FA6" w:rsidRDefault="00EC59D9" w:rsidP="00F21E3E">
            <w:pPr>
              <w:pStyle w:val="Ttulo1"/>
              <w:shd w:val="clear" w:color="auto" w:fill="D9D9D9"/>
              <w:spacing w:before="60" w:after="60"/>
              <w:ind w:left="57" w:right="57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B23FA6">
              <w:rPr>
                <w:rFonts w:asciiTheme="minorHAnsi" w:hAnsiTheme="minorHAnsi" w:cstheme="minorHAnsi"/>
                <w:b/>
                <w:szCs w:val="24"/>
              </w:rPr>
              <w:lastRenderedPageBreak/>
              <w:t xml:space="preserve">DELIMITACIÓN DEL SECTOR ADMINISTRACIÓN PÚBLICA DEPENDIENTE DE LA DIPUTACIÓN FORAL DE ÁLAVA </w:t>
            </w:r>
          </w:p>
          <w:p w14:paraId="37C8DEA8" w14:textId="77777777" w:rsidR="006F19A5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63C7A818" w14:textId="3012B543" w:rsidR="00EC59D9" w:rsidRDefault="00EC59D9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La sectorización de las entidades se encuentra definida y limitada en el Reglamento (CE) 2223/96 del Consejo, de 25 de junio de 1996.</w:t>
            </w:r>
          </w:p>
          <w:p w14:paraId="58C0AA33" w14:textId="77777777" w:rsidR="006F19A5" w:rsidRPr="00B23FA6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7D888305" w14:textId="724E3EB7" w:rsidR="00EC59D9" w:rsidRDefault="00EC59D9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En el estado español, la competencia para realizar la sectorización de las entidades y</w:t>
            </w:r>
            <w:r w:rsidR="002637A7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determinar las entidades de las que dependen, aplicando el anterior Reglamento, corresponde a la Intervención General de la Administración del Estado (IGAE).</w:t>
            </w:r>
          </w:p>
          <w:p w14:paraId="3EC8EAAA" w14:textId="77777777" w:rsidR="006F19A5" w:rsidRPr="00B23FA6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79176301" w14:textId="192EE168" w:rsidR="00EC59D9" w:rsidRPr="00B23FA6" w:rsidRDefault="005072F0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De acuerdo con el último informe recibido de la IGAE, aplicable al año 20</w:t>
            </w:r>
            <w:r w:rsid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21</w:t>
            </w: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, las entidades que conforman el Sector Administración Pública, dependiente de la Diputación Foral de Álava son las siguientes</w:t>
            </w:r>
            <w:r w:rsidR="00EC59D9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:</w:t>
            </w:r>
          </w:p>
          <w:p w14:paraId="113E17E0" w14:textId="77777777" w:rsidR="00196FCE" w:rsidRPr="00B23FA6" w:rsidRDefault="00737E56" w:rsidP="004B1404">
            <w:pPr>
              <w:spacing w:before="500" w:after="60"/>
              <w:ind w:left="57" w:right="5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- </w:t>
            </w:r>
            <w:r w:rsidR="00196FCE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Administración Foral</w:t>
            </w:r>
          </w:p>
          <w:p w14:paraId="16269F41" w14:textId="77777777" w:rsidR="00737E56" w:rsidRPr="00B23FA6" w:rsidRDefault="00737E56" w:rsidP="004B1404">
            <w:pPr>
              <w:numPr>
                <w:ilvl w:val="0"/>
                <w:numId w:val="4"/>
              </w:numPr>
              <w:spacing w:before="60" w:after="200"/>
              <w:ind w:left="57" w:right="57" w:firstLine="0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</w:t>
            </w:r>
            <w:r w:rsidR="00196FCE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iputación Foral de </w:t>
            </w:r>
            <w:r w:rsidR="00762DC6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Ál</w:t>
            </w:r>
            <w:r w:rsidR="00196FCE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ava</w:t>
            </w:r>
          </w:p>
          <w:p w14:paraId="62B840E6" w14:textId="77777777" w:rsidR="00196FCE" w:rsidRPr="00B23FA6" w:rsidRDefault="00737E56" w:rsidP="004B1404">
            <w:pPr>
              <w:spacing w:before="500" w:after="60"/>
              <w:ind w:left="57" w:right="5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- </w:t>
            </w:r>
            <w:r w:rsidR="00196FCE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Organismos Autónomos Forales </w:t>
            </w:r>
          </w:p>
          <w:p w14:paraId="519EB1E9" w14:textId="77777777" w:rsidR="00196FCE" w:rsidRPr="00B23FA6" w:rsidRDefault="00196FCE" w:rsidP="00F21E3E">
            <w:pPr>
              <w:numPr>
                <w:ilvl w:val="0"/>
                <w:numId w:val="10"/>
              </w:numPr>
              <w:spacing w:before="60"/>
              <w:ind w:left="454" w:right="5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Instituto Foral de Bienestar Social </w:t>
            </w:r>
          </w:p>
          <w:p w14:paraId="501C293C" w14:textId="77777777" w:rsidR="00196FCE" w:rsidRPr="00B23FA6" w:rsidRDefault="00196FCE" w:rsidP="00F21E3E">
            <w:pPr>
              <w:numPr>
                <w:ilvl w:val="0"/>
                <w:numId w:val="10"/>
              </w:numPr>
              <w:spacing w:before="60"/>
              <w:ind w:left="454" w:right="5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Instituto Foral de </w:t>
            </w:r>
            <w:r w:rsidR="000249E2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la </w:t>
            </w: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Juventud </w:t>
            </w:r>
          </w:p>
          <w:p w14:paraId="6366CAB8" w14:textId="77777777" w:rsidR="001149EF" w:rsidRPr="00B23FA6" w:rsidRDefault="001149EF" w:rsidP="00F21E3E">
            <w:pPr>
              <w:numPr>
                <w:ilvl w:val="0"/>
                <w:numId w:val="10"/>
              </w:numPr>
              <w:spacing w:before="60" w:after="200"/>
              <w:ind w:left="454" w:right="5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Bomberos Forales de Álava</w:t>
            </w:r>
          </w:p>
          <w:p w14:paraId="797BF292" w14:textId="77777777" w:rsidR="00196FCE" w:rsidRPr="00B23FA6" w:rsidRDefault="00737E56" w:rsidP="004B1404">
            <w:pPr>
              <w:spacing w:before="500" w:after="60"/>
              <w:ind w:left="57" w:right="5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- </w:t>
            </w:r>
            <w:r w:rsidR="00196FCE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Sociedades Mercantiles </w:t>
            </w:r>
          </w:p>
          <w:p w14:paraId="2315C34D" w14:textId="77777777" w:rsidR="00507417" w:rsidRPr="00B23FA6" w:rsidRDefault="00507417" w:rsidP="00F21E3E">
            <w:pPr>
              <w:numPr>
                <w:ilvl w:val="0"/>
                <w:numId w:val="14"/>
              </w:numPr>
              <w:spacing w:before="60" w:after="12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Álava Agencia de Desarrollo S.A.</w:t>
            </w:r>
          </w:p>
          <w:p w14:paraId="14F228FB" w14:textId="77777777" w:rsidR="00196FCE" w:rsidRPr="00B23FA6" w:rsidRDefault="00196FCE" w:rsidP="00F21E3E">
            <w:pPr>
              <w:numPr>
                <w:ilvl w:val="0"/>
                <w:numId w:val="14"/>
              </w:numPr>
              <w:spacing w:before="60" w:after="12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lastRenderedPageBreak/>
              <w:t xml:space="preserve">Centro de Cálculo de </w:t>
            </w:r>
            <w:r w:rsidR="00601F9B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Á</w:t>
            </w: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lava, S.A.U.</w:t>
            </w:r>
          </w:p>
          <w:p w14:paraId="291AEE04" w14:textId="77777777" w:rsidR="00507417" w:rsidRPr="00B23FA6" w:rsidRDefault="00507417" w:rsidP="00F21E3E">
            <w:pPr>
              <w:numPr>
                <w:ilvl w:val="0"/>
                <w:numId w:val="14"/>
              </w:numPr>
              <w:spacing w:before="60" w:after="12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Indesa 2010 S.L</w:t>
            </w:r>
          </w:p>
          <w:p w14:paraId="25585168" w14:textId="7B03AC3B" w:rsidR="00507417" w:rsidRPr="00B23FA6" w:rsidRDefault="00507417" w:rsidP="007857F7">
            <w:pPr>
              <w:numPr>
                <w:ilvl w:val="0"/>
                <w:numId w:val="14"/>
              </w:numPr>
              <w:spacing w:before="60" w:after="12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Arabarri, S.A. </w:t>
            </w:r>
            <w:r w:rsidR="00D66B42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</w:t>
            </w:r>
            <w:r w:rsidR="00CF1FC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extinguida</w:t>
            </w:r>
            <w:r w:rsid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29/12/2021</w:t>
            </w:r>
            <w:r w:rsidR="00D66B42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) </w:t>
            </w:r>
          </w:p>
          <w:p w14:paraId="1F1AF3D6" w14:textId="77777777" w:rsidR="005A3C8E" w:rsidRPr="00B23FA6" w:rsidRDefault="005A3C8E" w:rsidP="007857F7">
            <w:pPr>
              <w:numPr>
                <w:ilvl w:val="0"/>
                <w:numId w:val="14"/>
              </w:numPr>
              <w:spacing w:before="60" w:after="12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Naturgolf S.A.</w:t>
            </w:r>
          </w:p>
          <w:p w14:paraId="680921CC" w14:textId="77777777" w:rsidR="007857F7" w:rsidRPr="00B23FA6" w:rsidRDefault="007857F7" w:rsidP="007857F7">
            <w:pPr>
              <w:numPr>
                <w:ilvl w:val="0"/>
                <w:numId w:val="14"/>
              </w:numPr>
              <w:spacing w:before="60" w:after="200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VIA Promoción del Aeropuerto de Vitoria S.A.</w:t>
            </w:r>
          </w:p>
          <w:p w14:paraId="41626CC5" w14:textId="77777777" w:rsidR="00196FCE" w:rsidRPr="00B23FA6" w:rsidRDefault="005107CD" w:rsidP="00693004">
            <w:pPr>
              <w:spacing w:before="240" w:after="60"/>
              <w:ind w:left="57" w:right="5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- </w:t>
            </w:r>
            <w:r w:rsidR="00196FCE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Fundaciones</w:t>
            </w:r>
          </w:p>
          <w:p w14:paraId="77F39D5A" w14:textId="77777777" w:rsidR="00196FCE" w:rsidRPr="00B23FA6" w:rsidRDefault="00196FCE" w:rsidP="00F21E3E">
            <w:pPr>
              <w:numPr>
                <w:ilvl w:val="0"/>
                <w:numId w:val="15"/>
              </w:numPr>
              <w:spacing w:before="60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F</w:t>
            </w:r>
            <w:r w:rsidR="001D27B9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undación </w:t>
            </w: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Catedral Santa María </w:t>
            </w:r>
          </w:p>
          <w:p w14:paraId="57E87317" w14:textId="77777777" w:rsidR="00196FCE" w:rsidRPr="00B23FA6" w:rsidRDefault="00196FCE" w:rsidP="00F21E3E">
            <w:pPr>
              <w:numPr>
                <w:ilvl w:val="0"/>
                <w:numId w:val="15"/>
              </w:numPr>
              <w:spacing w:before="60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F</w:t>
            </w:r>
            <w:r w:rsidR="001D27B9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undación</w:t>
            </w: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Artium de </w:t>
            </w:r>
            <w:r w:rsidR="00601F9B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Á</w:t>
            </w: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lava</w:t>
            </w:r>
          </w:p>
          <w:p w14:paraId="0B941AB1" w14:textId="77777777" w:rsidR="00196FCE" w:rsidRPr="00B23FA6" w:rsidRDefault="00196FCE" w:rsidP="007857F7">
            <w:pPr>
              <w:numPr>
                <w:ilvl w:val="0"/>
                <w:numId w:val="16"/>
              </w:numPr>
              <w:spacing w:before="60" w:after="12"/>
              <w:ind w:left="454" w:right="57" w:hanging="22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F</w:t>
            </w:r>
            <w:r w:rsidR="001D27B9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undación</w:t>
            </w: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="001149EF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Kirolaraba</w:t>
            </w:r>
          </w:p>
          <w:p w14:paraId="4BD0A9E7" w14:textId="77777777" w:rsidR="007857F7" w:rsidRPr="00B23FA6" w:rsidRDefault="007857F7" w:rsidP="007857F7">
            <w:pPr>
              <w:numPr>
                <w:ilvl w:val="0"/>
                <w:numId w:val="16"/>
              </w:numPr>
              <w:spacing w:before="60" w:after="12"/>
              <w:ind w:left="454" w:right="57" w:hanging="227"/>
              <w:rPr>
                <w:rFonts w:asciiTheme="minorHAnsi" w:hAnsiTheme="minorHAnsi" w:cstheme="minorHAnsi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Fundación Valle Salado de Añana</w:t>
            </w:r>
          </w:p>
        </w:tc>
      </w:tr>
      <w:tr w:rsidR="00EC59D9" w:rsidRPr="00B23FA6" w14:paraId="597894F0" w14:textId="77777777" w:rsidTr="00693004">
        <w:tc>
          <w:tcPr>
            <w:tcW w:w="4536" w:type="dxa"/>
            <w:tcBorders>
              <w:right w:val="single" w:sz="4" w:space="0" w:color="808080"/>
            </w:tcBorders>
            <w:shd w:val="clear" w:color="auto" w:fill="auto"/>
          </w:tcPr>
          <w:p w14:paraId="3315FFDB" w14:textId="77777777" w:rsidR="00EC59D9" w:rsidRPr="00B23FA6" w:rsidRDefault="00F21E3E" w:rsidP="00693004">
            <w:pPr>
              <w:spacing w:before="400" w:after="120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3FA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Aipatutako</w:t>
            </w:r>
            <w:proofErr w:type="spellEnd"/>
            <w:r w:rsidRPr="00B23F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z w:val="24"/>
                <w:szCs w:val="24"/>
              </w:rPr>
              <w:t>txostenaren</w:t>
            </w:r>
            <w:proofErr w:type="spellEnd"/>
            <w:r w:rsidRPr="00B23F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z w:val="24"/>
                <w:szCs w:val="24"/>
              </w:rPr>
              <w:t>arabera</w:t>
            </w:r>
            <w:proofErr w:type="spellEnd"/>
            <w:r w:rsidRPr="00B23FA6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B23FA6">
              <w:rPr>
                <w:rFonts w:asciiTheme="minorHAnsi" w:hAnsiTheme="minorHAnsi" w:cstheme="minorHAnsi"/>
                <w:sz w:val="24"/>
                <w:szCs w:val="24"/>
              </w:rPr>
              <w:t>sailkatu</w:t>
            </w:r>
            <w:proofErr w:type="spellEnd"/>
            <w:r w:rsidRPr="00B23FA6">
              <w:rPr>
                <w:rFonts w:asciiTheme="minorHAnsi" w:hAnsiTheme="minorHAnsi" w:cstheme="minorHAnsi"/>
                <w:sz w:val="24"/>
                <w:szCs w:val="24"/>
              </w:rPr>
              <w:t xml:space="preserve"> gabe </w:t>
            </w:r>
            <w:proofErr w:type="spellStart"/>
            <w:r w:rsidRPr="00B23FA6">
              <w:rPr>
                <w:rFonts w:asciiTheme="minorHAnsi" w:hAnsiTheme="minorHAnsi" w:cstheme="minorHAnsi"/>
                <w:sz w:val="24"/>
                <w:szCs w:val="24"/>
              </w:rPr>
              <w:t>daude</w:t>
            </w:r>
            <w:proofErr w:type="spellEnd"/>
            <w:r w:rsidRPr="00B23F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z w:val="24"/>
                <w:szCs w:val="24"/>
              </w:rPr>
              <w:t>honako</w:t>
            </w:r>
            <w:proofErr w:type="spellEnd"/>
            <w:r w:rsidRPr="00B23F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z w:val="24"/>
                <w:szCs w:val="24"/>
              </w:rPr>
              <w:t>erakundeak</w:t>
            </w:r>
            <w:proofErr w:type="spellEnd"/>
            <w:r w:rsidRPr="00B23FA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534" w:type="dxa"/>
            <w:tcBorders>
              <w:left w:val="single" w:sz="4" w:space="0" w:color="808080"/>
            </w:tcBorders>
            <w:shd w:val="clear" w:color="auto" w:fill="auto"/>
          </w:tcPr>
          <w:p w14:paraId="6E05396A" w14:textId="77777777" w:rsidR="00EC59D9" w:rsidRPr="00B23FA6" w:rsidRDefault="005072F0" w:rsidP="00693004">
            <w:pPr>
              <w:spacing w:before="400" w:after="120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Según el mencionado informe, las siguientes entidades se encuentran pendientes de clasificar:</w:t>
            </w:r>
          </w:p>
        </w:tc>
      </w:tr>
      <w:tr w:rsidR="00693004" w:rsidRPr="00B23FA6" w14:paraId="74F6EA13" w14:textId="77777777" w:rsidTr="00693004">
        <w:tc>
          <w:tcPr>
            <w:tcW w:w="4536" w:type="dxa"/>
            <w:tcBorders>
              <w:right w:val="single" w:sz="4" w:space="0" w:color="808080"/>
            </w:tcBorders>
            <w:shd w:val="clear" w:color="auto" w:fill="auto"/>
          </w:tcPr>
          <w:p w14:paraId="1FFCEAC9" w14:textId="77777777" w:rsidR="00693004" w:rsidRPr="00B23FA6" w:rsidRDefault="00693004" w:rsidP="00BE2406">
            <w:pPr>
              <w:spacing w:before="240" w:after="60"/>
              <w:ind w:left="57" w:right="5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-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Partzuergoak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:</w:t>
            </w:r>
          </w:p>
          <w:p w14:paraId="44C7DE29" w14:textId="77777777" w:rsidR="00693004" w:rsidRPr="00B23FA6" w:rsidRDefault="00693004" w:rsidP="00BE2406">
            <w:pPr>
              <w:numPr>
                <w:ilvl w:val="0"/>
                <w:numId w:val="15"/>
              </w:numPr>
              <w:spacing w:before="60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Arabako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Errioxako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Ur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Partzuergoa</w:t>
            </w:r>
            <w:proofErr w:type="spellEnd"/>
          </w:p>
          <w:p w14:paraId="42A2AD20" w14:textId="77777777" w:rsidR="00693004" w:rsidRPr="00B23FA6" w:rsidRDefault="00693004" w:rsidP="00BE2406">
            <w:pPr>
              <w:numPr>
                <w:ilvl w:val="0"/>
                <w:numId w:val="15"/>
              </w:numPr>
              <w:spacing w:before="60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Lautada-Elgea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Mendilerroko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Ur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Partzuergoa</w:t>
            </w:r>
            <w:proofErr w:type="spellEnd"/>
          </w:p>
          <w:p w14:paraId="75D8837B" w14:textId="77777777" w:rsidR="00693004" w:rsidRPr="00B23FA6" w:rsidRDefault="00693004" w:rsidP="00BE2406">
            <w:pPr>
              <w:numPr>
                <w:ilvl w:val="0"/>
                <w:numId w:val="15"/>
              </w:numPr>
              <w:spacing w:before="60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Mendi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Harango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Ur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Partzuergoa</w:t>
            </w:r>
            <w:proofErr w:type="spellEnd"/>
          </w:p>
          <w:p w14:paraId="0E39043E" w14:textId="77777777" w:rsidR="00693004" w:rsidRPr="00B23FA6" w:rsidRDefault="00693004" w:rsidP="00BE2406">
            <w:pPr>
              <w:numPr>
                <w:ilvl w:val="0"/>
                <w:numId w:val="15"/>
              </w:numPr>
              <w:spacing w:before="60"/>
              <w:ind w:left="454" w:right="57" w:hanging="22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Urbide - </w:t>
            </w: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Arabako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Ur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Partzuergoa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4534" w:type="dxa"/>
            <w:tcBorders>
              <w:left w:val="single" w:sz="4" w:space="0" w:color="808080"/>
            </w:tcBorders>
            <w:shd w:val="clear" w:color="auto" w:fill="auto"/>
          </w:tcPr>
          <w:p w14:paraId="3C646A0F" w14:textId="77777777" w:rsidR="00693004" w:rsidRPr="00B23FA6" w:rsidRDefault="00693004" w:rsidP="00BE2406">
            <w:pPr>
              <w:spacing w:before="240" w:after="60"/>
              <w:ind w:left="57" w:right="5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- Consorcios</w:t>
            </w:r>
          </w:p>
          <w:p w14:paraId="73458961" w14:textId="77777777" w:rsidR="00693004" w:rsidRPr="00B23FA6" w:rsidRDefault="00693004" w:rsidP="00BE2406">
            <w:pPr>
              <w:numPr>
                <w:ilvl w:val="0"/>
                <w:numId w:val="15"/>
              </w:numPr>
              <w:spacing w:before="60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Consorcio Aguas  de Rioja Alavesa</w:t>
            </w:r>
          </w:p>
          <w:p w14:paraId="4DB43677" w14:textId="77777777" w:rsidR="00693004" w:rsidRPr="00B23FA6" w:rsidRDefault="00693004" w:rsidP="00BE2406">
            <w:pPr>
              <w:numPr>
                <w:ilvl w:val="0"/>
                <w:numId w:val="15"/>
              </w:numPr>
              <w:spacing w:before="60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Consorcio Aguas de la Llanada – Sierra de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Elgea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</w:p>
          <w:p w14:paraId="159A402F" w14:textId="77777777" w:rsidR="00693004" w:rsidRPr="00B23FA6" w:rsidRDefault="00693004" w:rsidP="00BE2406">
            <w:pPr>
              <w:numPr>
                <w:ilvl w:val="0"/>
                <w:numId w:val="15"/>
              </w:numPr>
              <w:spacing w:before="60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Consorcio Aguas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Mendi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Haran</w:t>
            </w:r>
            <w:proofErr w:type="spellEnd"/>
          </w:p>
          <w:p w14:paraId="599D1374" w14:textId="77777777" w:rsidR="00693004" w:rsidRPr="00B23FA6" w:rsidRDefault="00693004" w:rsidP="00BE2406">
            <w:pPr>
              <w:numPr>
                <w:ilvl w:val="0"/>
                <w:numId w:val="15"/>
              </w:numPr>
              <w:spacing w:before="60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Consorcio de Aguas </w:t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de Álava - Urbide</w:t>
            </w:r>
          </w:p>
          <w:p w14:paraId="7A0034CF" w14:textId="77777777" w:rsidR="00693004" w:rsidRPr="00B23FA6" w:rsidRDefault="00693004" w:rsidP="00BE2406">
            <w:pPr>
              <w:spacing w:before="60"/>
              <w:ind w:left="454" w:right="5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5072F0" w:rsidRPr="00B23FA6" w14:paraId="5E97C5FE" w14:textId="77777777" w:rsidTr="00693004">
        <w:tc>
          <w:tcPr>
            <w:tcW w:w="4536" w:type="dxa"/>
            <w:tcBorders>
              <w:right w:val="single" w:sz="4" w:space="0" w:color="808080"/>
            </w:tcBorders>
            <w:shd w:val="clear" w:color="auto" w:fill="auto"/>
          </w:tcPr>
          <w:p w14:paraId="01F697BA" w14:textId="63421B0D" w:rsidR="00754735" w:rsidRPr="00B23FA6" w:rsidRDefault="00754735" w:rsidP="00693004">
            <w:pPr>
              <w:spacing w:before="240" w:after="60"/>
              <w:ind w:left="57" w:right="5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- </w:t>
            </w:r>
            <w:proofErr w:type="spellStart"/>
            <w:r w:rsidR="00693004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Merkataritzako</w:t>
            </w:r>
            <w:proofErr w:type="spellEnd"/>
            <w:r w:rsidR="00693004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693004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sozietateak</w:t>
            </w:r>
            <w:proofErr w:type="spellEnd"/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:</w:t>
            </w:r>
          </w:p>
          <w:p w14:paraId="2F0A8BFF" w14:textId="2C572432" w:rsidR="005072F0" w:rsidRPr="00B23FA6" w:rsidRDefault="00693004" w:rsidP="00361F93">
            <w:pPr>
              <w:numPr>
                <w:ilvl w:val="0"/>
                <w:numId w:val="15"/>
              </w:numPr>
              <w:spacing w:before="60"/>
              <w:ind w:left="454" w:right="57" w:hanging="22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Enargi</w:t>
            </w:r>
            <w:proofErr w:type="spellEnd"/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Araba SAU</w:t>
            </w:r>
            <w:r w:rsidR="00754735"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4534" w:type="dxa"/>
            <w:tcBorders>
              <w:left w:val="single" w:sz="4" w:space="0" w:color="808080"/>
            </w:tcBorders>
            <w:shd w:val="clear" w:color="auto" w:fill="auto"/>
          </w:tcPr>
          <w:p w14:paraId="42A9758D" w14:textId="27BCFC72" w:rsidR="00754735" w:rsidRPr="00B23FA6" w:rsidRDefault="00754735" w:rsidP="00693004">
            <w:pPr>
              <w:spacing w:before="240" w:after="60"/>
              <w:ind w:left="57" w:right="5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23FA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- </w:t>
            </w:r>
            <w:r w:rsidR="00693004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Sociedades Mercantiles</w:t>
            </w:r>
          </w:p>
          <w:p w14:paraId="2CAF5D37" w14:textId="7CD606C2" w:rsidR="005072F0" w:rsidRPr="00B23FA6" w:rsidRDefault="00693004" w:rsidP="00693004">
            <w:pPr>
              <w:numPr>
                <w:ilvl w:val="0"/>
                <w:numId w:val="15"/>
              </w:numPr>
              <w:spacing w:before="60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Enargi</w:t>
            </w:r>
            <w:proofErr w:type="spellEnd"/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Araba SAU</w:t>
            </w:r>
          </w:p>
        </w:tc>
      </w:tr>
      <w:tr w:rsidR="00821A7A" w:rsidRPr="00B23FA6" w14:paraId="491228CE" w14:textId="77777777" w:rsidTr="00693004">
        <w:tc>
          <w:tcPr>
            <w:tcW w:w="4536" w:type="dxa"/>
            <w:tcBorders>
              <w:right w:val="single" w:sz="4" w:space="0" w:color="808080"/>
            </w:tcBorders>
            <w:shd w:val="clear" w:color="auto" w:fill="auto"/>
          </w:tcPr>
          <w:p w14:paraId="5C4506E6" w14:textId="512DCECC" w:rsidR="004B1404" w:rsidRPr="00B23FA6" w:rsidRDefault="004B1404" w:rsidP="004B1404">
            <w:pPr>
              <w:spacing w:before="480" w:after="240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4" w:type="dxa"/>
            <w:tcBorders>
              <w:left w:val="single" w:sz="4" w:space="0" w:color="808080"/>
            </w:tcBorders>
            <w:shd w:val="clear" w:color="auto" w:fill="auto"/>
          </w:tcPr>
          <w:p w14:paraId="641D09E9" w14:textId="2B114917" w:rsidR="009F45FD" w:rsidRPr="00B23FA6" w:rsidRDefault="009F45FD" w:rsidP="004B1404">
            <w:pPr>
              <w:spacing w:before="480"/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</w:tbl>
    <w:p w14:paraId="58B435A9" w14:textId="77777777" w:rsidR="00BB3AC5" w:rsidRPr="00B23FA6" w:rsidRDefault="00BB3AC5">
      <w:pPr>
        <w:rPr>
          <w:rFonts w:asciiTheme="minorHAnsi" w:hAnsiTheme="minorHAnsi" w:cstheme="minorHAnsi"/>
          <w:sz w:val="24"/>
          <w:szCs w:val="24"/>
        </w:rPr>
      </w:pPr>
    </w:p>
    <w:p w14:paraId="147B7189" w14:textId="77777777" w:rsidR="00BB3AC5" w:rsidRPr="00B23FA6" w:rsidRDefault="00BB3AC5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497298" w:rsidRPr="004E3513" w14:paraId="2BF8C252" w14:textId="77777777" w:rsidTr="005133A3">
        <w:tc>
          <w:tcPr>
            <w:tcW w:w="4605" w:type="dxa"/>
            <w:tcBorders>
              <w:right w:val="single" w:sz="4" w:space="0" w:color="808080"/>
            </w:tcBorders>
            <w:shd w:val="clear" w:color="auto" w:fill="auto"/>
          </w:tcPr>
          <w:p w14:paraId="5EBF3FC7" w14:textId="77777777" w:rsidR="00902460" w:rsidRPr="004E3513" w:rsidRDefault="008848FF" w:rsidP="00AD3A69">
            <w:pPr>
              <w:pStyle w:val="Ttulo1"/>
              <w:shd w:val="clear" w:color="auto" w:fill="D9D9D9"/>
              <w:spacing w:before="60" w:after="60"/>
              <w:ind w:left="57" w:right="57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4E3513">
              <w:rPr>
                <w:rFonts w:asciiTheme="minorHAnsi" w:hAnsiTheme="minorHAnsi" w:cstheme="minorHAnsi"/>
                <w:b/>
                <w:szCs w:val="24"/>
              </w:rPr>
              <w:lastRenderedPageBreak/>
              <w:t>ARABAKO FORU ALDUNDIAREN MENPEKOA DEN SOZIETATE EZ-FINANTZARIOEN SEKTOREAREN MUGAKETA</w:t>
            </w:r>
          </w:p>
          <w:p w14:paraId="0242CFFE" w14:textId="77777777" w:rsidR="006F19A5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69FE992C" w14:textId="2461C84E" w:rsidR="00E1587A" w:rsidRDefault="00E1587A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Izakien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sektoriza</w:t>
            </w:r>
            <w:r w:rsidR="00902460"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z</w:t>
            </w:r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ioa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Kontseiluaren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1996ko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ekainaren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25eko 2223/96 (CE)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Arautegian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dago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definituta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eta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mugatuta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  <w:p w14:paraId="564E24C3" w14:textId="0EE5312C" w:rsidR="006F19A5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099C20C8" w14:textId="77777777" w:rsidR="006F19A5" w:rsidRPr="004E3513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67470BB1" w14:textId="45A24A2F" w:rsidR="00E1587A" w:rsidRDefault="00E1587A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Estatu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espainiarrean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izakien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sektorizazioa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egiteko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eta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horiek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zein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erakunderen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menpe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dauden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zehazteko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eskumena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arestian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adierazi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den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Arautegia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betez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estatuko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administrazioko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Kontu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Hartzailetza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Orokorrarena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(IGAE) da.</w:t>
            </w:r>
          </w:p>
          <w:p w14:paraId="7E04C962" w14:textId="18AEAC6A" w:rsidR="006F19A5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00192312" w14:textId="5F6324BB" w:rsidR="006F19A5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798506CD" w14:textId="77777777" w:rsidR="006F19A5" w:rsidRPr="004E3513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2B9875EB" w14:textId="2ED12E07" w:rsidR="00E1587A" w:rsidRPr="004E3513" w:rsidRDefault="00E1587A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IGAErengandik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aztergai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dugun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gai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honi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, 201</w:t>
            </w:r>
            <w:r w:rsidR="005A3C8E"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9</w:t>
            </w:r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urteari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aplika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dakiokeenari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dagokionez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jaso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dugun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azken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txostenean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ezarri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denaren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ildotik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Arabako Foru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Aldundiaren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menpeko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administrazio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publikoaren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sektorearen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barruan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ondoko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hauek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daude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:</w:t>
            </w:r>
          </w:p>
          <w:p w14:paraId="12F09270" w14:textId="77777777" w:rsidR="0094665C" w:rsidRPr="004E3513" w:rsidRDefault="0094665C" w:rsidP="00AD3A69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322E92E7" w14:textId="77777777" w:rsidR="0094665C" w:rsidRPr="004E3513" w:rsidRDefault="0094665C" w:rsidP="00AD3A69">
            <w:pPr>
              <w:spacing w:before="200" w:after="60"/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-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Merkataritzako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sozietateak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:</w:t>
            </w:r>
          </w:p>
          <w:p w14:paraId="3FC674F2" w14:textId="77777777" w:rsidR="0094665C" w:rsidRPr="004E3513" w:rsidRDefault="0094665C" w:rsidP="00AD3A69">
            <w:pPr>
              <w:numPr>
                <w:ilvl w:val="0"/>
                <w:numId w:val="16"/>
              </w:numPr>
              <w:spacing w:before="60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Arabat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- Arabako Bideak </w:t>
            </w:r>
            <w:r w:rsidR="00B44DF2"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SAU</w:t>
            </w:r>
          </w:p>
          <w:p w14:paraId="3B813744" w14:textId="77777777" w:rsidR="00B44DF2" w:rsidRPr="004E3513" w:rsidRDefault="00B44DF2" w:rsidP="00AD3A69">
            <w:pPr>
              <w:spacing w:before="200" w:after="60"/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-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Aldundiaren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parte artesa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duten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merkataritzako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sozietateak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:</w:t>
            </w:r>
          </w:p>
          <w:p w14:paraId="6731ECE4" w14:textId="77777777" w:rsidR="00B44DF2" w:rsidRPr="004E3513" w:rsidRDefault="00B44DF2" w:rsidP="00AD3A69">
            <w:pPr>
              <w:numPr>
                <w:ilvl w:val="0"/>
                <w:numId w:val="15"/>
              </w:numPr>
              <w:spacing w:before="60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Vitoria-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Gasteizko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Garraioko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Zentroa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SA (CTV) </w:t>
            </w:r>
            <w:r w:rsidR="00BB3AC5"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(Arabako Lanak </w:t>
            </w:r>
            <w:proofErr w:type="spellStart"/>
            <w:r w:rsidR="00BB3AC5"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SAUren</w:t>
            </w:r>
            <w:proofErr w:type="spellEnd"/>
            <w:r w:rsidR="00BB3AC5"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B3AC5"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menpekoa</w:t>
            </w:r>
            <w:proofErr w:type="spellEnd"/>
            <w:r w:rsidR="00BB3AC5"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)</w:t>
            </w:r>
          </w:p>
          <w:p w14:paraId="0159C1B8" w14:textId="77777777" w:rsidR="00497298" w:rsidRPr="004E3513" w:rsidRDefault="00497298" w:rsidP="00AD3A69">
            <w:pPr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tcBorders>
              <w:left w:val="single" w:sz="4" w:space="0" w:color="808080"/>
            </w:tcBorders>
            <w:shd w:val="clear" w:color="auto" w:fill="auto"/>
          </w:tcPr>
          <w:p w14:paraId="6B696FFB" w14:textId="77777777" w:rsidR="00497298" w:rsidRPr="004E3513" w:rsidRDefault="00497298" w:rsidP="00AD3A69">
            <w:pPr>
              <w:pStyle w:val="Ttulo1"/>
              <w:shd w:val="clear" w:color="auto" w:fill="D9D9D9"/>
              <w:spacing w:before="60" w:after="240"/>
              <w:ind w:left="57" w:right="57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4E3513">
              <w:rPr>
                <w:rFonts w:asciiTheme="minorHAnsi" w:hAnsiTheme="minorHAnsi" w:cstheme="minorHAnsi"/>
                <w:b/>
                <w:szCs w:val="24"/>
              </w:rPr>
              <w:t xml:space="preserve">DELIMITACIÓN DEL SECTOR SOCIEDADES NO FINANCIERAS DEPENDIENTE DE LA DIPUTACIÓN FORAL DE ÁLAVA </w:t>
            </w:r>
          </w:p>
          <w:p w14:paraId="113B4543" w14:textId="77777777" w:rsidR="006F19A5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46F9DC9B" w14:textId="29DCD4F6" w:rsidR="00497298" w:rsidRDefault="00497298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La sectorización de las entidades se encuentra definida y limitada en el Reglamento (CE) 2223/96 del Consejo, de 25 de junio de 1996.</w:t>
            </w:r>
          </w:p>
          <w:p w14:paraId="17E2AEFF" w14:textId="6E602701" w:rsidR="006F19A5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7A910564" w14:textId="1EF43ABD" w:rsidR="00497298" w:rsidRDefault="00497298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En el estado español, la competencia para realizar la sectorización de las entidades y</w:t>
            </w:r>
            <w:r w:rsidR="00340307"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</w:t>
            </w:r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determinar las entidades de las que dependen, aplicando el anterior Reglamento, corresponde a la Intervención General de la Administración del Estado (IGAE).</w:t>
            </w:r>
          </w:p>
          <w:p w14:paraId="1A7E16A4" w14:textId="72374AF8" w:rsidR="006F19A5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4E44118A" w14:textId="77777777" w:rsidR="006F19A5" w:rsidRPr="004E3513" w:rsidRDefault="006F19A5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2888BA6D" w14:textId="77777777" w:rsidR="00497298" w:rsidRPr="004E3513" w:rsidRDefault="00497298" w:rsidP="006F19A5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Atendiendo a lo enunciado en el último informe recibido de la IGAE, aplicable al año 201</w:t>
            </w:r>
            <w:r w:rsidR="005A3C8E"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9</w:t>
            </w:r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, </w:t>
            </w:r>
            <w:proofErr w:type="gram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en relación a</w:t>
            </w:r>
            <w:proofErr w:type="gram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esta materia, las entidades que conforman el Sector Sociedades no Financieras dependientes de la Diputación Foral de </w:t>
            </w:r>
            <w:r w:rsidR="00340307"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Á</w:t>
            </w:r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lava son las siguientes</w:t>
            </w:r>
            <w:r w:rsidR="00651081"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:</w:t>
            </w:r>
          </w:p>
          <w:p w14:paraId="2064AD0F" w14:textId="77777777" w:rsidR="0094665C" w:rsidRPr="004E3513" w:rsidRDefault="0094665C" w:rsidP="00AD3A69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514FDA89" w14:textId="77777777" w:rsidR="00902460" w:rsidRPr="004E3513" w:rsidRDefault="00902460" w:rsidP="00AD3A69">
            <w:pPr>
              <w:spacing w:before="200" w:after="60"/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- Sociedades Mercantiles </w:t>
            </w:r>
          </w:p>
          <w:p w14:paraId="7F7F9B8C" w14:textId="77777777" w:rsidR="00902460" w:rsidRPr="004E3513" w:rsidRDefault="00902460" w:rsidP="00AD3A69">
            <w:pPr>
              <w:numPr>
                <w:ilvl w:val="0"/>
                <w:numId w:val="14"/>
              </w:numPr>
              <w:spacing w:before="60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Vías de Álava S.A.U.</w:t>
            </w:r>
          </w:p>
          <w:p w14:paraId="5D7F4BA2" w14:textId="77777777" w:rsidR="00B44DF2" w:rsidRPr="004E3513" w:rsidRDefault="00B44DF2" w:rsidP="00AD3A69">
            <w:pPr>
              <w:spacing w:before="200" w:after="60"/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- Sociedades Mercantiles Participadas</w:t>
            </w:r>
          </w:p>
          <w:p w14:paraId="778576C4" w14:textId="77777777" w:rsidR="00B44DF2" w:rsidRPr="004E3513" w:rsidRDefault="00B44DF2" w:rsidP="00AD3A69">
            <w:pPr>
              <w:numPr>
                <w:ilvl w:val="0"/>
                <w:numId w:val="14"/>
              </w:numPr>
              <w:spacing w:before="60"/>
              <w:ind w:left="454" w:right="57" w:hanging="22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Centro de Transportes de Vitoria S.A (CTV) (dependiente de </w:t>
            </w:r>
            <w:r w:rsidR="00601F9B"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Á</w:t>
            </w:r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lava Agencia de Desarrollo S.A.).</w:t>
            </w:r>
          </w:p>
          <w:p w14:paraId="562A3324" w14:textId="77777777" w:rsidR="00BB3AC5" w:rsidRPr="004E3513" w:rsidRDefault="00BB3AC5" w:rsidP="00AD3A69">
            <w:pPr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3AC5" w:rsidRPr="004E3513" w14:paraId="130AA776" w14:textId="77777777" w:rsidTr="005133A3">
        <w:tc>
          <w:tcPr>
            <w:tcW w:w="4605" w:type="dxa"/>
            <w:tcBorders>
              <w:right w:val="single" w:sz="4" w:space="0" w:color="808080"/>
            </w:tcBorders>
            <w:shd w:val="clear" w:color="auto" w:fill="auto"/>
          </w:tcPr>
          <w:p w14:paraId="0143A041" w14:textId="77777777" w:rsidR="00BB3AC5" w:rsidRPr="004E3513" w:rsidRDefault="00BB3AC5" w:rsidP="00BB3AC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tcBorders>
              <w:left w:val="single" w:sz="4" w:space="0" w:color="808080"/>
            </w:tcBorders>
            <w:shd w:val="clear" w:color="auto" w:fill="auto"/>
          </w:tcPr>
          <w:p w14:paraId="1A6796A3" w14:textId="77777777" w:rsidR="00BB3AC5" w:rsidRPr="004E3513" w:rsidRDefault="00BB3AC5" w:rsidP="00BB3AC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3AC5" w:rsidRPr="004E3513" w14:paraId="4204F8D2" w14:textId="77777777" w:rsidTr="005133A3">
        <w:tc>
          <w:tcPr>
            <w:tcW w:w="4605" w:type="dxa"/>
            <w:tcBorders>
              <w:right w:val="single" w:sz="4" w:space="0" w:color="808080"/>
            </w:tcBorders>
            <w:shd w:val="clear" w:color="auto" w:fill="auto"/>
          </w:tcPr>
          <w:p w14:paraId="1AC71A58" w14:textId="77777777" w:rsidR="00BB3AC5" w:rsidRPr="004E3513" w:rsidRDefault="00BB3AC5" w:rsidP="00AD3A69">
            <w:pPr>
              <w:pStyle w:val="Ttulo1"/>
              <w:spacing w:before="60" w:after="60"/>
              <w:ind w:left="57" w:right="57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  <w:p w14:paraId="634A7433" w14:textId="77777777" w:rsidR="00BB3AC5" w:rsidRPr="004E3513" w:rsidRDefault="00BB3AC5" w:rsidP="00AD3A69">
            <w:pPr>
              <w:pStyle w:val="Ttulo1"/>
              <w:shd w:val="clear" w:color="auto" w:fill="D9D9D9"/>
              <w:spacing w:before="60" w:after="60"/>
              <w:ind w:left="57" w:right="57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4E3513">
              <w:rPr>
                <w:rFonts w:asciiTheme="minorHAnsi" w:hAnsiTheme="minorHAnsi" w:cstheme="minorHAnsi"/>
                <w:b/>
                <w:szCs w:val="24"/>
              </w:rPr>
              <w:t>GASTU ARAUA</w:t>
            </w:r>
          </w:p>
          <w:p w14:paraId="3A58C300" w14:textId="77777777" w:rsidR="00BB3AC5" w:rsidRPr="004E3513" w:rsidRDefault="00BB3AC5" w:rsidP="00AD3A69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u w:val="single"/>
              </w:rPr>
            </w:pPr>
          </w:p>
          <w:p w14:paraId="7A3D9988" w14:textId="77777777" w:rsidR="00BB3AC5" w:rsidRPr="004E3513" w:rsidRDefault="00BB3AC5" w:rsidP="00AD3A69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Gastu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Araua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AEIFLOko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12. artikuluan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ezarri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da;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artikulu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berean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ezarri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dira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arauaren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aplikagarritasuna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eta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nola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eskatu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behar</w:t>
            </w:r>
            <w:proofErr w:type="spellEnd"/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den. </w:t>
            </w:r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cr/>
            </w:r>
          </w:p>
          <w:p w14:paraId="19B3C991" w14:textId="76816DCA" w:rsidR="00C64EB1" w:rsidRDefault="00C64EB1" w:rsidP="00C64EB1">
            <w:pPr>
              <w:spacing w:after="120"/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Hala ere,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ezin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da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ebaluatu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Arabako Foru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Sektore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Publikoaren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betetze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maila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, </w:t>
            </w:r>
            <w:proofErr w:type="gram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Ministro</w:t>
            </w:r>
            <w:proofErr w:type="gram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Kontseiluaren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2020ko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urriaren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6ko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Erabakiaren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bidez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2020. eta 2021.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urteetarako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zerga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arauak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etenda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daudelako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  <w:p w14:paraId="28380200" w14:textId="21488776" w:rsidR="005B7E91" w:rsidRPr="004E3513" w:rsidRDefault="00C64EB1" w:rsidP="00C64EB1">
            <w:pPr>
              <w:spacing w:before="480" w:after="120"/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Bidaltzen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den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informazioa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informatiboa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baino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ez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da.</w:t>
            </w:r>
          </w:p>
        </w:tc>
        <w:tc>
          <w:tcPr>
            <w:tcW w:w="4605" w:type="dxa"/>
            <w:tcBorders>
              <w:left w:val="single" w:sz="4" w:space="0" w:color="808080"/>
            </w:tcBorders>
            <w:shd w:val="clear" w:color="auto" w:fill="auto"/>
          </w:tcPr>
          <w:p w14:paraId="07B17CC4" w14:textId="77777777" w:rsidR="00BB3AC5" w:rsidRPr="004E3513" w:rsidRDefault="00BB3AC5" w:rsidP="00AD3A69">
            <w:pPr>
              <w:spacing w:before="60" w:after="60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0C189C" w14:textId="77777777" w:rsidR="00BB3AC5" w:rsidRPr="004E3513" w:rsidRDefault="00BB3AC5" w:rsidP="00AD3A69">
            <w:pPr>
              <w:pStyle w:val="Ttulo1"/>
              <w:shd w:val="clear" w:color="auto" w:fill="D9D9D9"/>
              <w:spacing w:before="60" w:after="60"/>
              <w:ind w:left="57" w:right="57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4E3513">
              <w:rPr>
                <w:rFonts w:asciiTheme="minorHAnsi" w:hAnsiTheme="minorHAnsi" w:cstheme="minorHAnsi"/>
                <w:b/>
                <w:szCs w:val="24"/>
              </w:rPr>
              <w:t>REGLA DE GASTO</w:t>
            </w:r>
          </w:p>
          <w:p w14:paraId="4E18F55C" w14:textId="77777777" w:rsidR="00BB3AC5" w:rsidRPr="004E3513" w:rsidRDefault="00BB3AC5" w:rsidP="00AD3A69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2E899859" w14:textId="77777777" w:rsidR="00BB3AC5" w:rsidRPr="004E3513" w:rsidRDefault="00BB3AC5" w:rsidP="00AD3A69">
            <w:pPr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4E3513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La LOEPSF establece, en su artículo 12, la definición de la Regla de Gasto, así como su aplicabilidad y exigibilidad.</w:t>
            </w:r>
          </w:p>
          <w:p w14:paraId="2521EBF5" w14:textId="77777777" w:rsidR="004E3513" w:rsidRPr="00C64EB1" w:rsidRDefault="004E3513" w:rsidP="004E3513">
            <w:pPr>
              <w:spacing w:before="480" w:after="120"/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No obstante, no se puede evaluar el cumplimiento del Sector Público Foral de Álava, al estar en suspenso las reglas fiscales para 2020 y 2021, por Acuerdo de Consejo de </w:t>
            </w:r>
            <w:proofErr w:type="gram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Ministros</w:t>
            </w:r>
            <w:proofErr w:type="gram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de 6 de octubre de 2020.</w:t>
            </w:r>
          </w:p>
          <w:p w14:paraId="2165EB46" w14:textId="77777777" w:rsidR="004E3513" w:rsidRPr="00C64EB1" w:rsidRDefault="004E3513" w:rsidP="004E3513">
            <w:pPr>
              <w:spacing w:before="480" w:after="120"/>
              <w:ind w:left="57"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La información que se remite es meramente informativa.</w:t>
            </w:r>
          </w:p>
          <w:p w14:paraId="5D6D37DD" w14:textId="26648E74" w:rsidR="00BB3AC5" w:rsidRPr="004E3513" w:rsidRDefault="00BB3AC5" w:rsidP="00AD3A69">
            <w:pPr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7E91" w:rsidRPr="004E3513" w14:paraId="5C3ECAA2" w14:textId="77777777" w:rsidTr="005133A3">
        <w:tc>
          <w:tcPr>
            <w:tcW w:w="4605" w:type="dxa"/>
            <w:tcBorders>
              <w:right w:val="single" w:sz="4" w:space="0" w:color="808080"/>
            </w:tcBorders>
            <w:shd w:val="clear" w:color="auto" w:fill="auto"/>
          </w:tcPr>
          <w:p w14:paraId="53CA5A78" w14:textId="1BC0837E" w:rsidR="00D77730" w:rsidRPr="004E3513" w:rsidRDefault="00D77730" w:rsidP="005A3C8E">
            <w:pPr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tcBorders>
              <w:left w:val="single" w:sz="4" w:space="0" w:color="808080"/>
            </w:tcBorders>
            <w:shd w:val="clear" w:color="auto" w:fill="auto"/>
          </w:tcPr>
          <w:p w14:paraId="14FD80B1" w14:textId="414FAEAE" w:rsidR="005B7E91" w:rsidRPr="004E3513" w:rsidRDefault="005B7E91" w:rsidP="005A3C8E">
            <w:pPr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7E91" w:rsidRPr="004E3513" w14:paraId="7DA1D241" w14:textId="77777777" w:rsidTr="005133A3">
        <w:tc>
          <w:tcPr>
            <w:tcW w:w="4605" w:type="dxa"/>
            <w:tcBorders>
              <w:right w:val="single" w:sz="4" w:space="0" w:color="808080"/>
            </w:tcBorders>
            <w:shd w:val="clear" w:color="auto" w:fill="auto"/>
          </w:tcPr>
          <w:p w14:paraId="6FF09BDD" w14:textId="43814859" w:rsidR="005B7E91" w:rsidRPr="004E3513" w:rsidRDefault="005B7E91" w:rsidP="008D6734">
            <w:pPr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tcBorders>
              <w:left w:val="single" w:sz="4" w:space="0" w:color="808080"/>
            </w:tcBorders>
            <w:shd w:val="clear" w:color="auto" w:fill="auto"/>
          </w:tcPr>
          <w:p w14:paraId="7C986684" w14:textId="51C1546D" w:rsidR="005B7E91" w:rsidRPr="004E3513" w:rsidRDefault="005B7E91" w:rsidP="008D6734">
            <w:pPr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7E91" w:rsidRPr="004E3513" w14:paraId="5F66A999" w14:textId="77777777" w:rsidTr="005133A3">
        <w:tc>
          <w:tcPr>
            <w:tcW w:w="4605" w:type="dxa"/>
            <w:shd w:val="clear" w:color="auto" w:fill="auto"/>
          </w:tcPr>
          <w:p w14:paraId="440C1501" w14:textId="77777777" w:rsidR="005B7E91" w:rsidRPr="004E3513" w:rsidRDefault="005B7E91" w:rsidP="005133A3">
            <w:pPr>
              <w:spacing w:before="120" w:after="120"/>
              <w:ind w:righ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14:paraId="1E8E97EA" w14:textId="77777777" w:rsidR="005B7E91" w:rsidRPr="004E3513" w:rsidRDefault="005B7E91" w:rsidP="005133A3">
            <w:pPr>
              <w:spacing w:before="120" w:after="12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0853844" w14:textId="77777777" w:rsidR="00DC7F5E" w:rsidRPr="004E3513" w:rsidRDefault="00DC7F5E">
      <w:pPr>
        <w:rPr>
          <w:rFonts w:asciiTheme="minorHAnsi" w:hAnsiTheme="minorHAnsi" w:cstheme="minorHAnsi"/>
          <w:sz w:val="24"/>
          <w:szCs w:val="24"/>
        </w:rPr>
        <w:sectPr w:rsidR="00DC7F5E" w:rsidRPr="004E3513" w:rsidSect="002C4DDC">
          <w:headerReference w:type="default" r:id="rId8"/>
          <w:headerReference w:type="first" r:id="rId9"/>
          <w:type w:val="continuous"/>
          <w:pgSz w:w="11906" w:h="16838" w:code="9"/>
          <w:pgMar w:top="1418" w:right="1418" w:bottom="1418" w:left="1418" w:header="720" w:footer="720" w:gutter="0"/>
          <w:cols w:space="720"/>
          <w:titlePg/>
        </w:sectPr>
      </w:pPr>
    </w:p>
    <w:p w14:paraId="60398465" w14:textId="26146C61" w:rsidR="00F32A65" w:rsidRDefault="00F32A65"/>
    <w:p w14:paraId="19990540" w14:textId="6359F240" w:rsidR="00F32A65" w:rsidRPr="00AF7435" w:rsidRDefault="00F32A65" w:rsidP="00F32A65">
      <w:pPr>
        <w:shd w:val="clear" w:color="auto" w:fill="D9D9D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ARABAKO FORU ALDUNDIAREN</w:t>
      </w:r>
      <w:r w:rsidRPr="00DC7F5E">
        <w:rPr>
          <w:rFonts w:ascii="Arial" w:hAnsi="Arial" w:cs="Arial"/>
          <w:b/>
          <w:sz w:val="20"/>
        </w:rPr>
        <w:t xml:space="preserve"> </w:t>
      </w:r>
      <w:proofErr w:type="spellStart"/>
      <w:r w:rsidRPr="00DC7F5E">
        <w:rPr>
          <w:rFonts w:ascii="Arial" w:hAnsi="Arial" w:cs="Arial"/>
          <w:b/>
          <w:sz w:val="20"/>
        </w:rPr>
        <w:t>gastu</w:t>
      </w:r>
      <w:proofErr w:type="spellEnd"/>
      <w:r w:rsidRPr="00DC7F5E">
        <w:rPr>
          <w:rFonts w:ascii="Arial" w:hAnsi="Arial" w:cs="Arial"/>
          <w:b/>
          <w:sz w:val="20"/>
        </w:rPr>
        <w:t xml:space="preserve"> </w:t>
      </w:r>
      <w:proofErr w:type="spellStart"/>
      <w:r w:rsidRPr="00DC7F5E">
        <w:rPr>
          <w:rFonts w:ascii="Arial" w:hAnsi="Arial" w:cs="Arial"/>
          <w:b/>
          <w:sz w:val="20"/>
        </w:rPr>
        <w:t>arauaren</w:t>
      </w:r>
      <w:proofErr w:type="spellEnd"/>
      <w:r w:rsidRPr="00DC7F5E">
        <w:rPr>
          <w:rFonts w:ascii="Arial" w:hAnsi="Arial" w:cs="Arial"/>
          <w:b/>
          <w:sz w:val="20"/>
        </w:rPr>
        <w:t xml:space="preserve"> </w:t>
      </w:r>
      <w:proofErr w:type="spellStart"/>
      <w:r w:rsidRPr="00DC7F5E">
        <w:rPr>
          <w:rFonts w:ascii="Arial" w:hAnsi="Arial" w:cs="Arial"/>
          <w:b/>
          <w:sz w:val="20"/>
        </w:rPr>
        <w:t>kalkulua</w:t>
      </w:r>
      <w:proofErr w:type="spellEnd"/>
      <w:r w:rsidRPr="00DC7F5E">
        <w:rPr>
          <w:rFonts w:ascii="Arial" w:hAnsi="Arial" w:cs="Arial"/>
          <w:b/>
          <w:sz w:val="20"/>
        </w:rPr>
        <w:t xml:space="preserve"> 20</w:t>
      </w:r>
      <w:r w:rsidR="004E3513">
        <w:rPr>
          <w:rFonts w:ascii="Arial" w:hAnsi="Arial" w:cs="Arial"/>
          <w:b/>
          <w:sz w:val="20"/>
        </w:rPr>
        <w:t>21e</w:t>
      </w:r>
      <w:r w:rsidRPr="00DC7F5E">
        <w:rPr>
          <w:rFonts w:ascii="Arial" w:hAnsi="Arial" w:cs="Arial"/>
          <w:b/>
          <w:sz w:val="20"/>
        </w:rPr>
        <w:t>rako</w:t>
      </w:r>
      <w:r w:rsidRPr="00AF7435">
        <w:rPr>
          <w:rFonts w:ascii="Arial" w:hAnsi="Arial" w:cs="Arial"/>
          <w:b/>
          <w:sz w:val="20"/>
        </w:rPr>
        <w:t xml:space="preserve"> / </w:t>
      </w:r>
    </w:p>
    <w:p w14:paraId="1E6B2F49" w14:textId="0F7696B4" w:rsidR="00F32A65" w:rsidRPr="00AF7435" w:rsidRDefault="00F32A65" w:rsidP="00F32A65">
      <w:pPr>
        <w:shd w:val="clear" w:color="auto" w:fill="D9D9D9"/>
        <w:rPr>
          <w:rFonts w:ascii="Arial" w:hAnsi="Arial" w:cs="Arial"/>
          <w:b/>
          <w:sz w:val="20"/>
        </w:rPr>
      </w:pPr>
      <w:r w:rsidRPr="00AF7435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>álculo de la Regla de Gasto de DIPUTACIÓN FORAL DE ÁLAVA</w:t>
      </w:r>
      <w:r w:rsidRPr="00AF743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</w:t>
      </w:r>
      <w:r w:rsidRPr="00AF7435">
        <w:rPr>
          <w:rFonts w:ascii="Arial" w:hAnsi="Arial" w:cs="Arial"/>
          <w:b/>
          <w:sz w:val="20"/>
        </w:rPr>
        <w:t>para el año 20</w:t>
      </w:r>
      <w:r w:rsidR="004E3513">
        <w:rPr>
          <w:rFonts w:ascii="Arial" w:hAnsi="Arial" w:cs="Arial"/>
          <w:b/>
          <w:sz w:val="20"/>
        </w:rPr>
        <w:t>21</w:t>
      </w:r>
    </w:p>
    <w:p w14:paraId="1101BE7E" w14:textId="77777777" w:rsidR="00F32A65" w:rsidRDefault="00F32A65"/>
    <w:p w14:paraId="0AF59961" w14:textId="4577C6D7" w:rsidR="00F32A65" w:rsidRDefault="004E3513" w:rsidP="00231F31">
      <w:pPr>
        <w:jc w:val="center"/>
      </w:pPr>
      <w:r w:rsidRPr="004E3513">
        <w:rPr>
          <w:noProof/>
        </w:rPr>
        <w:drawing>
          <wp:inline distT="0" distB="0" distL="0" distR="0" wp14:anchorId="0A175576" wp14:editId="47B8A865">
            <wp:extent cx="5759450" cy="58229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2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9DB29" w14:textId="77777777" w:rsidR="00F32A65" w:rsidRDefault="00F32A65">
      <w:r>
        <w:br w:type="page"/>
      </w:r>
    </w:p>
    <w:p w14:paraId="14295ADC" w14:textId="77777777" w:rsidR="00F32A65" w:rsidRDefault="00F32A65"/>
    <w:p w14:paraId="118F6EC9" w14:textId="25A3E41E" w:rsidR="00F32A65" w:rsidRPr="00AF7435" w:rsidRDefault="00F32A65" w:rsidP="00F32A65">
      <w:pPr>
        <w:shd w:val="clear" w:color="auto" w:fill="D9D9D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ERAKUNDE AUTONOMOEN</w:t>
      </w:r>
      <w:r w:rsidRPr="00DC7F5E">
        <w:rPr>
          <w:rFonts w:ascii="Arial" w:hAnsi="Arial" w:cs="Arial"/>
          <w:b/>
          <w:sz w:val="20"/>
        </w:rPr>
        <w:t xml:space="preserve"> </w:t>
      </w:r>
      <w:proofErr w:type="spellStart"/>
      <w:r w:rsidRPr="00DC7F5E">
        <w:rPr>
          <w:rFonts w:ascii="Arial" w:hAnsi="Arial" w:cs="Arial"/>
          <w:b/>
          <w:sz w:val="20"/>
        </w:rPr>
        <w:t>gastu</w:t>
      </w:r>
      <w:proofErr w:type="spellEnd"/>
      <w:r w:rsidRPr="00DC7F5E">
        <w:rPr>
          <w:rFonts w:ascii="Arial" w:hAnsi="Arial" w:cs="Arial"/>
          <w:b/>
          <w:sz w:val="20"/>
        </w:rPr>
        <w:t xml:space="preserve"> </w:t>
      </w:r>
      <w:proofErr w:type="spellStart"/>
      <w:r w:rsidRPr="00DC7F5E">
        <w:rPr>
          <w:rFonts w:ascii="Arial" w:hAnsi="Arial" w:cs="Arial"/>
          <w:b/>
          <w:sz w:val="20"/>
        </w:rPr>
        <w:t>arauaren</w:t>
      </w:r>
      <w:proofErr w:type="spellEnd"/>
      <w:r w:rsidRPr="00DC7F5E">
        <w:rPr>
          <w:rFonts w:ascii="Arial" w:hAnsi="Arial" w:cs="Arial"/>
          <w:b/>
          <w:sz w:val="20"/>
        </w:rPr>
        <w:t xml:space="preserve"> </w:t>
      </w:r>
      <w:proofErr w:type="spellStart"/>
      <w:r w:rsidRPr="00DC7F5E">
        <w:rPr>
          <w:rFonts w:ascii="Arial" w:hAnsi="Arial" w:cs="Arial"/>
          <w:b/>
          <w:sz w:val="20"/>
        </w:rPr>
        <w:t>kalkulua</w:t>
      </w:r>
      <w:proofErr w:type="spellEnd"/>
      <w:r w:rsidRPr="00DC7F5E">
        <w:rPr>
          <w:rFonts w:ascii="Arial" w:hAnsi="Arial" w:cs="Arial"/>
          <w:b/>
          <w:sz w:val="20"/>
        </w:rPr>
        <w:t xml:space="preserve"> 20</w:t>
      </w:r>
      <w:r w:rsidR="001A0F3A">
        <w:rPr>
          <w:rFonts w:ascii="Arial" w:hAnsi="Arial" w:cs="Arial"/>
          <w:b/>
          <w:sz w:val="20"/>
        </w:rPr>
        <w:t>21e</w:t>
      </w:r>
      <w:r w:rsidRPr="00DC7F5E">
        <w:rPr>
          <w:rFonts w:ascii="Arial" w:hAnsi="Arial" w:cs="Arial"/>
          <w:b/>
          <w:sz w:val="20"/>
        </w:rPr>
        <w:t>rako</w:t>
      </w:r>
      <w:r w:rsidRPr="00AF7435">
        <w:rPr>
          <w:rFonts w:ascii="Arial" w:hAnsi="Arial" w:cs="Arial"/>
          <w:b/>
          <w:sz w:val="20"/>
        </w:rPr>
        <w:t xml:space="preserve"> / </w:t>
      </w:r>
    </w:p>
    <w:p w14:paraId="4699C5B9" w14:textId="6B47B0A7" w:rsidR="00F32A65" w:rsidRPr="00AF7435" w:rsidRDefault="00F32A65" w:rsidP="00F32A65">
      <w:pPr>
        <w:shd w:val="clear" w:color="auto" w:fill="D9D9D9"/>
        <w:rPr>
          <w:rFonts w:ascii="Arial" w:hAnsi="Arial" w:cs="Arial"/>
          <w:b/>
          <w:sz w:val="20"/>
        </w:rPr>
      </w:pPr>
      <w:r w:rsidRPr="00AF7435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>álculo de la Regla de Gasto de los ORGANISMOS AUTÓNOMOS</w:t>
      </w:r>
      <w:r w:rsidRPr="00AF743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</w:t>
      </w:r>
      <w:r w:rsidRPr="00AF7435">
        <w:rPr>
          <w:rFonts w:ascii="Arial" w:hAnsi="Arial" w:cs="Arial"/>
          <w:b/>
          <w:sz w:val="20"/>
        </w:rPr>
        <w:t>para el año 20</w:t>
      </w:r>
      <w:r w:rsidR="001A0F3A">
        <w:rPr>
          <w:rFonts w:ascii="Arial" w:hAnsi="Arial" w:cs="Arial"/>
          <w:b/>
          <w:sz w:val="20"/>
        </w:rPr>
        <w:t>21</w:t>
      </w:r>
    </w:p>
    <w:p w14:paraId="14432699" w14:textId="77777777" w:rsidR="00F32A65" w:rsidRDefault="00F32A65"/>
    <w:p w14:paraId="6F2C6DA2" w14:textId="77777777" w:rsidR="0040005A" w:rsidRDefault="0040005A"/>
    <w:p w14:paraId="1676C695" w14:textId="7ADF8F9A" w:rsidR="00F32A65" w:rsidRDefault="001A0F3A">
      <w:r w:rsidRPr="001A0F3A">
        <w:rPr>
          <w:noProof/>
        </w:rPr>
        <w:drawing>
          <wp:inline distT="0" distB="0" distL="0" distR="0" wp14:anchorId="6A6EA475" wp14:editId="5A6E653A">
            <wp:extent cx="5759450" cy="544957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44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CF6CD" w14:textId="77777777" w:rsidR="00F32A65" w:rsidRDefault="00F32A65"/>
    <w:p w14:paraId="37850AE9" w14:textId="77777777" w:rsidR="00F32A65" w:rsidRDefault="00F32A65">
      <w:r>
        <w:br w:type="page"/>
      </w:r>
    </w:p>
    <w:p w14:paraId="060070D4" w14:textId="2D664BBC" w:rsidR="009D70BB" w:rsidRDefault="00F32A65" w:rsidP="00F32A65">
      <w:pPr>
        <w:shd w:val="clear" w:color="auto" w:fill="D9D9D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FORU SOZIETATE PUBLIKOEN</w:t>
      </w:r>
      <w:r w:rsidRPr="00DC7F5E">
        <w:rPr>
          <w:rFonts w:ascii="Arial" w:hAnsi="Arial" w:cs="Arial"/>
          <w:b/>
          <w:sz w:val="20"/>
        </w:rPr>
        <w:t xml:space="preserve"> </w:t>
      </w:r>
      <w:proofErr w:type="spellStart"/>
      <w:r w:rsidRPr="00DC7F5E">
        <w:rPr>
          <w:rFonts w:ascii="Arial" w:hAnsi="Arial" w:cs="Arial"/>
          <w:b/>
          <w:sz w:val="20"/>
        </w:rPr>
        <w:t>gastu</w:t>
      </w:r>
      <w:proofErr w:type="spellEnd"/>
      <w:r w:rsidRPr="00DC7F5E">
        <w:rPr>
          <w:rFonts w:ascii="Arial" w:hAnsi="Arial" w:cs="Arial"/>
          <w:b/>
          <w:sz w:val="20"/>
        </w:rPr>
        <w:t xml:space="preserve"> </w:t>
      </w:r>
      <w:proofErr w:type="spellStart"/>
      <w:r w:rsidRPr="00DC7F5E">
        <w:rPr>
          <w:rFonts w:ascii="Arial" w:hAnsi="Arial" w:cs="Arial"/>
          <w:b/>
          <w:sz w:val="20"/>
        </w:rPr>
        <w:t>arauaren</w:t>
      </w:r>
      <w:proofErr w:type="spellEnd"/>
      <w:r w:rsidRPr="00DC7F5E">
        <w:rPr>
          <w:rFonts w:ascii="Arial" w:hAnsi="Arial" w:cs="Arial"/>
          <w:b/>
          <w:sz w:val="20"/>
        </w:rPr>
        <w:t xml:space="preserve"> </w:t>
      </w:r>
      <w:proofErr w:type="spellStart"/>
      <w:r w:rsidRPr="00DC7F5E">
        <w:rPr>
          <w:rFonts w:ascii="Arial" w:hAnsi="Arial" w:cs="Arial"/>
          <w:b/>
          <w:sz w:val="20"/>
        </w:rPr>
        <w:t>kalkulua</w:t>
      </w:r>
      <w:proofErr w:type="spellEnd"/>
      <w:r w:rsidRPr="00DC7F5E">
        <w:rPr>
          <w:rFonts w:ascii="Arial" w:hAnsi="Arial" w:cs="Arial"/>
          <w:b/>
          <w:sz w:val="20"/>
        </w:rPr>
        <w:t xml:space="preserve"> 20</w:t>
      </w:r>
      <w:r w:rsidR="001A0F3A">
        <w:rPr>
          <w:rFonts w:ascii="Arial" w:hAnsi="Arial" w:cs="Arial"/>
          <w:b/>
          <w:sz w:val="20"/>
        </w:rPr>
        <w:t>21e</w:t>
      </w:r>
      <w:r w:rsidRPr="00DC7F5E">
        <w:rPr>
          <w:rFonts w:ascii="Arial" w:hAnsi="Arial" w:cs="Arial"/>
          <w:b/>
          <w:sz w:val="20"/>
        </w:rPr>
        <w:t>rako</w:t>
      </w:r>
      <w:r w:rsidRPr="00AF7435">
        <w:rPr>
          <w:rFonts w:ascii="Arial" w:hAnsi="Arial" w:cs="Arial"/>
          <w:b/>
          <w:sz w:val="20"/>
        </w:rPr>
        <w:t xml:space="preserve"> / </w:t>
      </w:r>
    </w:p>
    <w:p w14:paraId="59F522DF" w14:textId="3B06E5F7" w:rsidR="00F32A65" w:rsidRPr="00AF7435" w:rsidRDefault="00F32A65" w:rsidP="00F32A65">
      <w:pPr>
        <w:shd w:val="clear" w:color="auto" w:fill="D9D9D9"/>
        <w:rPr>
          <w:rFonts w:ascii="Arial" w:hAnsi="Arial" w:cs="Arial"/>
          <w:b/>
          <w:sz w:val="20"/>
        </w:rPr>
      </w:pPr>
      <w:r w:rsidRPr="00AF7435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>álculo de la Regla de Gasto de las SOCIEDADES PÚBLICAS FORALES</w:t>
      </w:r>
      <w:r w:rsidRPr="00AF743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</w:t>
      </w:r>
      <w:r w:rsidRPr="00AF7435">
        <w:rPr>
          <w:rFonts w:ascii="Arial" w:hAnsi="Arial" w:cs="Arial"/>
          <w:b/>
          <w:sz w:val="20"/>
        </w:rPr>
        <w:t>para el año 20</w:t>
      </w:r>
      <w:r w:rsidR="001A0F3A">
        <w:rPr>
          <w:rFonts w:ascii="Arial" w:hAnsi="Arial" w:cs="Arial"/>
          <w:b/>
          <w:sz w:val="20"/>
        </w:rPr>
        <w:t>21</w:t>
      </w:r>
    </w:p>
    <w:p w14:paraId="2C47A525" w14:textId="77777777" w:rsidR="00F32A65" w:rsidRDefault="00F32A65"/>
    <w:p w14:paraId="53975801" w14:textId="0BEC83E4" w:rsidR="00F32A65" w:rsidRDefault="001135AF" w:rsidP="001A0F3A">
      <w:pPr>
        <w:jc w:val="center"/>
      </w:pPr>
      <w:r w:rsidRPr="001135AF">
        <w:rPr>
          <w:noProof/>
        </w:rPr>
        <w:drawing>
          <wp:inline distT="0" distB="0" distL="0" distR="0" wp14:anchorId="2F1F7401" wp14:editId="5E2201C9">
            <wp:extent cx="5759450" cy="6148070"/>
            <wp:effectExtent l="0" t="0" r="0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14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5F6E3" w14:textId="77777777" w:rsidR="001C1658" w:rsidRDefault="001C1658">
      <w:r>
        <w:br w:type="page"/>
      </w:r>
    </w:p>
    <w:p w14:paraId="7CBD5FAB" w14:textId="3D56428D" w:rsidR="009D70BB" w:rsidRDefault="001C1658" w:rsidP="001C1658">
      <w:pPr>
        <w:shd w:val="clear" w:color="auto" w:fill="D9D9D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20"/>
        </w:rPr>
        <w:lastRenderedPageBreak/>
        <w:t>FORU FUNDAZIOEN</w:t>
      </w:r>
      <w:r w:rsidRPr="00DC7F5E">
        <w:rPr>
          <w:rFonts w:ascii="Arial" w:hAnsi="Arial" w:cs="Arial"/>
          <w:b/>
          <w:sz w:val="20"/>
        </w:rPr>
        <w:t xml:space="preserve"> </w:t>
      </w:r>
      <w:proofErr w:type="spellStart"/>
      <w:r w:rsidRPr="00DC7F5E">
        <w:rPr>
          <w:rFonts w:ascii="Arial" w:hAnsi="Arial" w:cs="Arial"/>
          <w:b/>
          <w:sz w:val="20"/>
        </w:rPr>
        <w:t>gastu</w:t>
      </w:r>
      <w:proofErr w:type="spellEnd"/>
      <w:r w:rsidRPr="00DC7F5E">
        <w:rPr>
          <w:rFonts w:ascii="Arial" w:hAnsi="Arial" w:cs="Arial"/>
          <w:b/>
          <w:sz w:val="20"/>
        </w:rPr>
        <w:t xml:space="preserve"> </w:t>
      </w:r>
      <w:proofErr w:type="spellStart"/>
      <w:r w:rsidRPr="00DC7F5E">
        <w:rPr>
          <w:rFonts w:ascii="Arial" w:hAnsi="Arial" w:cs="Arial"/>
          <w:b/>
          <w:sz w:val="20"/>
        </w:rPr>
        <w:t>arauaren</w:t>
      </w:r>
      <w:proofErr w:type="spellEnd"/>
      <w:r w:rsidRPr="00DC7F5E">
        <w:rPr>
          <w:rFonts w:ascii="Arial" w:hAnsi="Arial" w:cs="Arial"/>
          <w:b/>
          <w:sz w:val="20"/>
        </w:rPr>
        <w:t xml:space="preserve"> </w:t>
      </w:r>
      <w:proofErr w:type="spellStart"/>
      <w:r w:rsidRPr="00DC7F5E">
        <w:rPr>
          <w:rFonts w:ascii="Arial" w:hAnsi="Arial" w:cs="Arial"/>
          <w:b/>
          <w:sz w:val="20"/>
        </w:rPr>
        <w:t>kalkulua</w:t>
      </w:r>
      <w:proofErr w:type="spellEnd"/>
      <w:r w:rsidRPr="00DC7F5E">
        <w:rPr>
          <w:rFonts w:ascii="Arial" w:hAnsi="Arial" w:cs="Arial"/>
          <w:b/>
          <w:sz w:val="20"/>
        </w:rPr>
        <w:t xml:space="preserve"> 20</w:t>
      </w:r>
      <w:r w:rsidR="001A0F3A">
        <w:rPr>
          <w:rFonts w:ascii="Arial" w:hAnsi="Arial" w:cs="Arial"/>
          <w:b/>
          <w:sz w:val="20"/>
        </w:rPr>
        <w:t>21e</w:t>
      </w:r>
      <w:r w:rsidRPr="00DC7F5E">
        <w:rPr>
          <w:rFonts w:ascii="Arial" w:hAnsi="Arial" w:cs="Arial"/>
          <w:b/>
          <w:sz w:val="20"/>
        </w:rPr>
        <w:t>rako</w:t>
      </w:r>
      <w:r w:rsidRPr="00AF7435">
        <w:rPr>
          <w:rFonts w:ascii="Arial" w:hAnsi="Arial" w:cs="Arial"/>
          <w:b/>
          <w:sz w:val="20"/>
        </w:rPr>
        <w:t xml:space="preserve"> </w:t>
      </w:r>
      <w:r w:rsidRPr="00231F31">
        <w:rPr>
          <w:rFonts w:ascii="Arial" w:hAnsi="Arial" w:cs="Arial"/>
          <w:b/>
          <w:szCs w:val="22"/>
        </w:rPr>
        <w:t xml:space="preserve">/ </w:t>
      </w:r>
    </w:p>
    <w:p w14:paraId="080C10F8" w14:textId="7F2A62E2" w:rsidR="001C1658" w:rsidRPr="00AF7435" w:rsidRDefault="001C1658" w:rsidP="001C1658">
      <w:pPr>
        <w:shd w:val="clear" w:color="auto" w:fill="D9D9D9"/>
        <w:rPr>
          <w:rFonts w:ascii="Arial" w:hAnsi="Arial" w:cs="Arial"/>
          <w:b/>
          <w:sz w:val="20"/>
        </w:rPr>
      </w:pPr>
      <w:r w:rsidRPr="00AF7435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>álculo de la Regla de Gasto de las FUNDACIONES FORALES</w:t>
      </w:r>
      <w:r w:rsidRPr="00AF743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</w:t>
      </w:r>
      <w:r w:rsidRPr="00AF7435">
        <w:rPr>
          <w:rFonts w:ascii="Arial" w:hAnsi="Arial" w:cs="Arial"/>
          <w:b/>
          <w:sz w:val="20"/>
        </w:rPr>
        <w:t>para el año 20</w:t>
      </w:r>
      <w:r w:rsidR="001A0F3A">
        <w:rPr>
          <w:rFonts w:ascii="Arial" w:hAnsi="Arial" w:cs="Arial"/>
          <w:b/>
          <w:sz w:val="20"/>
        </w:rPr>
        <w:t>21</w:t>
      </w:r>
    </w:p>
    <w:p w14:paraId="51F3B8A8" w14:textId="77777777" w:rsidR="001C1658" w:rsidRDefault="001C1658"/>
    <w:p w14:paraId="5D7DA09E" w14:textId="77777777" w:rsidR="001C1658" w:rsidRDefault="001A0F3A">
      <w:r w:rsidRPr="001A0F3A">
        <w:rPr>
          <w:noProof/>
        </w:rPr>
        <w:drawing>
          <wp:inline distT="0" distB="0" distL="0" distR="0" wp14:anchorId="0266EAE4" wp14:editId="3005D883">
            <wp:extent cx="5771072" cy="6643826"/>
            <wp:effectExtent l="0" t="0" r="1270" b="508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306" cy="66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E8430" w14:textId="77777777" w:rsidR="00B34A32" w:rsidRDefault="00B34A32"/>
    <w:p w14:paraId="600A0EA3" w14:textId="77777777" w:rsidR="00B34A32" w:rsidRPr="00AF7435" w:rsidRDefault="00B34A32" w:rsidP="00B34A32">
      <w:pPr>
        <w:shd w:val="clear" w:color="auto" w:fill="D9D9D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ARABAKO FORU SEKTORE PUBLIKOAREN</w:t>
      </w:r>
      <w:r w:rsidRPr="00DC7F5E">
        <w:rPr>
          <w:rFonts w:ascii="Arial" w:hAnsi="Arial" w:cs="Arial"/>
          <w:b/>
          <w:sz w:val="20"/>
        </w:rPr>
        <w:t xml:space="preserve"> </w:t>
      </w:r>
      <w:proofErr w:type="spellStart"/>
      <w:r w:rsidRPr="00DC7F5E">
        <w:rPr>
          <w:rFonts w:ascii="Arial" w:hAnsi="Arial" w:cs="Arial"/>
          <w:b/>
          <w:sz w:val="20"/>
        </w:rPr>
        <w:t>gastu</w:t>
      </w:r>
      <w:proofErr w:type="spellEnd"/>
      <w:r w:rsidRPr="00DC7F5E">
        <w:rPr>
          <w:rFonts w:ascii="Arial" w:hAnsi="Arial" w:cs="Arial"/>
          <w:b/>
          <w:sz w:val="20"/>
        </w:rPr>
        <w:t xml:space="preserve"> </w:t>
      </w:r>
      <w:proofErr w:type="spellStart"/>
      <w:r w:rsidRPr="00DC7F5E">
        <w:rPr>
          <w:rFonts w:ascii="Arial" w:hAnsi="Arial" w:cs="Arial"/>
          <w:b/>
          <w:sz w:val="20"/>
        </w:rPr>
        <w:t>arauaren</w:t>
      </w:r>
      <w:proofErr w:type="spellEnd"/>
      <w:r w:rsidRPr="00DC7F5E">
        <w:rPr>
          <w:rFonts w:ascii="Arial" w:hAnsi="Arial" w:cs="Arial"/>
          <w:b/>
          <w:sz w:val="20"/>
        </w:rPr>
        <w:t xml:space="preserve"> </w:t>
      </w:r>
      <w:proofErr w:type="spellStart"/>
      <w:r w:rsidRPr="00DC7F5E">
        <w:rPr>
          <w:rFonts w:ascii="Arial" w:hAnsi="Arial" w:cs="Arial"/>
          <w:b/>
          <w:sz w:val="20"/>
        </w:rPr>
        <w:t>kalkulua</w:t>
      </w:r>
      <w:proofErr w:type="spellEnd"/>
      <w:r w:rsidRPr="00DC7F5E">
        <w:rPr>
          <w:rFonts w:ascii="Arial" w:hAnsi="Arial" w:cs="Arial"/>
          <w:b/>
          <w:sz w:val="20"/>
        </w:rPr>
        <w:t xml:space="preserve"> 20</w:t>
      </w:r>
      <w:r>
        <w:rPr>
          <w:rFonts w:ascii="Arial" w:hAnsi="Arial" w:cs="Arial"/>
          <w:b/>
          <w:sz w:val="20"/>
        </w:rPr>
        <w:t>21e</w:t>
      </w:r>
      <w:r w:rsidRPr="00DC7F5E">
        <w:rPr>
          <w:rFonts w:ascii="Arial" w:hAnsi="Arial" w:cs="Arial"/>
          <w:b/>
          <w:sz w:val="20"/>
        </w:rPr>
        <w:t>rako</w:t>
      </w:r>
      <w:r w:rsidRPr="00AF7435">
        <w:rPr>
          <w:rFonts w:ascii="Arial" w:hAnsi="Arial" w:cs="Arial"/>
          <w:b/>
          <w:sz w:val="20"/>
        </w:rPr>
        <w:t xml:space="preserve"> / </w:t>
      </w:r>
    </w:p>
    <w:p w14:paraId="7CE07507" w14:textId="77777777" w:rsidR="00B34A32" w:rsidRPr="00AF7435" w:rsidRDefault="00B34A32" w:rsidP="00B34A32">
      <w:pPr>
        <w:shd w:val="clear" w:color="auto" w:fill="D9D9D9"/>
        <w:rPr>
          <w:rFonts w:ascii="Arial" w:hAnsi="Arial" w:cs="Arial"/>
          <w:b/>
          <w:sz w:val="20"/>
        </w:rPr>
      </w:pPr>
      <w:r w:rsidRPr="00AF7435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>álculo de la Regla de Gasto del SECTOR PÚBLICO FORAL ÁLAVA</w:t>
      </w:r>
      <w:r w:rsidRPr="00AF743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</w:t>
      </w:r>
      <w:r w:rsidRPr="00AF7435">
        <w:rPr>
          <w:rFonts w:ascii="Arial" w:hAnsi="Arial" w:cs="Arial"/>
          <w:b/>
          <w:sz w:val="20"/>
        </w:rPr>
        <w:t>para el año 20</w:t>
      </w:r>
      <w:r>
        <w:rPr>
          <w:rFonts w:ascii="Arial" w:hAnsi="Arial" w:cs="Arial"/>
          <w:b/>
          <w:sz w:val="20"/>
        </w:rPr>
        <w:t>21</w:t>
      </w:r>
    </w:p>
    <w:p w14:paraId="12275008" w14:textId="77777777" w:rsidR="00B34A32" w:rsidRDefault="00B34A32"/>
    <w:p w14:paraId="38F75904" w14:textId="5B7E3986" w:rsidR="00B34A32" w:rsidRDefault="00693004" w:rsidP="00B34A32">
      <w:pPr>
        <w:jc w:val="center"/>
      </w:pPr>
      <w:r w:rsidRPr="00693004">
        <w:rPr>
          <w:noProof/>
        </w:rPr>
        <w:drawing>
          <wp:inline distT="0" distB="0" distL="0" distR="0" wp14:anchorId="5606F3D9" wp14:editId="20731DBC">
            <wp:extent cx="5759450" cy="4834255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3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FD653" w14:textId="77777777" w:rsidR="00F32A65" w:rsidRDefault="00F32A65"/>
    <w:p w14:paraId="567EB25D" w14:textId="7FEBA7D0" w:rsidR="00F32A65" w:rsidRPr="0031265C" w:rsidRDefault="00F32A65" w:rsidP="00F32A65">
      <w:pPr>
        <w:jc w:val="center"/>
      </w:pPr>
    </w:p>
    <w:p w14:paraId="5750F93A" w14:textId="77777777" w:rsidR="00DC7F5E" w:rsidRDefault="00DC7F5E" w:rsidP="005327E7">
      <w:pPr>
        <w:jc w:val="center"/>
      </w:pPr>
    </w:p>
    <w:p w14:paraId="558D7100" w14:textId="366B8EC5" w:rsidR="001135AF" w:rsidRDefault="001135AF" w:rsidP="005327E7">
      <w:pPr>
        <w:jc w:val="center"/>
        <w:sectPr w:rsidR="001135AF" w:rsidSect="00B34A32">
          <w:headerReference w:type="first" r:id="rId15"/>
          <w:pgSz w:w="11906" w:h="16838" w:code="9"/>
          <w:pgMar w:top="1418" w:right="1418" w:bottom="1418" w:left="1418" w:header="720" w:footer="720" w:gutter="0"/>
          <w:cols w:space="720"/>
          <w:titlePg/>
          <w:docGrid w:linePitch="299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7"/>
        <w:gridCol w:w="4543"/>
      </w:tblGrid>
      <w:tr w:rsidR="000C21F3" w:rsidRPr="00AB0C97" w14:paraId="59A9D529" w14:textId="77777777" w:rsidTr="00AB0C97">
        <w:tc>
          <w:tcPr>
            <w:tcW w:w="4527" w:type="dxa"/>
            <w:tcBorders>
              <w:right w:val="single" w:sz="4" w:space="0" w:color="808080"/>
            </w:tcBorders>
            <w:shd w:val="clear" w:color="auto" w:fill="auto"/>
          </w:tcPr>
          <w:p w14:paraId="2E34F753" w14:textId="77777777" w:rsidR="000C21F3" w:rsidRPr="00AB0C97" w:rsidRDefault="000C21F3" w:rsidP="005133A3">
            <w:pPr>
              <w:pStyle w:val="Ttulo1"/>
              <w:shd w:val="clear" w:color="auto" w:fill="D9D9D9"/>
              <w:spacing w:before="60" w:after="60"/>
              <w:ind w:right="57"/>
              <w:rPr>
                <w:rFonts w:asciiTheme="minorHAnsi" w:hAnsiTheme="minorHAnsi" w:cstheme="minorHAnsi"/>
                <w:b/>
                <w:szCs w:val="24"/>
              </w:rPr>
            </w:pPr>
            <w:r w:rsidRPr="00AB0C97">
              <w:rPr>
                <w:rFonts w:asciiTheme="minorHAnsi" w:hAnsiTheme="minorHAnsi" w:cstheme="minorHAnsi"/>
                <w:b/>
                <w:szCs w:val="24"/>
              </w:rPr>
              <w:lastRenderedPageBreak/>
              <w:t>AURREKONTUETAKO EGONKORTASUN HELBURUA</w:t>
            </w:r>
          </w:p>
          <w:p w14:paraId="4100FB53" w14:textId="77777777" w:rsidR="000C21F3" w:rsidRPr="00AB0C97" w:rsidRDefault="000C21F3" w:rsidP="005133A3">
            <w:pPr>
              <w:ind w:right="57"/>
              <w:rPr>
                <w:rFonts w:asciiTheme="minorHAnsi" w:hAnsiTheme="minorHAnsi" w:cstheme="minorHAnsi"/>
                <w:snapToGrid w:val="0"/>
                <w:sz w:val="24"/>
                <w:szCs w:val="24"/>
                <w:u w:val="single"/>
              </w:rPr>
            </w:pPr>
          </w:p>
          <w:p w14:paraId="5DB686A0" w14:textId="77777777" w:rsidR="000C21F3" w:rsidRPr="00AB0C97" w:rsidRDefault="0059786F" w:rsidP="005133A3">
            <w:pPr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proofErr w:type="spellStart"/>
            <w:r w:rsidRPr="00AB0C9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Aurrekontuetako</w:t>
            </w:r>
            <w:proofErr w:type="spellEnd"/>
            <w:r w:rsidRPr="00AB0C9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B0C9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egonkortasun</w:t>
            </w:r>
            <w:proofErr w:type="spellEnd"/>
            <w:r w:rsidRPr="00AB0C9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B0C9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oinarria</w:t>
            </w:r>
            <w:proofErr w:type="spellEnd"/>
            <w:r w:rsidRPr="00AB0C9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B0C9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AEIFLOko</w:t>
            </w:r>
            <w:proofErr w:type="spellEnd"/>
            <w:r w:rsidRPr="00AB0C9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3. artikuluan </w:t>
            </w:r>
            <w:proofErr w:type="spellStart"/>
            <w:r w:rsidRPr="00AB0C9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ezarri</w:t>
            </w:r>
            <w:proofErr w:type="spellEnd"/>
            <w:r w:rsidRPr="00AB0C9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da eta </w:t>
            </w:r>
            <w:proofErr w:type="spellStart"/>
            <w:r w:rsidRPr="00AB0C9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testuaren</w:t>
            </w:r>
            <w:proofErr w:type="spellEnd"/>
            <w:r w:rsidRPr="00AB0C9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11. artikuluan </w:t>
            </w:r>
            <w:proofErr w:type="spellStart"/>
            <w:r w:rsidRPr="00AB0C9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gauzatzen</w:t>
            </w:r>
            <w:proofErr w:type="spellEnd"/>
            <w:r w:rsidRPr="00AB0C9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eta </w:t>
            </w:r>
            <w:proofErr w:type="spellStart"/>
            <w:r w:rsidRPr="00AB0C9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garatzen</w:t>
            </w:r>
            <w:proofErr w:type="spellEnd"/>
            <w:r w:rsidRPr="00AB0C9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da.</w:t>
            </w:r>
          </w:p>
          <w:p w14:paraId="3E57A269" w14:textId="77777777" w:rsidR="003448B6" w:rsidRPr="00AB0C97" w:rsidRDefault="003448B6" w:rsidP="005133A3">
            <w:pPr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4543" w:type="dxa"/>
            <w:tcBorders>
              <w:left w:val="single" w:sz="4" w:space="0" w:color="808080"/>
            </w:tcBorders>
            <w:shd w:val="clear" w:color="auto" w:fill="auto"/>
          </w:tcPr>
          <w:p w14:paraId="42FE5A68" w14:textId="77777777" w:rsidR="000C21F3" w:rsidRPr="00AB0C97" w:rsidRDefault="000C21F3" w:rsidP="005133A3">
            <w:pPr>
              <w:pStyle w:val="Ttulo1"/>
              <w:shd w:val="clear" w:color="auto" w:fill="D9D9D9"/>
              <w:spacing w:before="60" w:after="60"/>
              <w:ind w:left="57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AB0C97">
              <w:rPr>
                <w:rFonts w:asciiTheme="minorHAnsi" w:hAnsiTheme="minorHAnsi" w:cstheme="minorHAnsi"/>
                <w:b/>
                <w:szCs w:val="24"/>
              </w:rPr>
              <w:t>OBJETIVO DE ESTABILIDAD PRESUPUESTARIA</w:t>
            </w:r>
          </w:p>
          <w:p w14:paraId="32DF0D77" w14:textId="77777777" w:rsidR="000C21F3" w:rsidRPr="00AB0C97" w:rsidRDefault="000C21F3" w:rsidP="00C26615">
            <w:pPr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32146539" w14:textId="77777777" w:rsidR="0059786F" w:rsidRPr="00AB0C97" w:rsidRDefault="000C21F3" w:rsidP="005133A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B0C97">
              <w:rPr>
                <w:rFonts w:asciiTheme="minorHAnsi" w:hAnsiTheme="minorHAnsi" w:cstheme="minorHAnsi"/>
                <w:sz w:val="24"/>
                <w:szCs w:val="24"/>
              </w:rPr>
              <w:t>El principio de Estabilidad Presupuestaria se establece en el artículo 3 de la LOEPSF y se instrumenta en el artículo 11.</w:t>
            </w:r>
          </w:p>
          <w:p w14:paraId="537C1120" w14:textId="045301F2" w:rsidR="000C21F3" w:rsidRPr="00AB0C97" w:rsidRDefault="000C21F3" w:rsidP="005133A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979" w:rsidRPr="00AB0C97" w14:paraId="48752946" w14:textId="77777777" w:rsidTr="00AB0C97">
        <w:tc>
          <w:tcPr>
            <w:tcW w:w="4527" w:type="dxa"/>
            <w:tcBorders>
              <w:right w:val="single" w:sz="4" w:space="0" w:color="808080"/>
            </w:tcBorders>
            <w:shd w:val="clear" w:color="auto" w:fill="auto"/>
          </w:tcPr>
          <w:p w14:paraId="6D9EAFCF" w14:textId="35D5A837" w:rsidR="00845979" w:rsidRPr="00AB0C97" w:rsidRDefault="00C64EB1" w:rsidP="00A852FC">
            <w:pPr>
              <w:spacing w:before="240" w:after="120"/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Erantsitako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tauletatik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lortutako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informazioa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informatiboa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baino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ez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da,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zerga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arauak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2020. eta 2021.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urteetarako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etenda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daudelako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, eta Arabako Foru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Sektore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Publikoaren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aurrekontu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egonkortasunaren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helburua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erakusten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du, EKS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terminoetan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  <w:tc>
          <w:tcPr>
            <w:tcW w:w="4543" w:type="dxa"/>
            <w:tcBorders>
              <w:left w:val="single" w:sz="4" w:space="0" w:color="808080"/>
            </w:tcBorders>
            <w:shd w:val="clear" w:color="auto" w:fill="auto"/>
          </w:tcPr>
          <w:p w14:paraId="7BCB7C86" w14:textId="5CB6BBDF" w:rsidR="00845979" w:rsidRPr="00AB0C97" w:rsidRDefault="003D2C39" w:rsidP="003C37C9">
            <w:pPr>
              <w:spacing w:before="24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845979"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a información obtenida de los cuadros </w:t>
            </w:r>
            <w:proofErr w:type="gramStart"/>
            <w:r w:rsidR="00845979" w:rsidRPr="00C64EB1">
              <w:rPr>
                <w:rFonts w:asciiTheme="minorHAnsi" w:hAnsiTheme="minorHAnsi" w:cstheme="minorHAnsi"/>
                <w:sz w:val="24"/>
                <w:szCs w:val="24"/>
              </w:rPr>
              <w:t>adjuntos,</w:t>
            </w:r>
            <w:proofErr w:type="gramEnd"/>
            <w:r w:rsidR="00845979"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B0C97" w:rsidRPr="00C64EB1">
              <w:rPr>
                <w:rFonts w:asciiTheme="minorHAnsi" w:hAnsiTheme="minorHAnsi" w:cstheme="minorHAnsi"/>
                <w:sz w:val="24"/>
                <w:szCs w:val="24"/>
              </w:rPr>
              <w:t>es meramente informativ</w:t>
            </w:r>
            <w:r w:rsidR="006F19A5" w:rsidRPr="00C64EB1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AB0C97"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, al estar en suspenso para 2020 y 2021 las reglas fiscales, y </w:t>
            </w:r>
            <w:r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muestra </w:t>
            </w:r>
            <w:r w:rsidR="00845979" w:rsidRPr="00C64EB1">
              <w:rPr>
                <w:rFonts w:asciiTheme="minorHAnsi" w:hAnsiTheme="minorHAnsi" w:cstheme="minorHAnsi"/>
                <w:sz w:val="24"/>
                <w:szCs w:val="24"/>
              </w:rPr>
              <w:t xml:space="preserve">el objetivo de estabilidad presupuestaria del Sector Público Foral de </w:t>
            </w:r>
            <w:r w:rsidR="0056390E" w:rsidRPr="00C64EB1">
              <w:rPr>
                <w:rFonts w:asciiTheme="minorHAnsi" w:hAnsiTheme="minorHAnsi" w:cstheme="minorHAnsi"/>
                <w:sz w:val="24"/>
                <w:szCs w:val="24"/>
              </w:rPr>
              <w:t>Á</w:t>
            </w:r>
            <w:r w:rsidR="00845979" w:rsidRPr="00C64EB1">
              <w:rPr>
                <w:rFonts w:asciiTheme="minorHAnsi" w:hAnsiTheme="minorHAnsi" w:cstheme="minorHAnsi"/>
                <w:sz w:val="24"/>
                <w:szCs w:val="24"/>
              </w:rPr>
              <w:t>lava, en términos SEC</w:t>
            </w:r>
            <w:r w:rsidRPr="00C64EB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51BD415D" w14:textId="77777777" w:rsidR="00AF7435" w:rsidRDefault="00AF7435"/>
    <w:p w14:paraId="64816BF1" w14:textId="77777777" w:rsidR="00F25B9A" w:rsidRDefault="00F25B9A">
      <w:pPr>
        <w:sectPr w:rsidR="00F25B9A" w:rsidSect="00DC7F5E">
          <w:headerReference w:type="first" r:id="rId16"/>
          <w:pgSz w:w="11906" w:h="16838" w:code="9"/>
          <w:pgMar w:top="1418" w:right="1418" w:bottom="1418" w:left="1418" w:header="720" w:footer="720" w:gutter="0"/>
          <w:cols w:space="720"/>
          <w:titlePg/>
        </w:sectPr>
      </w:pPr>
    </w:p>
    <w:p w14:paraId="5416F09D" w14:textId="78BBBE50" w:rsidR="00A60ABC" w:rsidRPr="00AF7435" w:rsidRDefault="007D3796" w:rsidP="00AF7435">
      <w:pPr>
        <w:shd w:val="clear" w:color="auto" w:fill="D9D9D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ARABAKO FORU ALDUNDIA</w:t>
      </w:r>
      <w:r w:rsidR="00AF7435" w:rsidRPr="00AF7435">
        <w:rPr>
          <w:rFonts w:ascii="Arial" w:hAnsi="Arial" w:cs="Arial"/>
          <w:b/>
          <w:sz w:val="20"/>
        </w:rPr>
        <w:t xml:space="preserve">  </w:t>
      </w:r>
      <w:proofErr w:type="spellStart"/>
      <w:r w:rsidR="00AF7435" w:rsidRPr="00AF7435">
        <w:rPr>
          <w:rFonts w:ascii="Arial" w:hAnsi="Arial" w:cs="Arial"/>
          <w:b/>
          <w:sz w:val="20"/>
        </w:rPr>
        <w:t>finantzatzeko</w:t>
      </w:r>
      <w:proofErr w:type="spellEnd"/>
      <w:r w:rsidR="00AF7435" w:rsidRPr="00AF7435">
        <w:rPr>
          <w:rFonts w:ascii="Arial" w:hAnsi="Arial" w:cs="Arial"/>
          <w:b/>
          <w:sz w:val="20"/>
        </w:rPr>
        <w:t xml:space="preserve"> </w:t>
      </w:r>
      <w:proofErr w:type="spellStart"/>
      <w:r w:rsidR="00AF7435" w:rsidRPr="00AF7435">
        <w:rPr>
          <w:rFonts w:ascii="Arial" w:hAnsi="Arial" w:cs="Arial"/>
          <w:b/>
          <w:sz w:val="20"/>
        </w:rPr>
        <w:t>gaitasun</w:t>
      </w:r>
      <w:proofErr w:type="spellEnd"/>
      <w:r w:rsidR="00AF7435" w:rsidRPr="00AF7435">
        <w:rPr>
          <w:rFonts w:ascii="Arial" w:hAnsi="Arial" w:cs="Arial"/>
          <w:b/>
          <w:sz w:val="20"/>
        </w:rPr>
        <w:t>/</w:t>
      </w:r>
      <w:proofErr w:type="spellStart"/>
      <w:r w:rsidR="00AF7435" w:rsidRPr="00AF7435">
        <w:rPr>
          <w:rFonts w:ascii="Arial" w:hAnsi="Arial" w:cs="Arial"/>
          <w:b/>
          <w:sz w:val="20"/>
        </w:rPr>
        <w:t>beharrizana</w:t>
      </w:r>
      <w:proofErr w:type="spellEnd"/>
      <w:r w:rsidR="00AF7435" w:rsidRPr="00AF7435">
        <w:rPr>
          <w:rFonts w:ascii="Arial" w:hAnsi="Arial" w:cs="Arial"/>
          <w:b/>
          <w:sz w:val="20"/>
        </w:rPr>
        <w:t xml:space="preserve"> EKS </w:t>
      </w:r>
      <w:proofErr w:type="spellStart"/>
      <w:r w:rsidR="00AF7435" w:rsidRPr="00AF7435">
        <w:rPr>
          <w:rFonts w:ascii="Arial" w:hAnsi="Arial" w:cs="Arial"/>
          <w:b/>
          <w:sz w:val="20"/>
        </w:rPr>
        <w:t>alderdiari</w:t>
      </w:r>
      <w:proofErr w:type="spellEnd"/>
      <w:r w:rsidR="00AF7435" w:rsidRPr="00AF7435">
        <w:rPr>
          <w:rFonts w:ascii="Arial" w:hAnsi="Arial" w:cs="Arial"/>
          <w:b/>
          <w:sz w:val="20"/>
        </w:rPr>
        <w:t xml:space="preserve"> </w:t>
      </w:r>
      <w:proofErr w:type="spellStart"/>
      <w:r w:rsidR="00AF7435" w:rsidRPr="00AF7435">
        <w:rPr>
          <w:rFonts w:ascii="Arial" w:hAnsi="Arial" w:cs="Arial"/>
          <w:b/>
          <w:sz w:val="20"/>
        </w:rPr>
        <w:t>dagokionez</w:t>
      </w:r>
      <w:proofErr w:type="spellEnd"/>
      <w:r w:rsidR="00AF7435" w:rsidRPr="00AF7435">
        <w:rPr>
          <w:rFonts w:ascii="Arial" w:hAnsi="Arial" w:cs="Arial"/>
          <w:b/>
          <w:sz w:val="20"/>
        </w:rPr>
        <w:t>, 20</w:t>
      </w:r>
      <w:r w:rsidR="00AB0C97">
        <w:rPr>
          <w:rFonts w:ascii="Arial" w:hAnsi="Arial" w:cs="Arial"/>
          <w:b/>
          <w:sz w:val="20"/>
        </w:rPr>
        <w:t>21</w:t>
      </w:r>
      <w:r w:rsidR="00AF7435" w:rsidRPr="00AF7435">
        <w:rPr>
          <w:rFonts w:ascii="Arial" w:hAnsi="Arial" w:cs="Arial"/>
          <w:b/>
          <w:sz w:val="20"/>
        </w:rPr>
        <w:t xml:space="preserve">. </w:t>
      </w:r>
      <w:proofErr w:type="spellStart"/>
      <w:r w:rsidR="00AF7435" w:rsidRPr="00AF7435">
        <w:rPr>
          <w:rFonts w:ascii="Arial" w:hAnsi="Arial" w:cs="Arial"/>
          <w:b/>
          <w:sz w:val="20"/>
        </w:rPr>
        <w:t>urterako</w:t>
      </w:r>
      <w:proofErr w:type="spellEnd"/>
      <w:r w:rsidR="00AF7435" w:rsidRPr="00AF7435">
        <w:rPr>
          <w:rFonts w:ascii="Arial" w:hAnsi="Arial" w:cs="Arial"/>
          <w:b/>
          <w:sz w:val="20"/>
        </w:rPr>
        <w:t xml:space="preserve"> / </w:t>
      </w:r>
    </w:p>
    <w:p w14:paraId="0F199EBD" w14:textId="66D13D4B" w:rsidR="00A60ABC" w:rsidRPr="00AF7435" w:rsidRDefault="00A60ABC" w:rsidP="00AF7435">
      <w:pPr>
        <w:shd w:val="clear" w:color="auto" w:fill="D9D9D9"/>
        <w:rPr>
          <w:rFonts w:ascii="Arial" w:hAnsi="Arial" w:cs="Arial"/>
          <w:b/>
          <w:sz w:val="20"/>
        </w:rPr>
      </w:pPr>
      <w:r w:rsidRPr="00AF7435">
        <w:rPr>
          <w:rFonts w:ascii="Arial" w:hAnsi="Arial" w:cs="Arial"/>
          <w:b/>
          <w:sz w:val="20"/>
        </w:rPr>
        <w:t xml:space="preserve">Capacidad / Necesidad de financiación de </w:t>
      </w:r>
      <w:r w:rsidR="007D3796">
        <w:rPr>
          <w:rFonts w:ascii="Arial" w:hAnsi="Arial" w:cs="Arial"/>
          <w:b/>
          <w:sz w:val="20"/>
        </w:rPr>
        <w:t>DIPUTACIÓN FORAL DE ÁLAVA</w:t>
      </w:r>
      <w:r w:rsidRPr="00AF7435">
        <w:rPr>
          <w:rFonts w:ascii="Arial" w:hAnsi="Arial" w:cs="Arial"/>
          <w:b/>
          <w:sz w:val="20"/>
        </w:rPr>
        <w:t xml:space="preserve"> </w:t>
      </w:r>
      <w:r w:rsidR="00BB1FE9">
        <w:rPr>
          <w:rFonts w:ascii="Arial" w:hAnsi="Arial" w:cs="Arial"/>
          <w:b/>
          <w:sz w:val="20"/>
        </w:rPr>
        <w:t xml:space="preserve">términos de SEC </w:t>
      </w:r>
      <w:r w:rsidRPr="00AF7435">
        <w:rPr>
          <w:rFonts w:ascii="Arial" w:hAnsi="Arial" w:cs="Arial"/>
          <w:b/>
          <w:sz w:val="20"/>
        </w:rPr>
        <w:t>para el año 20</w:t>
      </w:r>
      <w:r w:rsidR="00AB0C97">
        <w:rPr>
          <w:rFonts w:ascii="Arial" w:hAnsi="Arial" w:cs="Arial"/>
          <w:b/>
          <w:sz w:val="20"/>
        </w:rPr>
        <w:t>21</w:t>
      </w:r>
    </w:p>
    <w:p w14:paraId="64EB7B1F" w14:textId="77777777" w:rsidR="00A60ABC" w:rsidRPr="00641CB7" w:rsidRDefault="00A60ABC" w:rsidP="00F36638">
      <w:pPr>
        <w:jc w:val="center"/>
      </w:pPr>
    </w:p>
    <w:p w14:paraId="38DF3286" w14:textId="2684C2F2" w:rsidR="00641CB7" w:rsidRDefault="00AB0C97" w:rsidP="00641CB7">
      <w:pPr>
        <w:jc w:val="center"/>
      </w:pPr>
      <w:r w:rsidRPr="00AB0C97">
        <w:rPr>
          <w:noProof/>
        </w:rPr>
        <w:drawing>
          <wp:inline distT="0" distB="0" distL="0" distR="0" wp14:anchorId="351E1910" wp14:editId="1962BAAD">
            <wp:extent cx="6599207" cy="413048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065" cy="413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2057C" w14:textId="77777777" w:rsidR="00FE0D4F" w:rsidRPr="00F36638" w:rsidRDefault="00FE0D4F" w:rsidP="00641CB7">
      <w:pPr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3B958D7" w14:textId="3FAB876C" w:rsidR="00641CB7" w:rsidRPr="00AF7435" w:rsidRDefault="007D3796" w:rsidP="00641CB7">
      <w:pPr>
        <w:shd w:val="clear" w:color="auto" w:fill="D9D9D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ERAKUNDE AUTONOMOAK</w:t>
      </w:r>
      <w:r w:rsidR="00641CB7" w:rsidRPr="00AF7435">
        <w:rPr>
          <w:rFonts w:ascii="Arial" w:hAnsi="Arial" w:cs="Arial"/>
          <w:b/>
          <w:sz w:val="20"/>
        </w:rPr>
        <w:t xml:space="preserve"> </w:t>
      </w:r>
      <w:proofErr w:type="spellStart"/>
      <w:r w:rsidR="00641CB7" w:rsidRPr="00AF7435">
        <w:rPr>
          <w:rFonts w:ascii="Arial" w:hAnsi="Arial" w:cs="Arial"/>
          <w:b/>
          <w:sz w:val="20"/>
        </w:rPr>
        <w:t>finantzatzeko</w:t>
      </w:r>
      <w:proofErr w:type="spellEnd"/>
      <w:r w:rsidR="00641CB7" w:rsidRPr="00AF7435">
        <w:rPr>
          <w:rFonts w:ascii="Arial" w:hAnsi="Arial" w:cs="Arial"/>
          <w:b/>
          <w:sz w:val="20"/>
        </w:rPr>
        <w:t xml:space="preserve"> </w:t>
      </w:r>
      <w:proofErr w:type="spellStart"/>
      <w:r w:rsidR="00641CB7" w:rsidRPr="00AF7435">
        <w:rPr>
          <w:rFonts w:ascii="Arial" w:hAnsi="Arial" w:cs="Arial"/>
          <w:b/>
          <w:sz w:val="20"/>
        </w:rPr>
        <w:t>gaitasun</w:t>
      </w:r>
      <w:proofErr w:type="spellEnd"/>
      <w:r w:rsidR="00641CB7" w:rsidRPr="00AF7435">
        <w:rPr>
          <w:rFonts w:ascii="Arial" w:hAnsi="Arial" w:cs="Arial"/>
          <w:b/>
          <w:sz w:val="20"/>
        </w:rPr>
        <w:t>/</w:t>
      </w:r>
      <w:proofErr w:type="spellStart"/>
      <w:r w:rsidR="00641CB7" w:rsidRPr="00AF7435">
        <w:rPr>
          <w:rFonts w:ascii="Arial" w:hAnsi="Arial" w:cs="Arial"/>
          <w:b/>
          <w:sz w:val="20"/>
        </w:rPr>
        <w:t>beharrizana</w:t>
      </w:r>
      <w:proofErr w:type="spellEnd"/>
      <w:r w:rsidR="00641CB7" w:rsidRPr="00AF7435">
        <w:rPr>
          <w:rFonts w:ascii="Arial" w:hAnsi="Arial" w:cs="Arial"/>
          <w:b/>
          <w:sz w:val="20"/>
        </w:rPr>
        <w:t xml:space="preserve"> EKS </w:t>
      </w:r>
      <w:proofErr w:type="spellStart"/>
      <w:r w:rsidR="00641CB7" w:rsidRPr="00AF7435">
        <w:rPr>
          <w:rFonts w:ascii="Arial" w:hAnsi="Arial" w:cs="Arial"/>
          <w:b/>
          <w:sz w:val="20"/>
        </w:rPr>
        <w:t>alderdiari</w:t>
      </w:r>
      <w:proofErr w:type="spellEnd"/>
      <w:r w:rsidR="00641CB7" w:rsidRPr="00AF7435">
        <w:rPr>
          <w:rFonts w:ascii="Arial" w:hAnsi="Arial" w:cs="Arial"/>
          <w:b/>
          <w:sz w:val="20"/>
        </w:rPr>
        <w:t xml:space="preserve"> </w:t>
      </w:r>
      <w:proofErr w:type="spellStart"/>
      <w:r w:rsidR="00641CB7" w:rsidRPr="00AF7435">
        <w:rPr>
          <w:rFonts w:ascii="Arial" w:hAnsi="Arial" w:cs="Arial"/>
          <w:b/>
          <w:sz w:val="20"/>
        </w:rPr>
        <w:t>dagokionez</w:t>
      </w:r>
      <w:proofErr w:type="spellEnd"/>
      <w:r w:rsidR="00641CB7" w:rsidRPr="00AF7435">
        <w:rPr>
          <w:rFonts w:ascii="Arial" w:hAnsi="Arial" w:cs="Arial"/>
          <w:b/>
          <w:sz w:val="20"/>
        </w:rPr>
        <w:t>, 20</w:t>
      </w:r>
      <w:r w:rsidR="003218D4">
        <w:rPr>
          <w:rFonts w:ascii="Arial" w:hAnsi="Arial" w:cs="Arial"/>
          <w:b/>
          <w:sz w:val="20"/>
        </w:rPr>
        <w:t>21</w:t>
      </w:r>
      <w:r w:rsidR="00641CB7" w:rsidRPr="00AF7435">
        <w:rPr>
          <w:rFonts w:ascii="Arial" w:hAnsi="Arial" w:cs="Arial"/>
          <w:b/>
          <w:sz w:val="20"/>
        </w:rPr>
        <w:t xml:space="preserve">. </w:t>
      </w:r>
      <w:proofErr w:type="spellStart"/>
      <w:r w:rsidR="00641CB7" w:rsidRPr="00AF7435">
        <w:rPr>
          <w:rFonts w:ascii="Arial" w:hAnsi="Arial" w:cs="Arial"/>
          <w:b/>
          <w:sz w:val="20"/>
        </w:rPr>
        <w:t>urterako</w:t>
      </w:r>
      <w:proofErr w:type="spellEnd"/>
      <w:r w:rsidR="00641CB7" w:rsidRPr="00AF7435">
        <w:rPr>
          <w:rFonts w:ascii="Arial" w:hAnsi="Arial" w:cs="Arial"/>
          <w:b/>
          <w:sz w:val="20"/>
        </w:rPr>
        <w:t xml:space="preserve"> / </w:t>
      </w:r>
    </w:p>
    <w:p w14:paraId="4891EE12" w14:textId="44804762" w:rsidR="00641CB7" w:rsidRPr="00AF7435" w:rsidRDefault="00641CB7" w:rsidP="00641CB7">
      <w:pPr>
        <w:shd w:val="clear" w:color="auto" w:fill="D9D9D9"/>
        <w:rPr>
          <w:rFonts w:ascii="Arial" w:hAnsi="Arial" w:cs="Arial"/>
          <w:b/>
          <w:sz w:val="20"/>
        </w:rPr>
      </w:pPr>
      <w:r w:rsidRPr="00AF7435">
        <w:rPr>
          <w:rFonts w:ascii="Arial" w:hAnsi="Arial" w:cs="Arial"/>
          <w:b/>
          <w:sz w:val="20"/>
        </w:rPr>
        <w:t xml:space="preserve">Capacidad / Necesidad de financiación de </w:t>
      </w:r>
      <w:r>
        <w:rPr>
          <w:rFonts w:ascii="Arial" w:hAnsi="Arial" w:cs="Arial"/>
          <w:b/>
          <w:sz w:val="20"/>
        </w:rPr>
        <w:t xml:space="preserve">los </w:t>
      </w:r>
      <w:r w:rsidR="007D3796">
        <w:rPr>
          <w:rFonts w:ascii="Arial" w:hAnsi="Arial" w:cs="Arial"/>
          <w:b/>
          <w:sz w:val="20"/>
        </w:rPr>
        <w:t>ORGANISMOS AUTÓNOMOS</w:t>
      </w:r>
      <w:r>
        <w:rPr>
          <w:rFonts w:ascii="Arial" w:hAnsi="Arial" w:cs="Arial"/>
          <w:b/>
          <w:sz w:val="20"/>
        </w:rPr>
        <w:t xml:space="preserve"> en términos de SEC para el año 20</w:t>
      </w:r>
      <w:r w:rsidR="003218D4">
        <w:rPr>
          <w:rFonts w:ascii="Arial" w:hAnsi="Arial" w:cs="Arial"/>
          <w:b/>
          <w:sz w:val="20"/>
        </w:rPr>
        <w:t>21</w:t>
      </w:r>
    </w:p>
    <w:p w14:paraId="21670AB3" w14:textId="77777777" w:rsidR="00641CB7" w:rsidRPr="00641CB7" w:rsidRDefault="00641CB7" w:rsidP="00F36638">
      <w:pPr>
        <w:jc w:val="center"/>
        <w:rPr>
          <w:sz w:val="16"/>
          <w:szCs w:val="16"/>
        </w:rPr>
      </w:pPr>
    </w:p>
    <w:p w14:paraId="0912268F" w14:textId="5504420D" w:rsidR="00641CB7" w:rsidRDefault="003218D4" w:rsidP="00F36638">
      <w:pPr>
        <w:jc w:val="center"/>
        <w:rPr>
          <w:sz w:val="16"/>
          <w:szCs w:val="16"/>
        </w:rPr>
      </w:pPr>
      <w:r w:rsidRPr="003218D4">
        <w:rPr>
          <w:noProof/>
        </w:rPr>
        <w:drawing>
          <wp:inline distT="0" distB="0" distL="0" distR="0" wp14:anchorId="0A27173E" wp14:editId="4D987229">
            <wp:extent cx="7763774" cy="4054329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538" cy="405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DF1E6" w14:textId="77777777" w:rsidR="0009583B" w:rsidRDefault="0009583B" w:rsidP="0009583B">
      <w:pPr>
        <w:jc w:val="center"/>
        <w:rPr>
          <w:sz w:val="16"/>
          <w:szCs w:val="16"/>
        </w:rPr>
      </w:pPr>
    </w:p>
    <w:p w14:paraId="6715D600" w14:textId="77777777" w:rsidR="00860159" w:rsidRDefault="0086015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BBFA8D9" w14:textId="77777777" w:rsidR="00860159" w:rsidRPr="00F36638" w:rsidRDefault="00860159" w:rsidP="0009583B">
      <w:pPr>
        <w:jc w:val="center"/>
        <w:rPr>
          <w:sz w:val="16"/>
          <w:szCs w:val="16"/>
        </w:rPr>
      </w:pPr>
    </w:p>
    <w:p w14:paraId="12BD676C" w14:textId="1DA0EA43" w:rsidR="00BB1FE9" w:rsidRPr="00AF7435" w:rsidRDefault="007D3796" w:rsidP="00BB1FE9">
      <w:pPr>
        <w:shd w:val="clear" w:color="auto" w:fill="D9D9D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SOZIETATE PUBLIKOAK</w:t>
      </w:r>
      <w:r w:rsidR="00BB1FE9" w:rsidRPr="00AF7435">
        <w:rPr>
          <w:rFonts w:ascii="Arial" w:hAnsi="Arial" w:cs="Arial"/>
          <w:b/>
          <w:sz w:val="20"/>
        </w:rPr>
        <w:t xml:space="preserve"> </w:t>
      </w:r>
      <w:proofErr w:type="spellStart"/>
      <w:r w:rsidR="00BB1FE9" w:rsidRPr="00AF7435">
        <w:rPr>
          <w:rFonts w:ascii="Arial" w:hAnsi="Arial" w:cs="Arial"/>
          <w:b/>
          <w:sz w:val="20"/>
        </w:rPr>
        <w:t>finantzatzeko</w:t>
      </w:r>
      <w:proofErr w:type="spellEnd"/>
      <w:r w:rsidR="00BB1FE9" w:rsidRPr="00AF7435">
        <w:rPr>
          <w:rFonts w:ascii="Arial" w:hAnsi="Arial" w:cs="Arial"/>
          <w:b/>
          <w:sz w:val="20"/>
        </w:rPr>
        <w:t xml:space="preserve"> </w:t>
      </w:r>
      <w:proofErr w:type="spellStart"/>
      <w:r w:rsidR="00BB1FE9" w:rsidRPr="00AF7435">
        <w:rPr>
          <w:rFonts w:ascii="Arial" w:hAnsi="Arial" w:cs="Arial"/>
          <w:b/>
          <w:sz w:val="20"/>
        </w:rPr>
        <w:t>gaitasun</w:t>
      </w:r>
      <w:proofErr w:type="spellEnd"/>
      <w:r w:rsidR="00BB1FE9" w:rsidRPr="00AF7435">
        <w:rPr>
          <w:rFonts w:ascii="Arial" w:hAnsi="Arial" w:cs="Arial"/>
          <w:b/>
          <w:sz w:val="20"/>
        </w:rPr>
        <w:t>/</w:t>
      </w:r>
      <w:proofErr w:type="spellStart"/>
      <w:r w:rsidR="00BB1FE9" w:rsidRPr="00AF7435">
        <w:rPr>
          <w:rFonts w:ascii="Arial" w:hAnsi="Arial" w:cs="Arial"/>
          <w:b/>
          <w:sz w:val="20"/>
        </w:rPr>
        <w:t>beharrizana</w:t>
      </w:r>
      <w:proofErr w:type="spellEnd"/>
      <w:r w:rsidR="00BB1FE9" w:rsidRPr="00AF7435">
        <w:rPr>
          <w:rFonts w:ascii="Arial" w:hAnsi="Arial" w:cs="Arial"/>
          <w:b/>
          <w:sz w:val="20"/>
        </w:rPr>
        <w:t xml:space="preserve"> EKS </w:t>
      </w:r>
      <w:proofErr w:type="spellStart"/>
      <w:r w:rsidR="00BB1FE9" w:rsidRPr="00AF7435">
        <w:rPr>
          <w:rFonts w:ascii="Arial" w:hAnsi="Arial" w:cs="Arial"/>
          <w:b/>
          <w:sz w:val="20"/>
        </w:rPr>
        <w:t>alderdiari</w:t>
      </w:r>
      <w:proofErr w:type="spellEnd"/>
      <w:r w:rsidR="00BB1FE9" w:rsidRPr="00AF7435">
        <w:rPr>
          <w:rFonts w:ascii="Arial" w:hAnsi="Arial" w:cs="Arial"/>
          <w:b/>
          <w:sz w:val="20"/>
        </w:rPr>
        <w:t xml:space="preserve"> </w:t>
      </w:r>
      <w:proofErr w:type="spellStart"/>
      <w:r w:rsidR="00BB1FE9" w:rsidRPr="00AF7435">
        <w:rPr>
          <w:rFonts w:ascii="Arial" w:hAnsi="Arial" w:cs="Arial"/>
          <w:b/>
          <w:sz w:val="20"/>
        </w:rPr>
        <w:t>dagokionez</w:t>
      </w:r>
      <w:proofErr w:type="spellEnd"/>
      <w:r w:rsidR="00BB1FE9" w:rsidRPr="00AF7435">
        <w:rPr>
          <w:rFonts w:ascii="Arial" w:hAnsi="Arial" w:cs="Arial"/>
          <w:b/>
          <w:sz w:val="20"/>
        </w:rPr>
        <w:t>, 20</w:t>
      </w:r>
      <w:r w:rsidR="003218D4">
        <w:rPr>
          <w:rFonts w:ascii="Arial" w:hAnsi="Arial" w:cs="Arial"/>
          <w:b/>
          <w:sz w:val="20"/>
        </w:rPr>
        <w:t>21</w:t>
      </w:r>
      <w:r w:rsidR="00BB1FE9" w:rsidRPr="00AF7435">
        <w:rPr>
          <w:rFonts w:ascii="Arial" w:hAnsi="Arial" w:cs="Arial"/>
          <w:b/>
          <w:sz w:val="20"/>
        </w:rPr>
        <w:t xml:space="preserve">. </w:t>
      </w:r>
      <w:proofErr w:type="spellStart"/>
      <w:r w:rsidR="00BB1FE9" w:rsidRPr="00AF7435">
        <w:rPr>
          <w:rFonts w:ascii="Arial" w:hAnsi="Arial" w:cs="Arial"/>
          <w:b/>
          <w:sz w:val="20"/>
        </w:rPr>
        <w:t>urterako</w:t>
      </w:r>
      <w:proofErr w:type="spellEnd"/>
      <w:r w:rsidR="00BB1FE9" w:rsidRPr="00AF7435">
        <w:rPr>
          <w:rFonts w:ascii="Arial" w:hAnsi="Arial" w:cs="Arial"/>
          <w:b/>
          <w:sz w:val="20"/>
        </w:rPr>
        <w:t xml:space="preserve"> / </w:t>
      </w:r>
    </w:p>
    <w:p w14:paraId="073564DE" w14:textId="39F21D7C" w:rsidR="00BB1FE9" w:rsidRPr="00AF7435" w:rsidRDefault="00BB1FE9" w:rsidP="00BB1FE9">
      <w:pPr>
        <w:shd w:val="clear" w:color="auto" w:fill="D9D9D9"/>
        <w:rPr>
          <w:rFonts w:ascii="Arial" w:hAnsi="Arial" w:cs="Arial"/>
          <w:b/>
          <w:sz w:val="20"/>
        </w:rPr>
      </w:pPr>
      <w:r w:rsidRPr="00AF7435">
        <w:rPr>
          <w:rFonts w:ascii="Arial" w:hAnsi="Arial" w:cs="Arial"/>
          <w:b/>
          <w:sz w:val="20"/>
        </w:rPr>
        <w:t xml:space="preserve">Capacidad / Necesidad de financiación de </w:t>
      </w:r>
      <w:r>
        <w:rPr>
          <w:rFonts w:ascii="Arial" w:hAnsi="Arial" w:cs="Arial"/>
          <w:b/>
          <w:sz w:val="20"/>
        </w:rPr>
        <w:t xml:space="preserve">las </w:t>
      </w:r>
      <w:r w:rsidR="007D3796">
        <w:rPr>
          <w:rFonts w:ascii="Arial" w:hAnsi="Arial" w:cs="Arial"/>
          <w:b/>
          <w:sz w:val="20"/>
        </w:rPr>
        <w:t>SOCIEDADES PÚBLICAS</w:t>
      </w:r>
      <w:r>
        <w:rPr>
          <w:rFonts w:ascii="Arial" w:hAnsi="Arial" w:cs="Arial"/>
          <w:b/>
          <w:sz w:val="20"/>
        </w:rPr>
        <w:t xml:space="preserve"> en términos de SEC para el año 20</w:t>
      </w:r>
      <w:r w:rsidR="003218D4">
        <w:rPr>
          <w:rFonts w:ascii="Arial" w:hAnsi="Arial" w:cs="Arial"/>
          <w:b/>
          <w:sz w:val="20"/>
        </w:rPr>
        <w:t>21</w:t>
      </w:r>
    </w:p>
    <w:p w14:paraId="266B48D4" w14:textId="77777777" w:rsidR="00AF7435" w:rsidRPr="009269D2" w:rsidRDefault="00AF7435" w:rsidP="00685989">
      <w:pPr>
        <w:jc w:val="center"/>
      </w:pPr>
    </w:p>
    <w:p w14:paraId="4AAE7FA4" w14:textId="29A3A6BE" w:rsidR="00AD09C9" w:rsidRPr="0031265C" w:rsidRDefault="00AD09C9" w:rsidP="001C4CCA">
      <w:pPr>
        <w:jc w:val="center"/>
      </w:pPr>
      <w:r w:rsidRPr="00AD09C9">
        <w:rPr>
          <w:noProof/>
        </w:rPr>
        <w:drawing>
          <wp:inline distT="0" distB="0" distL="0" distR="0" wp14:anchorId="15455BC1" wp14:editId="35200D1B">
            <wp:extent cx="7806906" cy="4179443"/>
            <wp:effectExtent l="0" t="0" r="381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150" cy="418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CBED0" w14:textId="77777777" w:rsidR="0009583B" w:rsidRPr="00F36638" w:rsidRDefault="0009583B" w:rsidP="0009583B">
      <w:pPr>
        <w:jc w:val="center"/>
        <w:rPr>
          <w:sz w:val="16"/>
          <w:szCs w:val="16"/>
        </w:rPr>
      </w:pPr>
    </w:p>
    <w:p w14:paraId="1700EF62" w14:textId="0B271CC3" w:rsidR="00DA735C" w:rsidRPr="00AF7435" w:rsidRDefault="007D3796" w:rsidP="00DA735C">
      <w:pPr>
        <w:shd w:val="clear" w:color="auto" w:fill="D9D9D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FUNDAZIOAK</w:t>
      </w:r>
      <w:r w:rsidR="00DA735C" w:rsidRPr="00AF7435">
        <w:rPr>
          <w:rFonts w:ascii="Arial" w:hAnsi="Arial" w:cs="Arial"/>
          <w:b/>
          <w:sz w:val="20"/>
        </w:rPr>
        <w:t xml:space="preserve"> </w:t>
      </w:r>
      <w:proofErr w:type="spellStart"/>
      <w:r w:rsidR="00DA735C" w:rsidRPr="00AF7435">
        <w:rPr>
          <w:rFonts w:ascii="Arial" w:hAnsi="Arial" w:cs="Arial"/>
          <w:b/>
          <w:sz w:val="20"/>
        </w:rPr>
        <w:t>finantzatzeko</w:t>
      </w:r>
      <w:proofErr w:type="spellEnd"/>
      <w:r w:rsidR="00DA735C" w:rsidRPr="00AF7435">
        <w:rPr>
          <w:rFonts w:ascii="Arial" w:hAnsi="Arial" w:cs="Arial"/>
          <w:b/>
          <w:sz w:val="20"/>
        </w:rPr>
        <w:t xml:space="preserve"> </w:t>
      </w:r>
      <w:proofErr w:type="spellStart"/>
      <w:r w:rsidR="00DA735C" w:rsidRPr="00AF7435">
        <w:rPr>
          <w:rFonts w:ascii="Arial" w:hAnsi="Arial" w:cs="Arial"/>
          <w:b/>
          <w:sz w:val="20"/>
        </w:rPr>
        <w:t>gaitasun</w:t>
      </w:r>
      <w:proofErr w:type="spellEnd"/>
      <w:r w:rsidR="00DA735C" w:rsidRPr="00AF7435">
        <w:rPr>
          <w:rFonts w:ascii="Arial" w:hAnsi="Arial" w:cs="Arial"/>
          <w:b/>
          <w:sz w:val="20"/>
        </w:rPr>
        <w:t>/</w:t>
      </w:r>
      <w:proofErr w:type="spellStart"/>
      <w:r w:rsidR="00DA735C" w:rsidRPr="00AF7435">
        <w:rPr>
          <w:rFonts w:ascii="Arial" w:hAnsi="Arial" w:cs="Arial"/>
          <w:b/>
          <w:sz w:val="20"/>
        </w:rPr>
        <w:t>beharrizana</w:t>
      </w:r>
      <w:proofErr w:type="spellEnd"/>
      <w:r w:rsidR="00DA735C" w:rsidRPr="00AF7435">
        <w:rPr>
          <w:rFonts w:ascii="Arial" w:hAnsi="Arial" w:cs="Arial"/>
          <w:b/>
          <w:sz w:val="20"/>
        </w:rPr>
        <w:t xml:space="preserve"> EKS </w:t>
      </w:r>
      <w:proofErr w:type="spellStart"/>
      <w:r w:rsidR="00DA735C" w:rsidRPr="00AF7435">
        <w:rPr>
          <w:rFonts w:ascii="Arial" w:hAnsi="Arial" w:cs="Arial"/>
          <w:b/>
          <w:sz w:val="20"/>
        </w:rPr>
        <w:t>alderdiari</w:t>
      </w:r>
      <w:proofErr w:type="spellEnd"/>
      <w:r w:rsidR="00DA735C" w:rsidRPr="00AF7435">
        <w:rPr>
          <w:rFonts w:ascii="Arial" w:hAnsi="Arial" w:cs="Arial"/>
          <w:b/>
          <w:sz w:val="20"/>
        </w:rPr>
        <w:t xml:space="preserve"> </w:t>
      </w:r>
      <w:proofErr w:type="spellStart"/>
      <w:r w:rsidR="00DA735C" w:rsidRPr="00AF7435">
        <w:rPr>
          <w:rFonts w:ascii="Arial" w:hAnsi="Arial" w:cs="Arial"/>
          <w:b/>
          <w:sz w:val="20"/>
        </w:rPr>
        <w:t>dagokionez</w:t>
      </w:r>
      <w:proofErr w:type="spellEnd"/>
      <w:r w:rsidR="00DA735C" w:rsidRPr="00AF7435">
        <w:rPr>
          <w:rFonts w:ascii="Arial" w:hAnsi="Arial" w:cs="Arial"/>
          <w:b/>
          <w:sz w:val="20"/>
        </w:rPr>
        <w:t>, 20</w:t>
      </w:r>
      <w:r w:rsidR="008E7FCC">
        <w:rPr>
          <w:rFonts w:ascii="Arial" w:hAnsi="Arial" w:cs="Arial"/>
          <w:b/>
          <w:sz w:val="20"/>
        </w:rPr>
        <w:t>21</w:t>
      </w:r>
      <w:r w:rsidR="00DA735C" w:rsidRPr="00AF7435">
        <w:rPr>
          <w:rFonts w:ascii="Arial" w:hAnsi="Arial" w:cs="Arial"/>
          <w:b/>
          <w:sz w:val="20"/>
        </w:rPr>
        <w:t xml:space="preserve">. </w:t>
      </w:r>
      <w:proofErr w:type="spellStart"/>
      <w:r w:rsidR="00DA735C" w:rsidRPr="00AF7435">
        <w:rPr>
          <w:rFonts w:ascii="Arial" w:hAnsi="Arial" w:cs="Arial"/>
          <w:b/>
          <w:sz w:val="20"/>
        </w:rPr>
        <w:t>urterako</w:t>
      </w:r>
      <w:proofErr w:type="spellEnd"/>
      <w:r w:rsidR="00DA735C" w:rsidRPr="00AF7435">
        <w:rPr>
          <w:rFonts w:ascii="Arial" w:hAnsi="Arial" w:cs="Arial"/>
          <w:b/>
          <w:sz w:val="20"/>
        </w:rPr>
        <w:t xml:space="preserve"> / </w:t>
      </w:r>
    </w:p>
    <w:p w14:paraId="19EC3076" w14:textId="414A4847" w:rsidR="00DA735C" w:rsidRPr="00AF7435" w:rsidRDefault="00DA735C" w:rsidP="00DA735C">
      <w:pPr>
        <w:shd w:val="clear" w:color="auto" w:fill="D9D9D9"/>
        <w:rPr>
          <w:rFonts w:ascii="Arial" w:hAnsi="Arial" w:cs="Arial"/>
          <w:b/>
          <w:sz w:val="20"/>
        </w:rPr>
      </w:pPr>
      <w:r w:rsidRPr="00AF7435">
        <w:rPr>
          <w:rFonts w:ascii="Arial" w:hAnsi="Arial" w:cs="Arial"/>
          <w:b/>
          <w:sz w:val="20"/>
        </w:rPr>
        <w:t xml:space="preserve">Capacidad / Necesidad de financiación de </w:t>
      </w:r>
      <w:r>
        <w:rPr>
          <w:rFonts w:ascii="Arial" w:hAnsi="Arial" w:cs="Arial"/>
          <w:b/>
          <w:sz w:val="20"/>
        </w:rPr>
        <w:t xml:space="preserve">las </w:t>
      </w:r>
      <w:r w:rsidR="007D3796">
        <w:rPr>
          <w:rFonts w:ascii="Arial" w:hAnsi="Arial" w:cs="Arial"/>
          <w:b/>
          <w:sz w:val="20"/>
        </w:rPr>
        <w:t>FUNDACIONES</w:t>
      </w:r>
      <w:r>
        <w:rPr>
          <w:rFonts w:ascii="Arial" w:hAnsi="Arial" w:cs="Arial"/>
          <w:b/>
          <w:sz w:val="20"/>
        </w:rPr>
        <w:t xml:space="preserve"> en términos de SEC para el año 20</w:t>
      </w:r>
      <w:r w:rsidR="008E7FCC">
        <w:rPr>
          <w:rFonts w:ascii="Arial" w:hAnsi="Arial" w:cs="Arial"/>
          <w:b/>
          <w:sz w:val="20"/>
        </w:rPr>
        <w:t>21</w:t>
      </w:r>
    </w:p>
    <w:p w14:paraId="150BD8A4" w14:textId="77777777" w:rsidR="00AF7435" w:rsidRPr="00DA735C" w:rsidRDefault="00AF7435" w:rsidP="00685989">
      <w:pPr>
        <w:jc w:val="center"/>
      </w:pPr>
    </w:p>
    <w:p w14:paraId="0282C0C8" w14:textId="63598891" w:rsidR="0009583B" w:rsidRDefault="008E7FCC" w:rsidP="0009583B">
      <w:pPr>
        <w:jc w:val="center"/>
      </w:pPr>
      <w:r w:rsidRPr="008E7FCC">
        <w:rPr>
          <w:noProof/>
        </w:rPr>
        <w:drawing>
          <wp:inline distT="0" distB="0" distL="0" distR="0" wp14:anchorId="3C43E2CA" wp14:editId="1CBBA9FC">
            <wp:extent cx="6426679" cy="4429739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441" cy="444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A6AC8" w14:textId="77777777" w:rsidR="009771B8" w:rsidRPr="00F36638" w:rsidRDefault="009771B8" w:rsidP="0009583B">
      <w:pPr>
        <w:jc w:val="center"/>
        <w:rPr>
          <w:sz w:val="16"/>
          <w:szCs w:val="16"/>
        </w:rPr>
      </w:pPr>
    </w:p>
    <w:p w14:paraId="0F4F685B" w14:textId="4DD1603C" w:rsidR="005F7CE2" w:rsidRPr="00AF7435" w:rsidRDefault="005F7CE2" w:rsidP="005F7CE2">
      <w:pPr>
        <w:shd w:val="clear" w:color="auto" w:fill="D9D9D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Arabako </w:t>
      </w:r>
      <w:proofErr w:type="spellStart"/>
      <w:r>
        <w:rPr>
          <w:rFonts w:ascii="Arial" w:hAnsi="Arial" w:cs="Arial"/>
          <w:b/>
          <w:sz w:val="20"/>
        </w:rPr>
        <w:t>foru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Sektore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Publiko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 w:rsidR="00B92561">
        <w:rPr>
          <w:rFonts w:ascii="Arial" w:hAnsi="Arial" w:cs="Arial"/>
          <w:b/>
          <w:sz w:val="20"/>
        </w:rPr>
        <w:t>BATERATUAren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r w:rsidRPr="00AF7435">
        <w:rPr>
          <w:rFonts w:ascii="Arial" w:hAnsi="Arial" w:cs="Arial"/>
          <w:b/>
          <w:sz w:val="20"/>
        </w:rPr>
        <w:t xml:space="preserve"> </w:t>
      </w:r>
      <w:proofErr w:type="spellStart"/>
      <w:r w:rsidRPr="00AF7435">
        <w:rPr>
          <w:rFonts w:ascii="Arial" w:hAnsi="Arial" w:cs="Arial"/>
          <w:b/>
          <w:sz w:val="20"/>
        </w:rPr>
        <w:t>finantzatzeko</w:t>
      </w:r>
      <w:proofErr w:type="spellEnd"/>
      <w:r w:rsidRPr="00AF7435">
        <w:rPr>
          <w:rFonts w:ascii="Arial" w:hAnsi="Arial" w:cs="Arial"/>
          <w:b/>
          <w:sz w:val="20"/>
        </w:rPr>
        <w:t xml:space="preserve"> </w:t>
      </w:r>
      <w:proofErr w:type="spellStart"/>
      <w:r w:rsidRPr="00AF7435">
        <w:rPr>
          <w:rFonts w:ascii="Arial" w:hAnsi="Arial" w:cs="Arial"/>
          <w:b/>
          <w:sz w:val="20"/>
        </w:rPr>
        <w:t>gaitasun</w:t>
      </w:r>
      <w:proofErr w:type="spellEnd"/>
      <w:r w:rsidRPr="00AF7435">
        <w:rPr>
          <w:rFonts w:ascii="Arial" w:hAnsi="Arial" w:cs="Arial"/>
          <w:b/>
          <w:sz w:val="20"/>
        </w:rPr>
        <w:t>/</w:t>
      </w:r>
      <w:proofErr w:type="spellStart"/>
      <w:r w:rsidRPr="00AF7435">
        <w:rPr>
          <w:rFonts w:ascii="Arial" w:hAnsi="Arial" w:cs="Arial"/>
          <w:b/>
          <w:sz w:val="20"/>
        </w:rPr>
        <w:t>beharrizana</w:t>
      </w:r>
      <w:proofErr w:type="spellEnd"/>
      <w:r w:rsidRPr="00AF7435">
        <w:rPr>
          <w:rFonts w:ascii="Arial" w:hAnsi="Arial" w:cs="Arial"/>
          <w:b/>
          <w:sz w:val="20"/>
        </w:rPr>
        <w:t xml:space="preserve"> EKS </w:t>
      </w:r>
      <w:proofErr w:type="spellStart"/>
      <w:r w:rsidRPr="00AF7435">
        <w:rPr>
          <w:rFonts w:ascii="Arial" w:hAnsi="Arial" w:cs="Arial"/>
          <w:b/>
          <w:sz w:val="20"/>
        </w:rPr>
        <w:t>alderdiari</w:t>
      </w:r>
      <w:proofErr w:type="spellEnd"/>
      <w:r w:rsidRPr="00AF7435">
        <w:rPr>
          <w:rFonts w:ascii="Arial" w:hAnsi="Arial" w:cs="Arial"/>
          <w:b/>
          <w:sz w:val="20"/>
        </w:rPr>
        <w:t xml:space="preserve"> </w:t>
      </w:r>
      <w:proofErr w:type="spellStart"/>
      <w:r w:rsidRPr="00AF7435">
        <w:rPr>
          <w:rFonts w:ascii="Arial" w:hAnsi="Arial" w:cs="Arial"/>
          <w:b/>
          <w:sz w:val="20"/>
        </w:rPr>
        <w:t>dagokionez</w:t>
      </w:r>
      <w:proofErr w:type="spellEnd"/>
      <w:r w:rsidRPr="00AF7435">
        <w:rPr>
          <w:rFonts w:ascii="Arial" w:hAnsi="Arial" w:cs="Arial"/>
          <w:b/>
          <w:sz w:val="20"/>
        </w:rPr>
        <w:t>, 20</w:t>
      </w:r>
      <w:r w:rsidR="008E7FCC">
        <w:rPr>
          <w:rFonts w:ascii="Arial" w:hAnsi="Arial" w:cs="Arial"/>
          <w:b/>
          <w:sz w:val="20"/>
        </w:rPr>
        <w:t>21</w:t>
      </w:r>
      <w:r w:rsidRPr="00AF7435">
        <w:rPr>
          <w:rFonts w:ascii="Arial" w:hAnsi="Arial" w:cs="Arial"/>
          <w:b/>
          <w:sz w:val="20"/>
        </w:rPr>
        <w:t xml:space="preserve">. </w:t>
      </w:r>
      <w:proofErr w:type="spellStart"/>
      <w:r w:rsidRPr="00AF7435">
        <w:rPr>
          <w:rFonts w:ascii="Arial" w:hAnsi="Arial" w:cs="Arial"/>
          <w:b/>
          <w:sz w:val="20"/>
        </w:rPr>
        <w:t>urterako</w:t>
      </w:r>
      <w:proofErr w:type="spellEnd"/>
      <w:r w:rsidRPr="00AF7435">
        <w:rPr>
          <w:rFonts w:ascii="Arial" w:hAnsi="Arial" w:cs="Arial"/>
          <w:b/>
          <w:sz w:val="20"/>
        </w:rPr>
        <w:t xml:space="preserve"> / </w:t>
      </w:r>
    </w:p>
    <w:p w14:paraId="7463329D" w14:textId="219CD2E4" w:rsidR="005F7CE2" w:rsidRPr="00AF7435" w:rsidRDefault="005F7CE2" w:rsidP="005F7CE2">
      <w:pPr>
        <w:shd w:val="clear" w:color="auto" w:fill="D9D9D9"/>
        <w:rPr>
          <w:rFonts w:ascii="Arial" w:hAnsi="Arial" w:cs="Arial"/>
          <w:b/>
          <w:sz w:val="20"/>
        </w:rPr>
      </w:pPr>
      <w:r w:rsidRPr="00AF7435">
        <w:rPr>
          <w:rFonts w:ascii="Arial" w:hAnsi="Arial" w:cs="Arial"/>
          <w:b/>
          <w:sz w:val="20"/>
        </w:rPr>
        <w:t>Capacidad / Necesidad de financiación de</w:t>
      </w:r>
      <w:r>
        <w:rPr>
          <w:rFonts w:ascii="Arial" w:hAnsi="Arial" w:cs="Arial"/>
          <w:b/>
          <w:sz w:val="20"/>
        </w:rPr>
        <w:t xml:space="preserve">l Sector Público Foral de Álava </w:t>
      </w:r>
      <w:r w:rsidR="00B92561">
        <w:rPr>
          <w:rFonts w:ascii="Arial" w:hAnsi="Arial" w:cs="Arial"/>
          <w:b/>
          <w:sz w:val="20"/>
        </w:rPr>
        <w:t>CONSOLIDADO</w:t>
      </w:r>
      <w:r w:rsidRPr="00AF743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en términos de SEC para el año 20</w:t>
      </w:r>
      <w:r w:rsidR="008E7FCC">
        <w:rPr>
          <w:rFonts w:ascii="Arial" w:hAnsi="Arial" w:cs="Arial"/>
          <w:b/>
          <w:sz w:val="20"/>
        </w:rPr>
        <w:t>21</w:t>
      </w:r>
    </w:p>
    <w:p w14:paraId="1C999CC9" w14:textId="77777777" w:rsidR="00AF7435" w:rsidRDefault="00AF7435" w:rsidP="005F7CE2">
      <w:pPr>
        <w:jc w:val="center"/>
      </w:pPr>
    </w:p>
    <w:p w14:paraId="4C20864A" w14:textId="3BECA5AC" w:rsidR="009771B8" w:rsidRDefault="0088197D" w:rsidP="005F7CE2">
      <w:pPr>
        <w:jc w:val="center"/>
      </w:pPr>
      <w:r w:rsidRPr="0088197D">
        <w:rPr>
          <w:noProof/>
        </w:rPr>
        <w:drawing>
          <wp:inline distT="0" distB="0" distL="0" distR="0" wp14:anchorId="07C62770" wp14:editId="1F54BA10">
            <wp:extent cx="5952226" cy="4213609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882" cy="421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C925D" w14:textId="77777777" w:rsidR="00240BAC" w:rsidRDefault="00240BAC" w:rsidP="005F7CE2">
      <w:pPr>
        <w:jc w:val="center"/>
      </w:pPr>
    </w:p>
    <w:p w14:paraId="4117A638" w14:textId="77777777" w:rsidR="00F14225" w:rsidRDefault="00F14225" w:rsidP="005F7CE2">
      <w:pPr>
        <w:jc w:val="center"/>
      </w:pPr>
    </w:p>
    <w:p w14:paraId="4350812B" w14:textId="0F6A7FC7" w:rsidR="00240BAC" w:rsidRPr="00AF7435" w:rsidRDefault="00240BAC" w:rsidP="00240BAC">
      <w:pPr>
        <w:shd w:val="clear" w:color="auto" w:fill="D9D9D9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Arabako </w:t>
      </w:r>
      <w:proofErr w:type="spellStart"/>
      <w:r>
        <w:rPr>
          <w:rFonts w:ascii="Arial" w:hAnsi="Arial" w:cs="Arial"/>
          <w:b/>
          <w:sz w:val="20"/>
        </w:rPr>
        <w:t>foru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Sektore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Publiko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BATERATUAren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r w:rsidRPr="00AF7435">
        <w:rPr>
          <w:rFonts w:ascii="Arial" w:hAnsi="Arial" w:cs="Arial"/>
          <w:b/>
          <w:sz w:val="20"/>
        </w:rPr>
        <w:t xml:space="preserve"> </w:t>
      </w:r>
      <w:proofErr w:type="spellStart"/>
      <w:r w:rsidRPr="00AF7435">
        <w:rPr>
          <w:rFonts w:ascii="Arial" w:hAnsi="Arial" w:cs="Arial"/>
          <w:b/>
          <w:sz w:val="20"/>
        </w:rPr>
        <w:t>finantzatzeko</w:t>
      </w:r>
      <w:proofErr w:type="spellEnd"/>
      <w:r w:rsidRPr="00AF7435">
        <w:rPr>
          <w:rFonts w:ascii="Arial" w:hAnsi="Arial" w:cs="Arial"/>
          <w:b/>
          <w:sz w:val="20"/>
        </w:rPr>
        <w:t xml:space="preserve"> </w:t>
      </w:r>
      <w:proofErr w:type="spellStart"/>
      <w:r w:rsidRPr="00AF7435">
        <w:rPr>
          <w:rFonts w:ascii="Arial" w:hAnsi="Arial" w:cs="Arial"/>
          <w:b/>
          <w:sz w:val="20"/>
        </w:rPr>
        <w:t>gaitasun</w:t>
      </w:r>
      <w:proofErr w:type="spellEnd"/>
      <w:r w:rsidRPr="00AF7435">
        <w:rPr>
          <w:rFonts w:ascii="Arial" w:hAnsi="Arial" w:cs="Arial"/>
          <w:b/>
          <w:sz w:val="20"/>
        </w:rPr>
        <w:t>/</w:t>
      </w:r>
      <w:proofErr w:type="spellStart"/>
      <w:r w:rsidRPr="00AF7435">
        <w:rPr>
          <w:rFonts w:ascii="Arial" w:hAnsi="Arial" w:cs="Arial"/>
          <w:b/>
          <w:sz w:val="20"/>
        </w:rPr>
        <w:t>beharrizana</w:t>
      </w:r>
      <w:proofErr w:type="spellEnd"/>
      <w:r w:rsidRPr="00AF7435">
        <w:rPr>
          <w:rFonts w:ascii="Arial" w:hAnsi="Arial" w:cs="Arial"/>
          <w:b/>
          <w:sz w:val="20"/>
        </w:rPr>
        <w:t xml:space="preserve"> EKS </w:t>
      </w:r>
      <w:proofErr w:type="spellStart"/>
      <w:r w:rsidRPr="00AF7435">
        <w:rPr>
          <w:rFonts w:ascii="Arial" w:hAnsi="Arial" w:cs="Arial"/>
          <w:b/>
          <w:sz w:val="20"/>
        </w:rPr>
        <w:t>alderdiari</w:t>
      </w:r>
      <w:proofErr w:type="spellEnd"/>
      <w:r w:rsidRPr="00AF7435">
        <w:rPr>
          <w:rFonts w:ascii="Arial" w:hAnsi="Arial" w:cs="Arial"/>
          <w:b/>
          <w:sz w:val="20"/>
        </w:rPr>
        <w:t xml:space="preserve"> </w:t>
      </w:r>
      <w:proofErr w:type="spellStart"/>
      <w:r w:rsidRPr="00AF7435">
        <w:rPr>
          <w:rFonts w:ascii="Arial" w:hAnsi="Arial" w:cs="Arial"/>
          <w:b/>
          <w:sz w:val="20"/>
        </w:rPr>
        <w:t>dagokionez</w:t>
      </w:r>
      <w:proofErr w:type="spellEnd"/>
      <w:r w:rsidRPr="00AF7435">
        <w:rPr>
          <w:rFonts w:ascii="Arial" w:hAnsi="Arial" w:cs="Arial"/>
          <w:b/>
          <w:sz w:val="20"/>
        </w:rPr>
        <w:t>, 20</w:t>
      </w:r>
      <w:r w:rsidR="008E7FCC">
        <w:rPr>
          <w:rFonts w:ascii="Arial" w:hAnsi="Arial" w:cs="Arial"/>
          <w:b/>
          <w:sz w:val="20"/>
        </w:rPr>
        <w:t>21</w:t>
      </w:r>
      <w:r w:rsidRPr="00AF7435">
        <w:rPr>
          <w:rFonts w:ascii="Arial" w:hAnsi="Arial" w:cs="Arial"/>
          <w:b/>
          <w:sz w:val="20"/>
        </w:rPr>
        <w:t xml:space="preserve">. </w:t>
      </w:r>
      <w:proofErr w:type="spellStart"/>
      <w:r w:rsidRPr="00AF7435">
        <w:rPr>
          <w:rFonts w:ascii="Arial" w:hAnsi="Arial" w:cs="Arial"/>
          <w:b/>
          <w:sz w:val="20"/>
        </w:rPr>
        <w:t>urterako</w:t>
      </w:r>
      <w:proofErr w:type="spellEnd"/>
      <w:r w:rsidRPr="00AF7435">
        <w:rPr>
          <w:rFonts w:ascii="Arial" w:hAnsi="Arial" w:cs="Arial"/>
          <w:b/>
          <w:sz w:val="20"/>
        </w:rPr>
        <w:t xml:space="preserve"> / </w:t>
      </w:r>
    </w:p>
    <w:p w14:paraId="02782BC3" w14:textId="6DE79735" w:rsidR="00240BAC" w:rsidRDefault="00240BAC" w:rsidP="00240BAC">
      <w:pPr>
        <w:shd w:val="clear" w:color="auto" w:fill="D9D9D9"/>
        <w:rPr>
          <w:rFonts w:ascii="Arial" w:hAnsi="Arial" w:cs="Arial"/>
          <w:b/>
          <w:sz w:val="20"/>
        </w:rPr>
      </w:pPr>
      <w:r w:rsidRPr="00AF7435">
        <w:rPr>
          <w:rFonts w:ascii="Arial" w:hAnsi="Arial" w:cs="Arial"/>
          <w:b/>
          <w:sz w:val="20"/>
        </w:rPr>
        <w:t>Capacidad / Necesidad de financiación de</w:t>
      </w:r>
      <w:r>
        <w:rPr>
          <w:rFonts w:ascii="Arial" w:hAnsi="Arial" w:cs="Arial"/>
          <w:b/>
          <w:sz w:val="20"/>
        </w:rPr>
        <w:t>l Sector Público Foral de Álava CONSOLIDADO</w:t>
      </w:r>
      <w:r w:rsidRPr="00AF743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en términos de SEC para el año 20</w:t>
      </w:r>
      <w:r w:rsidR="008E7FCC">
        <w:rPr>
          <w:rFonts w:ascii="Arial" w:hAnsi="Arial" w:cs="Arial"/>
          <w:b/>
          <w:sz w:val="20"/>
        </w:rPr>
        <w:t>21</w:t>
      </w:r>
    </w:p>
    <w:p w14:paraId="573382D9" w14:textId="77777777" w:rsidR="00240BAC" w:rsidRDefault="00240BAC" w:rsidP="005F7CE2">
      <w:pPr>
        <w:jc w:val="center"/>
        <w:rPr>
          <w:rFonts w:ascii="Arial" w:hAnsi="Arial" w:cs="Arial"/>
          <w:b/>
          <w:sz w:val="20"/>
        </w:rPr>
      </w:pPr>
    </w:p>
    <w:p w14:paraId="6E2FA2B6" w14:textId="320B05BB" w:rsidR="001C4CCA" w:rsidRDefault="00AD09C9" w:rsidP="005F7CE2">
      <w:pPr>
        <w:jc w:val="center"/>
      </w:pPr>
      <w:r w:rsidRPr="00AD09C9">
        <w:rPr>
          <w:noProof/>
        </w:rPr>
        <w:drawing>
          <wp:inline distT="0" distB="0" distL="0" distR="0" wp14:anchorId="33D22A53" wp14:editId="74EE67F8">
            <wp:extent cx="7185803" cy="4188723"/>
            <wp:effectExtent l="0" t="0" r="0" b="254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215" cy="420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215D5" w14:textId="77777777" w:rsidR="00240BAC" w:rsidRDefault="00240BAC" w:rsidP="005F7CE2">
      <w:pPr>
        <w:jc w:val="center"/>
      </w:pPr>
    </w:p>
    <w:p w14:paraId="7D8C4DA3" w14:textId="77777777" w:rsidR="005F7CE2" w:rsidRDefault="005F7CE2" w:rsidP="005F7CE2">
      <w:pPr>
        <w:jc w:val="center"/>
        <w:sectPr w:rsidR="005F7CE2" w:rsidSect="00864ACF">
          <w:headerReference w:type="default" r:id="rId23"/>
          <w:headerReference w:type="first" r:id="rId24"/>
          <w:pgSz w:w="16838" w:h="11906" w:orient="landscape" w:code="9"/>
          <w:pgMar w:top="1418" w:right="1418" w:bottom="567" w:left="1418" w:header="720" w:footer="720" w:gutter="0"/>
          <w:cols w:space="720"/>
          <w:titlePg/>
        </w:sectPr>
      </w:pPr>
    </w:p>
    <w:p w14:paraId="0A8B6E70" w14:textId="77777777" w:rsidR="005F7CE2" w:rsidRPr="005F7CE2" w:rsidRDefault="005F7CE2" w:rsidP="005F7CE2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F09F2" w:rsidRPr="008E7FCC" w14:paraId="1759FFCB" w14:textId="77777777" w:rsidTr="005133A3">
        <w:tc>
          <w:tcPr>
            <w:tcW w:w="4605" w:type="dxa"/>
            <w:tcBorders>
              <w:right w:val="single" w:sz="4" w:space="0" w:color="808080"/>
            </w:tcBorders>
            <w:shd w:val="clear" w:color="auto" w:fill="auto"/>
          </w:tcPr>
          <w:p w14:paraId="22187ADB" w14:textId="77777777" w:rsidR="007F09F2" w:rsidRPr="008E7FCC" w:rsidRDefault="007F09F2" w:rsidP="005133A3">
            <w:pPr>
              <w:pStyle w:val="Ttulo1"/>
              <w:shd w:val="clear" w:color="auto" w:fill="D9D9D9"/>
              <w:spacing w:before="60" w:after="60"/>
              <w:ind w:right="57"/>
              <w:rPr>
                <w:rFonts w:asciiTheme="minorHAnsi" w:hAnsiTheme="minorHAnsi" w:cstheme="minorHAnsi"/>
                <w:b/>
                <w:szCs w:val="24"/>
              </w:rPr>
            </w:pPr>
            <w:r w:rsidRPr="008E7FCC">
              <w:rPr>
                <w:rFonts w:asciiTheme="minorHAnsi" w:hAnsiTheme="minorHAnsi" w:cstheme="minorHAnsi"/>
                <w:b/>
                <w:szCs w:val="24"/>
              </w:rPr>
              <w:t>HERRI ZORRA HELBURUA</w:t>
            </w:r>
          </w:p>
          <w:p w14:paraId="202DF7EE" w14:textId="77777777" w:rsidR="007F09F2" w:rsidRPr="008E7FCC" w:rsidRDefault="007F09F2" w:rsidP="005133A3">
            <w:pPr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tcBorders>
              <w:left w:val="single" w:sz="4" w:space="0" w:color="808080"/>
            </w:tcBorders>
            <w:shd w:val="clear" w:color="auto" w:fill="auto"/>
          </w:tcPr>
          <w:p w14:paraId="1E8D2D2B" w14:textId="77777777" w:rsidR="007F09F2" w:rsidRPr="008E7FCC" w:rsidRDefault="007F09F2" w:rsidP="005133A3">
            <w:pPr>
              <w:pStyle w:val="Ttulo1"/>
              <w:shd w:val="clear" w:color="auto" w:fill="D9D9D9"/>
              <w:spacing w:before="60" w:after="60"/>
              <w:ind w:left="57"/>
              <w:rPr>
                <w:rFonts w:asciiTheme="minorHAnsi" w:hAnsiTheme="minorHAnsi" w:cstheme="minorHAnsi"/>
                <w:b/>
                <w:szCs w:val="24"/>
              </w:rPr>
            </w:pPr>
            <w:r w:rsidRPr="008E7FCC">
              <w:rPr>
                <w:rFonts w:asciiTheme="minorHAnsi" w:hAnsiTheme="minorHAnsi" w:cstheme="minorHAnsi"/>
                <w:b/>
                <w:szCs w:val="24"/>
              </w:rPr>
              <w:t>OBJETIVO DE DEUDA PÚBLICA</w:t>
            </w:r>
          </w:p>
          <w:p w14:paraId="290A9DF1" w14:textId="77777777" w:rsidR="007F09F2" w:rsidRPr="008E7FCC" w:rsidRDefault="007F09F2" w:rsidP="005133A3">
            <w:pPr>
              <w:ind w:lef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6534" w:rsidRPr="008E7FCC" w14:paraId="0346DC03" w14:textId="77777777" w:rsidTr="005133A3">
        <w:tc>
          <w:tcPr>
            <w:tcW w:w="4605" w:type="dxa"/>
            <w:tcBorders>
              <w:right w:val="single" w:sz="4" w:space="0" w:color="808080"/>
            </w:tcBorders>
            <w:shd w:val="clear" w:color="auto" w:fill="auto"/>
          </w:tcPr>
          <w:p w14:paraId="72B6CF08" w14:textId="77777777" w:rsidR="00026534" w:rsidRPr="008E7FCC" w:rsidRDefault="00026534" w:rsidP="006F19A5">
            <w:pPr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Aurrekontuen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Egonkortasunaren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Oinarria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AEIFLOko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="0011151B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3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. artikuluan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ezarri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da eta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bere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1</w:t>
            </w:r>
            <w:r w:rsidR="0011151B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1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. artikuluan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gauzatzen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eta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garatzen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da.</w:t>
            </w:r>
          </w:p>
        </w:tc>
        <w:tc>
          <w:tcPr>
            <w:tcW w:w="4605" w:type="dxa"/>
            <w:tcBorders>
              <w:left w:val="single" w:sz="4" w:space="0" w:color="808080"/>
            </w:tcBorders>
            <w:shd w:val="clear" w:color="auto" w:fill="auto"/>
          </w:tcPr>
          <w:p w14:paraId="6A316043" w14:textId="77777777" w:rsidR="00026534" w:rsidRPr="008E7FCC" w:rsidRDefault="00026534" w:rsidP="006F19A5">
            <w:pPr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El principio de Estabilidad Presupuestaria se establece en el artículo </w:t>
            </w:r>
            <w:r w:rsidR="0011151B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3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de la LOEPSF y se instrumenta en el artículo 1</w:t>
            </w:r>
            <w:r w:rsidR="0011151B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1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</w:tr>
      <w:tr w:rsidR="00845979" w:rsidRPr="008E7FCC" w14:paraId="420492F7" w14:textId="77777777" w:rsidTr="005133A3">
        <w:tc>
          <w:tcPr>
            <w:tcW w:w="4605" w:type="dxa"/>
            <w:tcBorders>
              <w:right w:val="single" w:sz="4" w:space="0" w:color="808080"/>
            </w:tcBorders>
            <w:shd w:val="clear" w:color="auto" w:fill="auto"/>
          </w:tcPr>
          <w:p w14:paraId="654155DF" w14:textId="77777777" w:rsidR="008E7FCC" w:rsidRDefault="008E7FCC" w:rsidP="006F19A5">
            <w:pPr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0051CBAC" w14:textId="77777777" w:rsidR="008E7FCC" w:rsidRDefault="008E7FCC" w:rsidP="006F19A5">
            <w:pPr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47279C4E" w14:textId="77777777" w:rsidR="008E7FCC" w:rsidRDefault="008E7FCC" w:rsidP="006F19A5">
            <w:pPr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257F006A" w14:textId="5947F759" w:rsidR="006F19A5" w:rsidRDefault="00C64EB1" w:rsidP="006F19A5">
            <w:pPr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Hala ere, 2020. eta 2021.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urteetarako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zerga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arauak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etenda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daudenez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bidaltzen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den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informazioa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informatiboa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baino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ez</w:t>
            </w:r>
            <w:proofErr w:type="spellEnd"/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da</w:t>
            </w:r>
          </w:p>
          <w:p w14:paraId="668674EC" w14:textId="77777777" w:rsidR="006F19A5" w:rsidRDefault="006F19A5" w:rsidP="006F19A5">
            <w:pPr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78472B8C" w14:textId="77777777" w:rsidR="006F19A5" w:rsidRDefault="006F19A5" w:rsidP="006F19A5">
            <w:pPr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3C345C30" w14:textId="4AEFF3F5" w:rsidR="002719EC" w:rsidRPr="008E7FCC" w:rsidRDefault="007F09F2" w:rsidP="006F19A5">
            <w:pPr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Honako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txosten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honen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xede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diren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Aurrekontuetako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gehieneko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zor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publiko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formalizatuaren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eta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xedatuaren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banakapena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20</w:t>
            </w:r>
            <w:r w:rsidR="006F19A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21e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ko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abenduaren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31n, </w:t>
            </w:r>
            <w:r w:rsidR="001C4CCA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Arabako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Foru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Aldundiaren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men</w:t>
            </w:r>
            <w:r w:rsidR="00343BCB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eko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herri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administrazioa</w:t>
            </w:r>
            <w:proofErr w:type="spellEnd"/>
            <w:r w:rsidR="00343BCB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343BCB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osatzen</w:t>
            </w:r>
            <w:proofErr w:type="spellEnd"/>
            <w:r w:rsidR="00343BCB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343BCB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duen</w:t>
            </w:r>
            <w:proofErr w:type="spellEnd"/>
            <w:r w:rsidR="00343BCB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343BCB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erakunde</w:t>
            </w:r>
            <w:proofErr w:type="spellEnd"/>
            <w:r w:rsidR="00343BCB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343BCB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bakoitzeko</w:t>
            </w:r>
            <w:proofErr w:type="spellEnd"/>
            <w:r w:rsidR="00343BCB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, </w:t>
            </w:r>
            <w:proofErr w:type="spellStart"/>
            <w:r w:rsidR="00343BCB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hau</w:t>
            </w:r>
            <w:proofErr w:type="spellEnd"/>
            <w:r w:rsidR="00343BCB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da:</w:t>
            </w:r>
          </w:p>
          <w:p w14:paraId="3FC17C86" w14:textId="77777777" w:rsidR="00343BCB" w:rsidRPr="008E7FCC" w:rsidRDefault="00343BCB" w:rsidP="006F19A5">
            <w:pPr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4605" w:type="dxa"/>
            <w:tcBorders>
              <w:left w:val="single" w:sz="4" w:space="0" w:color="808080"/>
            </w:tcBorders>
            <w:shd w:val="clear" w:color="auto" w:fill="auto"/>
          </w:tcPr>
          <w:p w14:paraId="2476285E" w14:textId="77777777" w:rsidR="006F19A5" w:rsidRDefault="006F19A5" w:rsidP="006F19A5">
            <w:pPr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37B3C626" w14:textId="77777777" w:rsidR="00A475DB" w:rsidRDefault="00A475DB" w:rsidP="006F19A5">
            <w:pPr>
              <w:jc w:val="both"/>
              <w:rPr>
                <w:rFonts w:asciiTheme="minorHAnsi" w:hAnsiTheme="minorHAnsi" w:cstheme="minorHAnsi"/>
                <w:snapToGrid w:val="0"/>
                <w:color w:val="FF0000"/>
                <w:sz w:val="24"/>
                <w:szCs w:val="24"/>
              </w:rPr>
            </w:pPr>
          </w:p>
          <w:p w14:paraId="641515D4" w14:textId="3573D4B4" w:rsidR="008E7FCC" w:rsidRPr="00C64EB1" w:rsidRDefault="008E7FCC" w:rsidP="006F19A5">
            <w:pPr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C64EB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No obstante, al encontrarse en suspenso las reglas fiscales para los años 2020 y 2021, la información que se remite es meramente informativa.</w:t>
            </w:r>
          </w:p>
          <w:p w14:paraId="24C38780" w14:textId="77777777" w:rsidR="006F19A5" w:rsidRDefault="006F19A5" w:rsidP="006F19A5">
            <w:pPr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5D3DCA20" w14:textId="77777777" w:rsidR="00A475DB" w:rsidRDefault="00A475DB" w:rsidP="006F19A5">
            <w:pPr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79853E9F" w14:textId="77777777" w:rsidR="00845979" w:rsidRDefault="007F09F2" w:rsidP="006F19A5">
            <w:pPr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El desglose de la deuda pública formalizada y dispuesta al 31 de diciembre de 20</w:t>
            </w:r>
            <w:r w:rsid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21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en l</w:t>
            </w:r>
            <w:r w:rsidR="00E81B9E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Cuenta General objeto del presente informe, por cada una de las entidades que conforman el Sector Administración Pública dependiente de la Diputación Foral de </w:t>
            </w:r>
            <w:r w:rsidR="00343BCB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Á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lava, es el siguiente</w:t>
            </w:r>
            <w:r w:rsidR="0011151B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:</w:t>
            </w:r>
          </w:p>
          <w:p w14:paraId="7CD2E769" w14:textId="21A607C8" w:rsidR="00A475DB" w:rsidRPr="008E7FCC" w:rsidRDefault="00A475DB" w:rsidP="006F19A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B9E" w:rsidRPr="008E7FCC" w14:paraId="5BE363C7" w14:textId="77777777" w:rsidTr="005133A3">
        <w:tc>
          <w:tcPr>
            <w:tcW w:w="4605" w:type="dxa"/>
            <w:tcBorders>
              <w:right w:val="single" w:sz="4" w:space="0" w:color="808080"/>
            </w:tcBorders>
            <w:shd w:val="clear" w:color="auto" w:fill="auto"/>
          </w:tcPr>
          <w:p w14:paraId="4486F641" w14:textId="120DB79E" w:rsidR="002719EC" w:rsidRPr="008E7FCC" w:rsidRDefault="002719EC" w:rsidP="005133A3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Arabako Foru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Aldundia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: </w:t>
            </w:r>
            <w:r w:rsidR="00DE503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545.435.833,45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euro</w:t>
            </w:r>
          </w:p>
          <w:p w14:paraId="08A2045E" w14:textId="29271519" w:rsidR="00740837" w:rsidRPr="008E7FCC" w:rsidRDefault="00740837" w:rsidP="005133A3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Araba Garapen Agentzia SA: </w:t>
            </w:r>
            <w:r w:rsidR="00DE503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2.235.777,00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euro</w:t>
            </w:r>
          </w:p>
          <w:p w14:paraId="4A8E3B14" w14:textId="77777777" w:rsidR="00E81B9E" w:rsidRPr="008E7FCC" w:rsidRDefault="00E81B9E" w:rsidP="00162935">
            <w:pPr>
              <w:spacing w:before="120" w:after="120"/>
              <w:ind w:left="720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4605" w:type="dxa"/>
            <w:tcBorders>
              <w:left w:val="single" w:sz="4" w:space="0" w:color="808080"/>
            </w:tcBorders>
            <w:shd w:val="clear" w:color="auto" w:fill="auto"/>
          </w:tcPr>
          <w:p w14:paraId="4D7D3932" w14:textId="2FCF941F" w:rsidR="00E81B9E" w:rsidRPr="008E7FCC" w:rsidRDefault="00E81B9E" w:rsidP="005133A3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Diputación Foral de Álava: </w:t>
            </w:r>
            <w:r w:rsidR="00DE503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545.435.833,45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euros</w:t>
            </w:r>
          </w:p>
          <w:p w14:paraId="5807FF37" w14:textId="6E5519B7" w:rsidR="00BD357D" w:rsidRPr="008E7FCC" w:rsidRDefault="00BD357D" w:rsidP="005133A3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Álava Agencia de Desarrollo S.A.: </w:t>
            </w:r>
            <w:r w:rsidR="00DE503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2.235.777,00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euros</w:t>
            </w:r>
          </w:p>
          <w:p w14:paraId="45D6C8D5" w14:textId="77777777" w:rsidR="00E81B9E" w:rsidRPr="008E7FCC" w:rsidRDefault="00E81B9E" w:rsidP="00162935">
            <w:pPr>
              <w:spacing w:before="120" w:after="120"/>
              <w:ind w:left="720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E81B9E" w:rsidRPr="008E7FCC" w14:paraId="44D843A3" w14:textId="77777777" w:rsidTr="005133A3">
        <w:tc>
          <w:tcPr>
            <w:tcW w:w="4605" w:type="dxa"/>
            <w:tcBorders>
              <w:right w:val="single" w:sz="4" w:space="0" w:color="808080"/>
            </w:tcBorders>
            <w:shd w:val="clear" w:color="auto" w:fill="auto"/>
          </w:tcPr>
          <w:p w14:paraId="3D779F50" w14:textId="596A9FF4" w:rsidR="00E81B9E" w:rsidRDefault="00E81B9E" w:rsidP="00A475DB">
            <w:pPr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Arabako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sektore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publikoaren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F14225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zor</w:t>
            </w:r>
            <w:proofErr w:type="spellEnd"/>
            <w:r w:rsidR="00F14225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F14225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publikoaren</w:t>
            </w:r>
            <w:proofErr w:type="spellEnd"/>
            <w:r w:rsidR="00F14225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F14225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munta</w:t>
            </w:r>
            <w:proofErr w:type="spellEnd"/>
            <w:r w:rsidR="00F14225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F14225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osoa</w:t>
            </w:r>
            <w:proofErr w:type="spellEnd"/>
            <w:r w:rsidR="00F14225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, EKS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terminoetan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eta 20</w:t>
            </w:r>
            <w:r w:rsidR="00DE503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21e</w:t>
            </w:r>
            <w:r w:rsidR="00740837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k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o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abenduaren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31n,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ondoko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hau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izango da:</w:t>
            </w:r>
          </w:p>
          <w:p w14:paraId="6A87400F" w14:textId="77777777" w:rsidR="00A475DB" w:rsidRPr="008E7FCC" w:rsidRDefault="00A475DB" w:rsidP="00A475DB">
            <w:pPr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3127879F" w14:textId="2BD3327C" w:rsidR="002719EC" w:rsidRPr="008E7FCC" w:rsidRDefault="00DE5031" w:rsidP="00A475DB">
            <w:pPr>
              <w:ind w:right="57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547.671.610,45</w:t>
            </w:r>
            <w:r w:rsidR="002719EC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euro</w:t>
            </w:r>
          </w:p>
        </w:tc>
        <w:tc>
          <w:tcPr>
            <w:tcW w:w="4605" w:type="dxa"/>
            <w:tcBorders>
              <w:left w:val="single" w:sz="4" w:space="0" w:color="808080"/>
            </w:tcBorders>
            <w:shd w:val="clear" w:color="auto" w:fill="auto"/>
          </w:tcPr>
          <w:p w14:paraId="548AA425" w14:textId="61B17948" w:rsidR="002719EC" w:rsidRDefault="00E81B9E" w:rsidP="00A475DB">
            <w:pPr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El total de Deuda Pública del Sector Público Foral de </w:t>
            </w:r>
            <w:r w:rsidR="00343BCB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Á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lava, en términos SEC, a 31 de diciembre de 20</w:t>
            </w:r>
            <w:r w:rsidR="00DE503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21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es de:</w:t>
            </w:r>
          </w:p>
          <w:p w14:paraId="7086A654" w14:textId="78A7E949" w:rsidR="00A475DB" w:rsidRDefault="00A475DB" w:rsidP="00A475DB">
            <w:pPr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5CAD90A0" w14:textId="77777777" w:rsidR="00A475DB" w:rsidRPr="008E7FCC" w:rsidRDefault="00A475DB" w:rsidP="00A475DB">
            <w:pPr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65C800EC" w14:textId="3BC421E5" w:rsidR="00E81B9E" w:rsidRPr="008E7FCC" w:rsidRDefault="00DE5031" w:rsidP="00A475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547.671.610,45</w:t>
            </w:r>
            <w:r w:rsidR="00162935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="00E81B9E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euros.</w:t>
            </w:r>
          </w:p>
        </w:tc>
      </w:tr>
      <w:tr w:rsidR="00E81B9E" w:rsidRPr="008E7FCC" w14:paraId="5EF89A1D" w14:textId="77777777" w:rsidTr="005133A3">
        <w:tc>
          <w:tcPr>
            <w:tcW w:w="4605" w:type="dxa"/>
            <w:tcBorders>
              <w:right w:val="single" w:sz="4" w:space="0" w:color="808080"/>
            </w:tcBorders>
            <w:shd w:val="clear" w:color="auto" w:fill="auto"/>
          </w:tcPr>
          <w:p w14:paraId="0E6D2FB8" w14:textId="77777777" w:rsidR="00A475DB" w:rsidRDefault="00A475DB" w:rsidP="00A475DB">
            <w:pPr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743DA871" w14:textId="77777777" w:rsidR="00A475DB" w:rsidRDefault="00A475DB" w:rsidP="00A475DB">
            <w:pPr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040476DA" w14:textId="48AB2A40" w:rsidR="00A475DB" w:rsidRDefault="00A475DB" w:rsidP="00A475DB">
            <w:pPr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6980BEED" w14:textId="77777777" w:rsidR="00A475DB" w:rsidRDefault="00A475DB" w:rsidP="00A475DB">
            <w:pPr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37A79F41" w14:textId="7C73DD79" w:rsidR="00E81B9E" w:rsidRPr="008E7FCC" w:rsidRDefault="00110523" w:rsidP="00A475DB">
            <w:pPr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Foru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sektore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publikoaren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zorpeketa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maila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ebaluatzeko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balio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dezaketen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ratio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jakin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batzuk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kalkula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daitezke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berbarako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sarrera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ez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finantzarioen</w:t>
            </w:r>
            <w:proofErr w:type="spellEnd"/>
            <w:r w:rsidR="002719EC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="002719EC" w:rsidRPr="008E7FCC">
              <w:rPr>
                <w:rFonts w:asciiTheme="minorHAnsi" w:hAnsiTheme="minorHAnsi" w:cstheme="minorHAnsi"/>
                <w:i/>
                <w:snapToGrid w:val="0"/>
                <w:sz w:val="24"/>
                <w:szCs w:val="24"/>
              </w:rPr>
              <w:t>(</w:t>
            </w:r>
            <w:r w:rsidR="00DE5031" w:rsidRPr="00DE5031">
              <w:rPr>
                <w:rFonts w:asciiTheme="minorHAnsi" w:hAnsiTheme="minorHAnsi" w:cstheme="minorHAnsi"/>
                <w:i/>
                <w:sz w:val="24"/>
                <w:szCs w:val="24"/>
              </w:rPr>
              <w:t>3.020.620.909,14</w:t>
            </w:r>
            <w:r w:rsidR="002719EC" w:rsidRPr="008E7FCC">
              <w:rPr>
                <w:rFonts w:asciiTheme="minorHAnsi" w:hAnsiTheme="minorHAnsi" w:cstheme="minorHAnsi"/>
                <w:i/>
                <w:snapToGrid w:val="0"/>
                <w:sz w:val="24"/>
                <w:szCs w:val="24"/>
              </w:rPr>
              <w:t xml:space="preserve"> euro)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gaineko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zorraren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portzentaia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(Z/SEF</w:t>
            </w:r>
            <w:r w:rsidR="0085624C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)</w:t>
            </w:r>
          </w:p>
        </w:tc>
        <w:tc>
          <w:tcPr>
            <w:tcW w:w="4605" w:type="dxa"/>
            <w:tcBorders>
              <w:left w:val="single" w:sz="4" w:space="0" w:color="808080"/>
            </w:tcBorders>
            <w:shd w:val="clear" w:color="auto" w:fill="auto"/>
          </w:tcPr>
          <w:p w14:paraId="48FE6F6F" w14:textId="77777777" w:rsidR="00A475DB" w:rsidRDefault="00A475DB" w:rsidP="00A475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7C14D8" w14:textId="77777777" w:rsidR="00A475DB" w:rsidRDefault="00A475DB" w:rsidP="00A475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EC5BE1" w14:textId="6030A205" w:rsidR="00A475DB" w:rsidRDefault="00A475DB" w:rsidP="00A475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F4E2BC" w14:textId="77777777" w:rsidR="00A475DB" w:rsidRDefault="00A475DB" w:rsidP="00A475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954EB1" w14:textId="0DFCD7F1" w:rsidR="00E81B9E" w:rsidRPr="008E7FCC" w:rsidRDefault="00A475DB" w:rsidP="00A475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110523" w:rsidRPr="008E7FCC">
              <w:rPr>
                <w:rFonts w:asciiTheme="minorHAnsi" w:hAnsiTheme="minorHAnsi" w:cstheme="minorHAnsi"/>
                <w:sz w:val="24"/>
                <w:szCs w:val="24"/>
              </w:rPr>
              <w:t xml:space="preserve">e pueden calcular una serie de ratios que sirvan para evaluar el nivel de endeudamiento del Sector Público Foral, como el porcentaje de la deuda sobre los ingresos no financieros </w:t>
            </w:r>
            <w:r w:rsidR="002719EC" w:rsidRPr="008E7FC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DE5031" w:rsidRPr="00DE503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3.020.620.909,14</w:t>
            </w:r>
            <w:r w:rsidR="002719EC" w:rsidRPr="008E7FC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euros)</w:t>
            </w:r>
            <w:r w:rsidR="002719EC" w:rsidRPr="008E7FC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10523" w:rsidRPr="008E7FCC">
              <w:rPr>
                <w:rFonts w:asciiTheme="minorHAnsi" w:hAnsiTheme="minorHAnsi" w:cstheme="minorHAnsi"/>
                <w:sz w:val="24"/>
                <w:szCs w:val="24"/>
              </w:rPr>
              <w:t>(D/INF</w:t>
            </w:r>
            <w:r w:rsidR="0085624C" w:rsidRPr="008E7FC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110523" w:rsidRPr="008E7FCC" w14:paraId="7D83BE78" w14:textId="77777777" w:rsidTr="005133A3">
        <w:tc>
          <w:tcPr>
            <w:tcW w:w="4605" w:type="dxa"/>
            <w:tcBorders>
              <w:right w:val="single" w:sz="4" w:space="0" w:color="808080"/>
            </w:tcBorders>
            <w:shd w:val="clear" w:color="auto" w:fill="auto"/>
          </w:tcPr>
          <w:p w14:paraId="3819B1C7" w14:textId="77777777" w:rsidR="00A475DB" w:rsidRDefault="00A475DB" w:rsidP="00162935">
            <w:pPr>
              <w:spacing w:before="120" w:after="120"/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023D451F" w14:textId="2AA93317" w:rsidR="00110523" w:rsidRPr="008E7FCC" w:rsidRDefault="00110523" w:rsidP="00162935">
            <w:pPr>
              <w:spacing w:before="120" w:after="120"/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/SEF </w:t>
            </w:r>
            <w:r w:rsidR="00581DE1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1</w:t>
            </w:r>
            <w:r w:rsidR="00DE503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8,13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koa da 20</w:t>
            </w:r>
            <w:r w:rsidR="00DE503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21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urterako</w:t>
            </w:r>
            <w:proofErr w:type="spellEnd"/>
            <w:r w:rsidR="0085624C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  <w:r w:rsidR="00207C42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</w:t>
            </w:r>
            <w:proofErr w:type="gramEnd"/>
            <w:r w:rsidR="00207C42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20</w:t>
            </w:r>
            <w:r w:rsidR="00DE503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20</w:t>
            </w:r>
            <w:r w:rsidR="00207C42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an </w:t>
            </w:r>
            <w:r w:rsidR="00581DE1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1</w:t>
            </w:r>
            <w:r w:rsidR="00DE503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9,64</w:t>
            </w:r>
            <w:r w:rsidR="00207C42"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ko izan zen)</w:t>
            </w:r>
          </w:p>
        </w:tc>
        <w:tc>
          <w:tcPr>
            <w:tcW w:w="4605" w:type="dxa"/>
            <w:tcBorders>
              <w:left w:val="single" w:sz="4" w:space="0" w:color="808080"/>
            </w:tcBorders>
            <w:shd w:val="clear" w:color="auto" w:fill="auto"/>
          </w:tcPr>
          <w:p w14:paraId="50B77FA8" w14:textId="77777777" w:rsidR="00A475DB" w:rsidRDefault="00A475DB" w:rsidP="00162935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917009" w14:textId="0B297699" w:rsidR="00110523" w:rsidRPr="008E7FCC" w:rsidRDefault="00110523" w:rsidP="00162935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E7FCC">
              <w:rPr>
                <w:rFonts w:asciiTheme="minorHAnsi" w:hAnsiTheme="minorHAnsi" w:cstheme="minorHAnsi"/>
                <w:sz w:val="24"/>
                <w:szCs w:val="24"/>
              </w:rPr>
              <w:t>El D/I</w:t>
            </w:r>
            <w:r w:rsidR="00BD357D" w:rsidRPr="008E7FCC">
              <w:rPr>
                <w:rFonts w:asciiTheme="minorHAnsi" w:hAnsiTheme="minorHAnsi" w:cstheme="minorHAnsi"/>
                <w:sz w:val="24"/>
                <w:szCs w:val="24"/>
              </w:rPr>
              <w:t xml:space="preserve">NF es del </w:t>
            </w:r>
            <w:r w:rsidR="00207C42" w:rsidRPr="008E7FC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E5031">
              <w:rPr>
                <w:rFonts w:asciiTheme="minorHAnsi" w:hAnsiTheme="minorHAnsi" w:cstheme="minorHAnsi"/>
                <w:sz w:val="24"/>
                <w:szCs w:val="24"/>
              </w:rPr>
              <w:t>8,13</w:t>
            </w:r>
            <w:r w:rsidR="00BD357D" w:rsidRPr="008E7FCC">
              <w:rPr>
                <w:rFonts w:asciiTheme="minorHAnsi" w:hAnsiTheme="minorHAnsi" w:cstheme="minorHAnsi"/>
                <w:sz w:val="24"/>
                <w:szCs w:val="24"/>
              </w:rPr>
              <w:t xml:space="preserve"> para el año 20</w:t>
            </w:r>
            <w:r w:rsidR="00DE5031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="00207C42" w:rsidRPr="008E7FCC">
              <w:rPr>
                <w:rFonts w:asciiTheme="minorHAnsi" w:hAnsiTheme="minorHAnsi" w:cstheme="minorHAnsi"/>
                <w:sz w:val="24"/>
                <w:szCs w:val="24"/>
              </w:rPr>
              <w:t>. (</w:t>
            </w:r>
            <w:r w:rsidR="00581DE1" w:rsidRPr="008E7FC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E5031">
              <w:rPr>
                <w:rFonts w:asciiTheme="minorHAnsi" w:hAnsiTheme="minorHAnsi" w:cstheme="minorHAnsi"/>
                <w:sz w:val="24"/>
                <w:szCs w:val="24"/>
              </w:rPr>
              <w:t>9,64</w:t>
            </w:r>
            <w:r w:rsidR="00207C42" w:rsidRPr="008E7FCC">
              <w:rPr>
                <w:rFonts w:asciiTheme="minorHAnsi" w:hAnsiTheme="minorHAnsi" w:cstheme="minorHAnsi"/>
                <w:sz w:val="24"/>
                <w:szCs w:val="24"/>
              </w:rPr>
              <w:t xml:space="preserve"> en 20</w:t>
            </w:r>
            <w:r w:rsidR="00DE503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207C42" w:rsidRPr="008E7FC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85624C" w:rsidRPr="008E7FC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597BB8" w:rsidRPr="008E7FCC" w14:paraId="075167ED" w14:textId="77777777" w:rsidTr="00513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5" w:type="dxa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auto"/>
          </w:tcPr>
          <w:p w14:paraId="746BA1F1" w14:textId="77777777" w:rsidR="00A475DB" w:rsidRDefault="00A475DB" w:rsidP="009F45FD">
            <w:pPr>
              <w:spacing w:before="120" w:after="120"/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5D7EBC56" w14:textId="46EFB125" w:rsidR="00597BB8" w:rsidRPr="008E7FCC" w:rsidRDefault="00DC25F8" w:rsidP="009F45FD">
            <w:pPr>
              <w:spacing w:before="120" w:after="120"/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Diru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sarrera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arrunten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% 2</w:t>
            </w:r>
            <w:r w:rsidR="006F19A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,46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egiten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dute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Arabako Foru </w:t>
            </w:r>
            <w:proofErr w:type="spellStart"/>
            <w:r w:rsidR="006F19A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Sektore</w:t>
            </w:r>
            <w:proofErr w:type="spellEnd"/>
            <w:r w:rsidR="006F19A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6F19A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Publiko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aren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interes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eta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amortizazioek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, 20</w:t>
            </w:r>
            <w:r w:rsidR="006F19A5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21e</w:t>
            </w:r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ko </w:t>
            </w:r>
            <w:proofErr w:type="spellStart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ekitaldian</w:t>
            </w:r>
            <w:proofErr w:type="spellEnd"/>
            <w:r w:rsidRPr="008E7FC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.</w:t>
            </w:r>
          </w:p>
        </w:tc>
        <w:tc>
          <w:tcPr>
            <w:tcW w:w="4605" w:type="dxa"/>
            <w:tcBorders>
              <w:top w:val="nil"/>
              <w:left w:val="single" w:sz="4" w:space="0" w:color="999999"/>
              <w:bottom w:val="nil"/>
              <w:right w:val="nil"/>
            </w:tcBorders>
            <w:shd w:val="clear" w:color="auto" w:fill="auto"/>
          </w:tcPr>
          <w:p w14:paraId="60A8CDE5" w14:textId="77777777" w:rsidR="00A475DB" w:rsidRDefault="00A475DB" w:rsidP="009F45FD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0C276D" w14:textId="4CC5F084" w:rsidR="00597BB8" w:rsidRPr="008E7FCC" w:rsidRDefault="00597BB8" w:rsidP="009F45FD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E7FCC">
              <w:rPr>
                <w:rFonts w:asciiTheme="minorHAnsi" w:hAnsiTheme="minorHAnsi" w:cstheme="minorHAnsi"/>
                <w:sz w:val="24"/>
                <w:szCs w:val="24"/>
              </w:rPr>
              <w:t>En el ejercicio 20</w:t>
            </w:r>
            <w:r w:rsidR="008B3605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8E7FCC">
              <w:rPr>
                <w:rFonts w:asciiTheme="minorHAnsi" w:hAnsiTheme="minorHAnsi" w:cstheme="minorHAnsi"/>
                <w:sz w:val="24"/>
                <w:szCs w:val="24"/>
              </w:rPr>
              <w:t xml:space="preserve">, los intereses y amortizaciones </w:t>
            </w:r>
            <w:r w:rsidR="006504BE" w:rsidRPr="008E7FCC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8B3605">
              <w:rPr>
                <w:rFonts w:asciiTheme="minorHAnsi" w:hAnsiTheme="minorHAnsi" w:cstheme="minorHAnsi"/>
                <w:sz w:val="24"/>
                <w:szCs w:val="24"/>
              </w:rPr>
              <w:t>l Sector Público Foral de Álava</w:t>
            </w:r>
            <w:r w:rsidR="006504BE" w:rsidRPr="008E7FC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7FCC">
              <w:rPr>
                <w:rFonts w:asciiTheme="minorHAnsi" w:hAnsiTheme="minorHAnsi" w:cstheme="minorHAnsi"/>
                <w:sz w:val="24"/>
                <w:szCs w:val="24"/>
              </w:rPr>
              <w:t>supone un 2,</w:t>
            </w:r>
            <w:r w:rsidR="006F19A5">
              <w:rPr>
                <w:rFonts w:asciiTheme="minorHAnsi" w:hAnsiTheme="minorHAnsi" w:cstheme="minorHAnsi"/>
                <w:sz w:val="24"/>
                <w:szCs w:val="24"/>
              </w:rPr>
              <w:t>46</w:t>
            </w:r>
            <w:r w:rsidRPr="008E7FCC">
              <w:rPr>
                <w:rFonts w:asciiTheme="minorHAnsi" w:hAnsiTheme="minorHAnsi" w:cstheme="minorHAnsi"/>
                <w:sz w:val="24"/>
                <w:szCs w:val="24"/>
              </w:rPr>
              <w:t xml:space="preserve"> sobre los ingresos corrientes.</w:t>
            </w:r>
          </w:p>
        </w:tc>
      </w:tr>
      <w:tr w:rsidR="00B754D0" w:rsidRPr="006F19A5" w14:paraId="1B696686" w14:textId="77777777" w:rsidTr="005133A3">
        <w:tc>
          <w:tcPr>
            <w:tcW w:w="4605" w:type="dxa"/>
            <w:tcBorders>
              <w:right w:val="single" w:sz="4" w:space="0" w:color="808080"/>
            </w:tcBorders>
            <w:shd w:val="clear" w:color="auto" w:fill="auto"/>
          </w:tcPr>
          <w:p w14:paraId="33953330" w14:textId="18280D57" w:rsidR="00B754D0" w:rsidRPr="006F19A5" w:rsidRDefault="008E7FCC" w:rsidP="005133A3">
            <w:pPr>
              <w:spacing w:before="120" w:after="120"/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br w:type="page"/>
            </w:r>
          </w:p>
        </w:tc>
        <w:tc>
          <w:tcPr>
            <w:tcW w:w="4605" w:type="dxa"/>
            <w:tcBorders>
              <w:left w:val="single" w:sz="4" w:space="0" w:color="808080"/>
            </w:tcBorders>
            <w:shd w:val="clear" w:color="auto" w:fill="auto"/>
          </w:tcPr>
          <w:p w14:paraId="7DD97BA5" w14:textId="77777777" w:rsidR="00B754D0" w:rsidRPr="006F19A5" w:rsidRDefault="00B754D0" w:rsidP="005133A3">
            <w:pPr>
              <w:spacing w:before="120" w:after="120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B754D0" w:rsidRPr="006F19A5" w14:paraId="2B713A3A" w14:textId="77777777" w:rsidTr="005133A3">
        <w:tc>
          <w:tcPr>
            <w:tcW w:w="4605" w:type="dxa"/>
            <w:tcBorders>
              <w:right w:val="single" w:sz="4" w:space="0" w:color="808080"/>
            </w:tcBorders>
            <w:shd w:val="clear" w:color="auto" w:fill="auto"/>
          </w:tcPr>
          <w:p w14:paraId="358EE6A4" w14:textId="77777777" w:rsidR="00B754D0" w:rsidRPr="006F19A5" w:rsidRDefault="00B754D0" w:rsidP="005133A3">
            <w:pPr>
              <w:spacing w:before="120" w:after="120"/>
              <w:ind w:right="5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4605" w:type="dxa"/>
            <w:tcBorders>
              <w:left w:val="single" w:sz="4" w:space="0" w:color="808080"/>
            </w:tcBorders>
            <w:shd w:val="clear" w:color="auto" w:fill="auto"/>
          </w:tcPr>
          <w:p w14:paraId="4632F1C0" w14:textId="77777777" w:rsidR="00B754D0" w:rsidRPr="006F19A5" w:rsidRDefault="00B754D0" w:rsidP="005133A3">
            <w:pPr>
              <w:spacing w:before="120" w:after="120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</w:tbl>
    <w:p w14:paraId="31D396FE" w14:textId="77777777" w:rsidR="0039580C" w:rsidRPr="006F19A5" w:rsidRDefault="0039580C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1D545289" w14:textId="77777777" w:rsidR="0039580C" w:rsidRDefault="0039580C">
      <w:pPr>
        <w:rPr>
          <w:rFonts w:ascii="Arial" w:hAnsi="Arial"/>
          <w:snapToGrid w:val="0"/>
          <w:sz w:val="24"/>
        </w:rPr>
      </w:pPr>
    </w:p>
    <w:p w14:paraId="46EF1774" w14:textId="77777777" w:rsidR="0039580C" w:rsidRDefault="0039580C">
      <w:pPr>
        <w:rPr>
          <w:rFonts w:ascii="Arial" w:hAnsi="Arial"/>
          <w:snapToGrid w:val="0"/>
        </w:rPr>
      </w:pPr>
    </w:p>
    <w:p w14:paraId="5D639422" w14:textId="77777777" w:rsidR="0039580C" w:rsidRDefault="0039580C">
      <w:pPr>
        <w:rPr>
          <w:rFonts w:ascii="Arial" w:hAnsi="Arial"/>
          <w:snapToGrid w:val="0"/>
        </w:rPr>
      </w:pPr>
    </w:p>
    <w:p w14:paraId="5036B1C5" w14:textId="77777777" w:rsidR="0039580C" w:rsidRDefault="0039580C">
      <w:pPr>
        <w:rPr>
          <w:rFonts w:ascii="Arial" w:hAnsi="Arial"/>
          <w:snapToGrid w:val="0"/>
        </w:rPr>
      </w:pPr>
    </w:p>
    <w:p w14:paraId="5D4EAF1A" w14:textId="77777777" w:rsidR="0039580C" w:rsidRDefault="0039580C">
      <w:pPr>
        <w:rPr>
          <w:rFonts w:ascii="Arial" w:hAnsi="Arial"/>
          <w:snapToGrid w:val="0"/>
        </w:rPr>
      </w:pPr>
    </w:p>
    <w:sectPr w:rsidR="0039580C" w:rsidSect="00CB0FEF">
      <w:headerReference w:type="default" r:id="rId25"/>
      <w:headerReference w:type="first" r:id="rId26"/>
      <w:pgSz w:w="11906" w:h="16838" w:code="9"/>
      <w:pgMar w:top="1418" w:right="567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5E112" w14:textId="77777777" w:rsidR="00231F31" w:rsidRDefault="00231F31">
      <w:r>
        <w:separator/>
      </w:r>
    </w:p>
  </w:endnote>
  <w:endnote w:type="continuationSeparator" w:id="0">
    <w:p w14:paraId="33DA45B7" w14:textId="77777777" w:rsidR="00231F31" w:rsidRDefault="0023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230C8" w14:textId="77777777" w:rsidR="00231F31" w:rsidRDefault="00231F31">
      <w:r>
        <w:separator/>
      </w:r>
    </w:p>
  </w:footnote>
  <w:footnote w:type="continuationSeparator" w:id="0">
    <w:p w14:paraId="10793E9A" w14:textId="77777777" w:rsidR="00231F31" w:rsidRDefault="0023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91"/>
      <w:gridCol w:w="2551"/>
    </w:tblGrid>
    <w:tr w:rsidR="00231F31" w14:paraId="54D24431" w14:textId="77777777" w:rsidTr="009B0DF3">
      <w:tc>
        <w:tcPr>
          <w:tcW w:w="6591" w:type="dxa"/>
        </w:tcPr>
        <w:p w14:paraId="4A8689EA" w14:textId="77777777" w:rsidR="00231F31" w:rsidRDefault="00231F31" w:rsidP="009B0DF3">
          <w:pPr>
            <w:pStyle w:val="Encabezado"/>
            <w:ind w:left="74"/>
            <w:rPr>
              <w:noProof/>
              <w:sz w:val="16"/>
            </w:rPr>
          </w:pPr>
          <w:r>
            <w:rPr>
              <w:noProof/>
              <w:sz w:val="16"/>
            </w:rPr>
            <w:object w:dxaOrig="3301" w:dyaOrig="1126" w14:anchorId="6DD3EDC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75pt;height:56.4pt" fillcolor="window">
                <v:imagedata r:id="rId1" o:title=""/>
              </v:shape>
              <o:OLEObject Type="Embed" ProgID="Word.Picture.8" ShapeID="_x0000_i1025" DrawAspect="Content" ObjectID="_1719042439" r:id="rId2"/>
            </w:object>
          </w:r>
        </w:p>
        <w:p w14:paraId="2665C5A7" w14:textId="77777777" w:rsidR="00231F31" w:rsidRDefault="00231F31" w:rsidP="009B0DF3">
          <w:pPr>
            <w:pStyle w:val="Encabezado"/>
            <w:ind w:left="1064"/>
            <w:rPr>
              <w:noProof/>
              <w:sz w:val="16"/>
            </w:rPr>
          </w:pPr>
        </w:p>
      </w:tc>
      <w:tc>
        <w:tcPr>
          <w:tcW w:w="2551" w:type="dxa"/>
        </w:tcPr>
        <w:p w14:paraId="295C63DF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 xml:space="preserve">Finantza eta </w:t>
          </w:r>
        </w:p>
        <w:p w14:paraId="5870316F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>Aurrekontu Zuzendaritza</w:t>
          </w:r>
        </w:p>
        <w:p w14:paraId="63255DD7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 xml:space="preserve">Dirección de Finanzas y </w:t>
          </w:r>
        </w:p>
        <w:p w14:paraId="2B8DFE3D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>Presupuestos</w:t>
          </w:r>
        </w:p>
        <w:p w14:paraId="015F2AAD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noProof/>
              <w:sz w:val="16"/>
            </w:rPr>
          </w:pPr>
          <w:r w:rsidRPr="00A57E5E">
            <w:rPr>
              <w:rFonts w:ascii="Arial" w:hAnsi="Arial" w:cs="Arial"/>
              <w:noProof/>
              <w:sz w:val="16"/>
            </w:rPr>
            <w:t>Kontabilitate Zerbitzua</w:t>
          </w:r>
        </w:p>
        <w:p w14:paraId="3AF4F162" w14:textId="77777777" w:rsidR="00231F31" w:rsidRPr="00A57E5E" w:rsidRDefault="00231F31" w:rsidP="009B0DF3">
          <w:pPr>
            <w:pStyle w:val="Encabezado"/>
            <w:ind w:left="-70"/>
            <w:rPr>
              <w:rFonts w:ascii="Arial" w:hAnsi="Arial" w:cs="Arial"/>
              <w:noProof/>
              <w:sz w:val="16"/>
            </w:rPr>
          </w:pPr>
          <w:r w:rsidRPr="00A57E5E">
            <w:rPr>
              <w:rFonts w:ascii="Arial" w:hAnsi="Arial" w:cs="Arial"/>
              <w:noProof/>
              <w:sz w:val="16"/>
            </w:rPr>
            <w:t>Servicio de Contabilidad</w:t>
          </w:r>
        </w:p>
        <w:p w14:paraId="61DD21D4" w14:textId="77777777" w:rsidR="00231F31" w:rsidRDefault="00231F31" w:rsidP="009B0DF3">
          <w:pPr>
            <w:pStyle w:val="Encabezado"/>
            <w:ind w:left="-70"/>
            <w:rPr>
              <w:noProof/>
              <w:sz w:val="16"/>
            </w:rPr>
          </w:pPr>
        </w:p>
        <w:p w14:paraId="7B67B687" w14:textId="77777777" w:rsidR="00231F31" w:rsidRDefault="00231F31" w:rsidP="009B0DF3">
          <w:pPr>
            <w:pStyle w:val="Encabezado"/>
            <w:ind w:left="-70"/>
            <w:rPr>
              <w:noProof/>
              <w:sz w:val="18"/>
            </w:rPr>
          </w:pPr>
        </w:p>
      </w:tc>
    </w:tr>
  </w:tbl>
  <w:p w14:paraId="218EDC0D" w14:textId="77777777" w:rsidR="00231F31" w:rsidRDefault="00CA59CF" w:rsidP="002C4DDC">
    <w:pPr>
      <w:pStyle w:val="Encabezado"/>
    </w:pPr>
    <w:r>
      <w:pict w14:anchorId="7654C792">
        <v:shape id="_x0000_i1026" type="#_x0000_t75" style="width:567pt;height:7.1pt;mso-position-horizontal:absolute" o:hrpct="0" o:hralign="center" o:hr="t">
          <v:imagedata r:id="rId3" o:title="BD10290_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9070"/>
    </w:tblGrid>
    <w:tr w:rsidR="00231F31" w:rsidRPr="002C5A81" w14:paraId="7163BDD9" w14:textId="77777777" w:rsidTr="005133A3">
      <w:tc>
        <w:tcPr>
          <w:tcW w:w="9210" w:type="dxa"/>
          <w:shd w:val="clear" w:color="auto" w:fill="auto"/>
        </w:tcPr>
        <w:p w14:paraId="009CA6CF" w14:textId="4568F766" w:rsidR="00231F31" w:rsidRPr="001149EF" w:rsidRDefault="00231F31" w:rsidP="005133A3">
          <w:pPr>
            <w:ind w:left="170"/>
            <w:jc w:val="both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1149EF">
            <w:rPr>
              <w:rFonts w:asciiTheme="minorHAnsi" w:hAnsiTheme="minorHAnsi" w:cstheme="minorHAnsi"/>
              <w:b/>
              <w:sz w:val="24"/>
              <w:szCs w:val="24"/>
            </w:rPr>
            <w:t>AURREKONTU EGONKORTASUNAREN ETA FINANTZA IRAUNKORTASUNAREN 20</w:t>
          </w:r>
          <w:r w:rsidR="00B23FA6">
            <w:rPr>
              <w:rFonts w:asciiTheme="minorHAnsi" w:hAnsiTheme="minorHAnsi" w:cstheme="minorHAnsi"/>
              <w:b/>
              <w:sz w:val="24"/>
              <w:szCs w:val="24"/>
            </w:rPr>
            <w:t>21EK</w:t>
          </w:r>
          <w:r w:rsidRPr="001149EF">
            <w:rPr>
              <w:rFonts w:asciiTheme="minorHAnsi" w:hAnsiTheme="minorHAnsi" w:cstheme="minorHAnsi"/>
              <w:b/>
              <w:sz w:val="24"/>
              <w:szCs w:val="24"/>
            </w:rPr>
            <w:t xml:space="preserve">O TXOSTENA / </w:t>
          </w:r>
        </w:p>
        <w:p w14:paraId="14B7FCA3" w14:textId="40354394" w:rsidR="00231F31" w:rsidRPr="001149EF" w:rsidRDefault="00231F31" w:rsidP="006B67BC">
          <w:pPr>
            <w:ind w:left="170"/>
            <w:jc w:val="both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1149EF">
            <w:rPr>
              <w:rFonts w:asciiTheme="minorHAnsi" w:hAnsiTheme="minorHAnsi" w:cstheme="minorHAnsi"/>
              <w:b/>
              <w:sz w:val="24"/>
              <w:szCs w:val="24"/>
            </w:rPr>
            <w:t>INFORME DE ESTABILIDAD PRESUPUESTARIA Y SOSTENIBILIDAD FINANCIERA – 20</w:t>
          </w:r>
          <w:r w:rsidR="00B23FA6">
            <w:rPr>
              <w:rFonts w:asciiTheme="minorHAnsi" w:hAnsiTheme="minorHAnsi" w:cstheme="minorHAnsi"/>
              <w:b/>
              <w:sz w:val="24"/>
              <w:szCs w:val="24"/>
            </w:rPr>
            <w:t>21</w:t>
          </w:r>
        </w:p>
      </w:tc>
    </w:tr>
  </w:tbl>
  <w:p w14:paraId="1A7721DC" w14:textId="77777777" w:rsidR="00231F31" w:rsidRDefault="00CA59CF" w:rsidP="0020017B">
    <w:pPr>
      <w:pStyle w:val="Encabezado"/>
      <w:spacing w:before="120" w:after="120"/>
    </w:pPr>
    <w:r>
      <w:pict w14:anchorId="2D7930BD">
        <v:shape id="_x0000_i1027" type="#_x0000_t75" style="width:567pt;height:7.1pt;mso-position-horizontal:absolute" o:hrpct="0" o:hralign="center" o:hr="t">
          <v:imagedata r:id="rId3" o:title="BD10290_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91"/>
      <w:gridCol w:w="2551"/>
    </w:tblGrid>
    <w:tr w:rsidR="00231F31" w14:paraId="67D80899" w14:textId="77777777" w:rsidTr="009B0DF3">
      <w:tc>
        <w:tcPr>
          <w:tcW w:w="6591" w:type="dxa"/>
        </w:tcPr>
        <w:p w14:paraId="206D6F84" w14:textId="77777777" w:rsidR="00231F31" w:rsidRDefault="00231F31" w:rsidP="009B0DF3">
          <w:pPr>
            <w:pStyle w:val="Encabezado"/>
            <w:ind w:left="74"/>
            <w:rPr>
              <w:noProof/>
              <w:sz w:val="16"/>
            </w:rPr>
          </w:pPr>
          <w:r>
            <w:rPr>
              <w:noProof/>
              <w:sz w:val="16"/>
            </w:rPr>
            <w:object w:dxaOrig="3301" w:dyaOrig="1126" w14:anchorId="1D4F90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165.75pt;height:56.4pt" fillcolor="window">
                <v:imagedata r:id="rId1" o:title=""/>
              </v:shape>
              <o:OLEObject Type="Embed" ProgID="Word.Picture.8" ShapeID="_x0000_i1028" DrawAspect="Content" ObjectID="_1719042440" r:id="rId2"/>
            </w:object>
          </w:r>
        </w:p>
        <w:p w14:paraId="215BDFAA" w14:textId="77777777" w:rsidR="00231F31" w:rsidRDefault="00231F31" w:rsidP="009B0DF3">
          <w:pPr>
            <w:pStyle w:val="Encabezado"/>
            <w:ind w:left="1064"/>
            <w:rPr>
              <w:noProof/>
              <w:sz w:val="16"/>
            </w:rPr>
          </w:pPr>
        </w:p>
      </w:tc>
      <w:tc>
        <w:tcPr>
          <w:tcW w:w="2551" w:type="dxa"/>
        </w:tcPr>
        <w:p w14:paraId="5CA045E3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 xml:space="preserve">Finantza eta </w:t>
          </w:r>
        </w:p>
        <w:p w14:paraId="0BA5FA19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>Aurrekontu Zuzendaritza</w:t>
          </w:r>
        </w:p>
        <w:p w14:paraId="79784262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 xml:space="preserve">Dirección de Finanzas y </w:t>
          </w:r>
        </w:p>
        <w:p w14:paraId="15979760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>Presupuestos</w:t>
          </w:r>
        </w:p>
        <w:p w14:paraId="7396F565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noProof/>
              <w:sz w:val="16"/>
            </w:rPr>
          </w:pPr>
          <w:r w:rsidRPr="00A57E5E">
            <w:rPr>
              <w:rFonts w:ascii="Arial" w:hAnsi="Arial" w:cs="Arial"/>
              <w:noProof/>
              <w:sz w:val="16"/>
            </w:rPr>
            <w:t>Kontabilitate Zerbitzua</w:t>
          </w:r>
        </w:p>
        <w:p w14:paraId="01511463" w14:textId="77777777" w:rsidR="00231F31" w:rsidRPr="00A57E5E" w:rsidRDefault="00231F31" w:rsidP="009B0DF3">
          <w:pPr>
            <w:pStyle w:val="Encabezado"/>
            <w:ind w:left="-70"/>
            <w:rPr>
              <w:rFonts w:ascii="Arial" w:hAnsi="Arial" w:cs="Arial"/>
              <w:noProof/>
              <w:sz w:val="16"/>
            </w:rPr>
          </w:pPr>
          <w:r w:rsidRPr="00A57E5E">
            <w:rPr>
              <w:rFonts w:ascii="Arial" w:hAnsi="Arial" w:cs="Arial"/>
              <w:noProof/>
              <w:sz w:val="16"/>
            </w:rPr>
            <w:t>Servicio de Contabilidad</w:t>
          </w:r>
        </w:p>
        <w:p w14:paraId="1E87D4A3" w14:textId="77777777" w:rsidR="00231F31" w:rsidRDefault="00231F31" w:rsidP="009B0DF3">
          <w:pPr>
            <w:pStyle w:val="Encabezado"/>
            <w:ind w:left="-70"/>
            <w:rPr>
              <w:noProof/>
              <w:sz w:val="16"/>
            </w:rPr>
          </w:pPr>
        </w:p>
        <w:p w14:paraId="5BF52D4F" w14:textId="77777777" w:rsidR="00231F31" w:rsidRDefault="00231F31" w:rsidP="009B0DF3">
          <w:pPr>
            <w:pStyle w:val="Encabezado"/>
            <w:ind w:left="-70"/>
            <w:rPr>
              <w:noProof/>
              <w:sz w:val="18"/>
            </w:rPr>
          </w:pPr>
        </w:p>
      </w:tc>
    </w:tr>
  </w:tbl>
  <w:p w14:paraId="65CED675" w14:textId="77777777" w:rsidR="00231F31" w:rsidRDefault="00CA59CF" w:rsidP="002C4DDC">
    <w:pPr>
      <w:pStyle w:val="Encabezado"/>
    </w:pPr>
    <w:r>
      <w:pict w14:anchorId="1067C0DE">
        <v:shape id="_x0000_i1029" type="#_x0000_t75" style="width:567pt;height:7.1pt;mso-position-horizontal:absolute" o:hrpct="0" o:hralign="center" o:hr="t">
          <v:imagedata r:id="rId3" o:title="BD10290_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9070"/>
    </w:tblGrid>
    <w:tr w:rsidR="00231F31" w:rsidRPr="002C5A81" w14:paraId="2896425A" w14:textId="77777777" w:rsidTr="005133A3">
      <w:tc>
        <w:tcPr>
          <w:tcW w:w="9210" w:type="dxa"/>
          <w:shd w:val="clear" w:color="auto" w:fill="auto"/>
        </w:tcPr>
        <w:p w14:paraId="4B063087" w14:textId="4C04BD11" w:rsidR="00231F31" w:rsidRPr="001149EF" w:rsidRDefault="00231F31" w:rsidP="005133A3">
          <w:pPr>
            <w:ind w:left="170"/>
            <w:jc w:val="both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1149EF">
            <w:rPr>
              <w:rFonts w:asciiTheme="minorHAnsi" w:hAnsiTheme="minorHAnsi" w:cstheme="minorHAnsi"/>
              <w:b/>
              <w:sz w:val="24"/>
              <w:szCs w:val="24"/>
            </w:rPr>
            <w:t>AURREKONTU EGONKORTASUNAREN ETA FINANTZA IRAUNKORTASUNAREN 20</w:t>
          </w:r>
          <w:r w:rsidR="00B23FA6">
            <w:rPr>
              <w:rFonts w:asciiTheme="minorHAnsi" w:hAnsiTheme="minorHAnsi" w:cstheme="minorHAnsi"/>
              <w:b/>
              <w:sz w:val="24"/>
              <w:szCs w:val="24"/>
            </w:rPr>
            <w:t>21E</w:t>
          </w:r>
          <w:r w:rsidRPr="001149EF">
            <w:rPr>
              <w:rFonts w:asciiTheme="minorHAnsi" w:hAnsiTheme="minorHAnsi" w:cstheme="minorHAnsi"/>
              <w:b/>
              <w:sz w:val="24"/>
              <w:szCs w:val="24"/>
            </w:rPr>
            <w:t xml:space="preserve">KO TXOSTENA / </w:t>
          </w:r>
        </w:p>
        <w:p w14:paraId="478085B5" w14:textId="1CB26BEB" w:rsidR="00231F31" w:rsidRPr="005133A3" w:rsidRDefault="00231F31" w:rsidP="006B67BC">
          <w:pPr>
            <w:ind w:left="170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1149EF">
            <w:rPr>
              <w:rFonts w:asciiTheme="minorHAnsi" w:hAnsiTheme="minorHAnsi" w:cstheme="minorHAnsi"/>
              <w:b/>
              <w:sz w:val="24"/>
              <w:szCs w:val="24"/>
            </w:rPr>
            <w:t xml:space="preserve"> INFORME DE ESTABILIDAD PRESUPUESTARIA Y SOSTENIBILIDAD FINANCIERA - 20</w:t>
          </w:r>
          <w:r w:rsidR="00B23FA6">
            <w:rPr>
              <w:rFonts w:asciiTheme="minorHAnsi" w:hAnsiTheme="minorHAnsi" w:cstheme="minorHAnsi"/>
              <w:b/>
              <w:sz w:val="24"/>
              <w:szCs w:val="24"/>
            </w:rPr>
            <w:t>21</w:t>
          </w:r>
        </w:p>
      </w:tc>
    </w:tr>
  </w:tbl>
  <w:p w14:paraId="277C491E" w14:textId="77777777" w:rsidR="00231F31" w:rsidRDefault="00CA59CF" w:rsidP="0020017B">
    <w:pPr>
      <w:pStyle w:val="Encabezado"/>
      <w:spacing w:before="120" w:after="120"/>
    </w:pPr>
    <w:r>
      <w:pict w14:anchorId="775EBEDD">
        <v:shape id="_x0000_i1030" type="#_x0000_t75" style="width:567pt;height:7.1pt;mso-position-horizontal:absolute" o:hrpct="0" o:hralign="center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6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91"/>
      <w:gridCol w:w="2551"/>
      <w:gridCol w:w="1064"/>
      <w:gridCol w:w="3472"/>
    </w:tblGrid>
    <w:tr w:rsidR="00231F31" w14:paraId="23F5C30E" w14:textId="77777777" w:rsidTr="00693004">
      <w:tc>
        <w:tcPr>
          <w:tcW w:w="10206" w:type="dxa"/>
          <w:gridSpan w:val="3"/>
        </w:tcPr>
        <w:p w14:paraId="40EDD234" w14:textId="77777777" w:rsidR="00231F31" w:rsidRDefault="00231F31" w:rsidP="00E041FE">
          <w:pPr>
            <w:pStyle w:val="Encabezado"/>
            <w:ind w:left="1064"/>
            <w:rPr>
              <w:noProof/>
              <w:sz w:val="16"/>
            </w:rPr>
          </w:pPr>
        </w:p>
      </w:tc>
      <w:tc>
        <w:tcPr>
          <w:tcW w:w="3472" w:type="dxa"/>
        </w:tcPr>
        <w:p w14:paraId="09BC9D93" w14:textId="77777777" w:rsidR="00231F31" w:rsidRDefault="00231F31" w:rsidP="00E041FE">
          <w:pPr>
            <w:pStyle w:val="Encabezado"/>
            <w:ind w:left="-70"/>
            <w:rPr>
              <w:noProof/>
              <w:sz w:val="18"/>
            </w:rPr>
          </w:pPr>
        </w:p>
      </w:tc>
    </w:tr>
    <w:tr w:rsidR="00693004" w14:paraId="7C7335AC" w14:textId="77777777" w:rsidTr="00693004">
      <w:trPr>
        <w:gridAfter w:val="2"/>
        <w:wAfter w:w="4536" w:type="dxa"/>
      </w:trPr>
      <w:tc>
        <w:tcPr>
          <w:tcW w:w="6591" w:type="dxa"/>
        </w:tcPr>
        <w:p w14:paraId="216B2B3D" w14:textId="77777777" w:rsidR="00693004" w:rsidRDefault="00693004" w:rsidP="00693004">
          <w:pPr>
            <w:pStyle w:val="Encabezado"/>
            <w:ind w:left="74"/>
            <w:rPr>
              <w:noProof/>
              <w:sz w:val="16"/>
            </w:rPr>
          </w:pPr>
          <w:r>
            <w:rPr>
              <w:noProof/>
              <w:sz w:val="16"/>
            </w:rPr>
            <w:object w:dxaOrig="3301" w:dyaOrig="1126" w14:anchorId="6F1479D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165.75pt;height:56.4pt" fillcolor="window">
                <v:imagedata r:id="rId1" o:title=""/>
              </v:shape>
              <o:OLEObject Type="Embed" ProgID="Word.Picture.8" ShapeID="_x0000_i1031" DrawAspect="Content" ObjectID="_1719042441" r:id="rId2"/>
            </w:object>
          </w:r>
        </w:p>
        <w:p w14:paraId="27667870" w14:textId="77777777" w:rsidR="00693004" w:rsidRDefault="00693004" w:rsidP="00693004">
          <w:pPr>
            <w:pStyle w:val="Encabezado"/>
            <w:ind w:left="1064"/>
            <w:rPr>
              <w:noProof/>
              <w:sz w:val="16"/>
            </w:rPr>
          </w:pPr>
        </w:p>
      </w:tc>
      <w:tc>
        <w:tcPr>
          <w:tcW w:w="2551" w:type="dxa"/>
        </w:tcPr>
        <w:p w14:paraId="212719C9" w14:textId="77777777" w:rsidR="00693004" w:rsidRPr="00A57E5E" w:rsidRDefault="00693004" w:rsidP="00693004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 xml:space="preserve">Finantza eta </w:t>
          </w:r>
        </w:p>
        <w:p w14:paraId="7414F73A" w14:textId="77777777" w:rsidR="00693004" w:rsidRPr="00A57E5E" w:rsidRDefault="00693004" w:rsidP="00693004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>Aurrekontu Zuzendaritza</w:t>
          </w:r>
        </w:p>
        <w:p w14:paraId="635D69A6" w14:textId="77777777" w:rsidR="00693004" w:rsidRPr="00A57E5E" w:rsidRDefault="00693004" w:rsidP="00693004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 xml:space="preserve">Dirección de Finanzas y </w:t>
          </w:r>
        </w:p>
        <w:p w14:paraId="11AAEFA2" w14:textId="77777777" w:rsidR="00693004" w:rsidRPr="00A57E5E" w:rsidRDefault="00693004" w:rsidP="00693004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>Presupuestos</w:t>
          </w:r>
        </w:p>
        <w:p w14:paraId="65B7C3A9" w14:textId="77777777" w:rsidR="00693004" w:rsidRPr="00A57E5E" w:rsidRDefault="00693004" w:rsidP="00693004">
          <w:pPr>
            <w:pStyle w:val="Encabezado"/>
            <w:spacing w:line="240" w:lineRule="exact"/>
            <w:ind w:left="-68"/>
            <w:rPr>
              <w:rFonts w:ascii="Arial" w:hAnsi="Arial" w:cs="Arial"/>
              <w:noProof/>
              <w:sz w:val="16"/>
            </w:rPr>
          </w:pPr>
          <w:r w:rsidRPr="00A57E5E">
            <w:rPr>
              <w:rFonts w:ascii="Arial" w:hAnsi="Arial" w:cs="Arial"/>
              <w:noProof/>
              <w:sz w:val="16"/>
            </w:rPr>
            <w:t>Kontabilitate Zerbitzua</w:t>
          </w:r>
        </w:p>
        <w:p w14:paraId="55DA11DF" w14:textId="77777777" w:rsidR="00693004" w:rsidRPr="00A57E5E" w:rsidRDefault="00693004" w:rsidP="00693004">
          <w:pPr>
            <w:pStyle w:val="Encabezado"/>
            <w:ind w:left="-70"/>
            <w:rPr>
              <w:rFonts w:ascii="Arial" w:hAnsi="Arial" w:cs="Arial"/>
              <w:noProof/>
              <w:sz w:val="16"/>
            </w:rPr>
          </w:pPr>
          <w:r w:rsidRPr="00A57E5E">
            <w:rPr>
              <w:rFonts w:ascii="Arial" w:hAnsi="Arial" w:cs="Arial"/>
              <w:noProof/>
              <w:sz w:val="16"/>
            </w:rPr>
            <w:t>Servicio de Contabilidad</w:t>
          </w:r>
        </w:p>
        <w:p w14:paraId="29EC6BEF" w14:textId="77777777" w:rsidR="00693004" w:rsidRDefault="00693004" w:rsidP="00693004">
          <w:pPr>
            <w:pStyle w:val="Encabezado"/>
            <w:ind w:left="-70"/>
            <w:rPr>
              <w:noProof/>
              <w:sz w:val="16"/>
            </w:rPr>
          </w:pPr>
        </w:p>
        <w:p w14:paraId="6DF57415" w14:textId="77777777" w:rsidR="00693004" w:rsidRDefault="00693004" w:rsidP="00693004">
          <w:pPr>
            <w:pStyle w:val="Encabezado"/>
            <w:ind w:left="-70"/>
            <w:rPr>
              <w:noProof/>
              <w:sz w:val="18"/>
            </w:rPr>
          </w:pPr>
        </w:p>
      </w:tc>
    </w:tr>
  </w:tbl>
  <w:p w14:paraId="6ADF04FD" w14:textId="77777777" w:rsidR="00693004" w:rsidRDefault="00CA59CF" w:rsidP="00693004">
    <w:pPr>
      <w:pStyle w:val="Encabezado"/>
    </w:pPr>
    <w:r>
      <w:pict w14:anchorId="7F9414C2">
        <v:shape id="_x0000_i1032" type="#_x0000_t75" style="width:567pt;height:7.1pt;mso-position-horizontal:absolute" o:hrpct="0" o:hralign="center" o:hr="t">
          <v:imagedata r:id="rId3" o:title="BD10290_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9070"/>
    </w:tblGrid>
    <w:tr w:rsidR="00693004" w:rsidRPr="002C5A81" w14:paraId="3827E480" w14:textId="77777777" w:rsidTr="00BE2406">
      <w:tc>
        <w:tcPr>
          <w:tcW w:w="9210" w:type="dxa"/>
          <w:shd w:val="clear" w:color="auto" w:fill="auto"/>
        </w:tcPr>
        <w:p w14:paraId="08CF4158" w14:textId="77777777" w:rsidR="00693004" w:rsidRPr="001149EF" w:rsidRDefault="00693004" w:rsidP="00693004">
          <w:pPr>
            <w:ind w:left="170"/>
            <w:jc w:val="both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1149EF">
            <w:rPr>
              <w:rFonts w:asciiTheme="minorHAnsi" w:hAnsiTheme="minorHAnsi" w:cstheme="minorHAnsi"/>
              <w:b/>
              <w:sz w:val="24"/>
              <w:szCs w:val="24"/>
            </w:rPr>
            <w:t>AURREKONTU EGONKORTASUNAREN ETA FINANTZA IRAUNKORTASUNAREN 20</w:t>
          </w:r>
          <w:r>
            <w:rPr>
              <w:rFonts w:asciiTheme="minorHAnsi" w:hAnsiTheme="minorHAnsi" w:cstheme="minorHAnsi"/>
              <w:b/>
              <w:sz w:val="24"/>
              <w:szCs w:val="24"/>
            </w:rPr>
            <w:t>21EK</w:t>
          </w:r>
          <w:r w:rsidRPr="001149EF">
            <w:rPr>
              <w:rFonts w:asciiTheme="minorHAnsi" w:hAnsiTheme="minorHAnsi" w:cstheme="minorHAnsi"/>
              <w:b/>
              <w:sz w:val="24"/>
              <w:szCs w:val="24"/>
            </w:rPr>
            <w:t xml:space="preserve">O TXOSTENA / </w:t>
          </w:r>
        </w:p>
        <w:p w14:paraId="120A81F2" w14:textId="77777777" w:rsidR="00693004" w:rsidRPr="001149EF" w:rsidRDefault="00693004" w:rsidP="00693004">
          <w:pPr>
            <w:ind w:left="170"/>
            <w:jc w:val="both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1149EF">
            <w:rPr>
              <w:rFonts w:asciiTheme="minorHAnsi" w:hAnsiTheme="minorHAnsi" w:cstheme="minorHAnsi"/>
              <w:b/>
              <w:sz w:val="24"/>
              <w:szCs w:val="24"/>
            </w:rPr>
            <w:t>INFORME DE ESTABILIDAD PRESUPUESTARIA Y SOSTENIBILIDAD FINANCIERA – 20</w:t>
          </w:r>
          <w:r>
            <w:rPr>
              <w:rFonts w:asciiTheme="minorHAnsi" w:hAnsiTheme="minorHAnsi" w:cstheme="minorHAnsi"/>
              <w:b/>
              <w:sz w:val="24"/>
              <w:szCs w:val="24"/>
            </w:rPr>
            <w:t>21</w:t>
          </w:r>
        </w:p>
      </w:tc>
    </w:tr>
  </w:tbl>
  <w:p w14:paraId="6D75D631" w14:textId="77777777" w:rsidR="00693004" w:rsidRDefault="00CA59CF" w:rsidP="00693004">
    <w:pPr>
      <w:pStyle w:val="Encabezado"/>
      <w:spacing w:before="120" w:after="120"/>
    </w:pPr>
    <w:r>
      <w:pict w14:anchorId="6EED51E2">
        <v:shape id="_x0000_i1033" type="#_x0000_t75" style="width:567pt;height:7.1pt;mso-position-horizontal:absolute" o:hrpct="0" o:hralign="center" o:hr="t">
          <v:imagedata r:id="rId3" o:title="BD10290_"/>
        </v:shape>
      </w:pict>
    </w:r>
  </w:p>
  <w:p w14:paraId="4B44A856" w14:textId="22822308" w:rsidR="00231F31" w:rsidRDefault="00231F31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91"/>
      <w:gridCol w:w="2551"/>
    </w:tblGrid>
    <w:tr w:rsidR="00231F31" w14:paraId="60FDAFD4" w14:textId="77777777" w:rsidTr="009B0DF3">
      <w:tc>
        <w:tcPr>
          <w:tcW w:w="6591" w:type="dxa"/>
        </w:tcPr>
        <w:p w14:paraId="645F3FB5" w14:textId="77777777" w:rsidR="00231F31" w:rsidRDefault="00231F31" w:rsidP="009B0DF3">
          <w:pPr>
            <w:pStyle w:val="Encabezado"/>
            <w:ind w:left="74"/>
            <w:rPr>
              <w:noProof/>
              <w:sz w:val="16"/>
            </w:rPr>
          </w:pPr>
          <w:r>
            <w:rPr>
              <w:noProof/>
              <w:sz w:val="16"/>
            </w:rPr>
            <w:object w:dxaOrig="3301" w:dyaOrig="1126" w14:anchorId="1949380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4" type="#_x0000_t75" style="width:165.75pt;height:56.4pt" fillcolor="window">
                <v:imagedata r:id="rId1" o:title=""/>
              </v:shape>
              <o:OLEObject Type="Embed" ProgID="Word.Picture.8" ShapeID="_x0000_i1034" DrawAspect="Content" ObjectID="_1719042442" r:id="rId2"/>
            </w:object>
          </w:r>
        </w:p>
        <w:p w14:paraId="351BED27" w14:textId="77777777" w:rsidR="00231F31" w:rsidRDefault="00231F31" w:rsidP="009B0DF3">
          <w:pPr>
            <w:pStyle w:val="Encabezado"/>
            <w:ind w:left="1064"/>
            <w:rPr>
              <w:noProof/>
              <w:sz w:val="16"/>
            </w:rPr>
          </w:pPr>
        </w:p>
      </w:tc>
      <w:tc>
        <w:tcPr>
          <w:tcW w:w="2551" w:type="dxa"/>
        </w:tcPr>
        <w:p w14:paraId="0B65C850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 xml:space="preserve">Finantza eta </w:t>
          </w:r>
        </w:p>
        <w:p w14:paraId="5AC2620E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>Aurrekontu Zuzendaritza</w:t>
          </w:r>
        </w:p>
        <w:p w14:paraId="6E388761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 xml:space="preserve">Dirección de Finanzas y </w:t>
          </w:r>
        </w:p>
        <w:p w14:paraId="09AE7B58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>Presupuestos</w:t>
          </w:r>
        </w:p>
        <w:p w14:paraId="05BE900D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noProof/>
              <w:sz w:val="16"/>
            </w:rPr>
          </w:pPr>
          <w:r w:rsidRPr="00A57E5E">
            <w:rPr>
              <w:rFonts w:ascii="Arial" w:hAnsi="Arial" w:cs="Arial"/>
              <w:noProof/>
              <w:sz w:val="16"/>
            </w:rPr>
            <w:t>Kontabilitate Zerbitzua</w:t>
          </w:r>
        </w:p>
        <w:p w14:paraId="7AA8F539" w14:textId="77777777" w:rsidR="00231F31" w:rsidRPr="00A57E5E" w:rsidRDefault="00231F31" w:rsidP="009B0DF3">
          <w:pPr>
            <w:pStyle w:val="Encabezado"/>
            <w:ind w:left="-70"/>
            <w:rPr>
              <w:rFonts w:ascii="Arial" w:hAnsi="Arial" w:cs="Arial"/>
              <w:noProof/>
              <w:sz w:val="16"/>
            </w:rPr>
          </w:pPr>
          <w:r w:rsidRPr="00A57E5E">
            <w:rPr>
              <w:rFonts w:ascii="Arial" w:hAnsi="Arial" w:cs="Arial"/>
              <w:noProof/>
              <w:sz w:val="16"/>
            </w:rPr>
            <w:t>Servicio de Contabilidad</w:t>
          </w:r>
        </w:p>
        <w:p w14:paraId="3ED475E1" w14:textId="77777777" w:rsidR="00231F31" w:rsidRDefault="00231F31" w:rsidP="009B0DF3">
          <w:pPr>
            <w:pStyle w:val="Encabezado"/>
            <w:ind w:left="-70"/>
            <w:rPr>
              <w:noProof/>
              <w:sz w:val="16"/>
            </w:rPr>
          </w:pPr>
        </w:p>
        <w:p w14:paraId="77BB2169" w14:textId="77777777" w:rsidR="00231F31" w:rsidRDefault="00231F31" w:rsidP="009B0DF3">
          <w:pPr>
            <w:pStyle w:val="Encabezado"/>
            <w:ind w:left="-70"/>
            <w:rPr>
              <w:noProof/>
              <w:sz w:val="18"/>
            </w:rPr>
          </w:pPr>
        </w:p>
      </w:tc>
    </w:tr>
  </w:tbl>
  <w:p w14:paraId="7F4F4D6D" w14:textId="77777777" w:rsidR="00231F31" w:rsidRDefault="00CA59CF" w:rsidP="002C4DDC">
    <w:pPr>
      <w:pStyle w:val="Encabezado"/>
    </w:pPr>
    <w:r>
      <w:pict w14:anchorId="28F77036">
        <v:shape id="_x0000_i1035" type="#_x0000_t75" style="width:567pt;height:7.1pt;mso-position-horizontal:absolute" o:hrpct="0" o:hralign="center" o:hr="t">
          <v:imagedata r:id="rId3" o:title="BD10290_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9070"/>
    </w:tblGrid>
    <w:tr w:rsidR="00231F31" w:rsidRPr="002C5A81" w14:paraId="4AE6573D" w14:textId="77777777" w:rsidTr="005133A3">
      <w:tc>
        <w:tcPr>
          <w:tcW w:w="9210" w:type="dxa"/>
          <w:shd w:val="clear" w:color="auto" w:fill="auto"/>
        </w:tcPr>
        <w:p w14:paraId="205A40A4" w14:textId="7F94ABEB" w:rsidR="00231F31" w:rsidRPr="00FE0D4F" w:rsidRDefault="00231F31" w:rsidP="00492A0B">
          <w:pPr>
            <w:ind w:left="170"/>
            <w:jc w:val="both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FE0D4F">
            <w:rPr>
              <w:rFonts w:asciiTheme="minorHAnsi" w:hAnsiTheme="minorHAnsi" w:cstheme="minorHAnsi"/>
              <w:b/>
              <w:sz w:val="24"/>
              <w:szCs w:val="24"/>
            </w:rPr>
            <w:t>AURREKONTU EGONKORTASUNAREN ETA FINANTZA IRAUNKORTASUNAREN 20</w:t>
          </w:r>
          <w:r w:rsidR="00AB0C97">
            <w:rPr>
              <w:rFonts w:asciiTheme="minorHAnsi" w:hAnsiTheme="minorHAnsi" w:cstheme="minorHAnsi"/>
              <w:b/>
              <w:sz w:val="24"/>
              <w:szCs w:val="24"/>
            </w:rPr>
            <w:t>21</w:t>
          </w:r>
          <w:r w:rsidRPr="00FE0D4F">
            <w:rPr>
              <w:rFonts w:asciiTheme="minorHAnsi" w:hAnsiTheme="minorHAnsi" w:cstheme="minorHAnsi"/>
              <w:b/>
              <w:sz w:val="24"/>
              <w:szCs w:val="24"/>
            </w:rPr>
            <w:t xml:space="preserve">KO TXOSTENA / </w:t>
          </w:r>
        </w:p>
        <w:p w14:paraId="416E98BD" w14:textId="2D8BD709" w:rsidR="00231F31" w:rsidRPr="005133A3" w:rsidRDefault="00231F31" w:rsidP="00231F31">
          <w:pPr>
            <w:ind w:left="170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FE0D4F">
            <w:rPr>
              <w:rFonts w:asciiTheme="minorHAnsi" w:hAnsiTheme="minorHAnsi" w:cstheme="minorHAnsi"/>
              <w:b/>
              <w:sz w:val="24"/>
              <w:szCs w:val="24"/>
            </w:rPr>
            <w:t>INFORME DE ESTABILIDAD PRESUPUESTARIA Y SOSTENIBILIDAD FINANCIERA - 20</w:t>
          </w:r>
          <w:r w:rsidR="00AB0C97">
            <w:rPr>
              <w:rFonts w:asciiTheme="minorHAnsi" w:hAnsiTheme="minorHAnsi" w:cstheme="minorHAnsi"/>
              <w:b/>
              <w:sz w:val="24"/>
              <w:szCs w:val="24"/>
            </w:rPr>
            <w:t>21</w:t>
          </w:r>
        </w:p>
      </w:tc>
    </w:tr>
  </w:tbl>
  <w:p w14:paraId="01AD8B11" w14:textId="77777777" w:rsidR="00231F31" w:rsidRDefault="00CA59CF" w:rsidP="0020017B">
    <w:pPr>
      <w:pStyle w:val="Encabezado"/>
      <w:spacing w:before="120" w:after="120"/>
    </w:pPr>
    <w:r>
      <w:pict w14:anchorId="37989146">
        <v:shape id="_x0000_i1036" type="#_x0000_t75" style="width:567pt;height:7.1pt;mso-position-horizontal:absolute" o:hrpct="0" o:hralign="center" o:hr="t">
          <v:imagedata r:id="rId3" o:title="BD10290_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6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85"/>
      <w:gridCol w:w="2693"/>
    </w:tblGrid>
    <w:tr w:rsidR="00231F31" w14:paraId="66C8EF6C" w14:textId="77777777" w:rsidTr="00451A5F">
      <w:tc>
        <w:tcPr>
          <w:tcW w:w="10985" w:type="dxa"/>
        </w:tcPr>
        <w:p w14:paraId="58EDBE36" w14:textId="77777777" w:rsidR="00231F31" w:rsidRDefault="00231F31" w:rsidP="009B0DF3">
          <w:pPr>
            <w:pStyle w:val="Encabezado"/>
            <w:ind w:left="74"/>
            <w:rPr>
              <w:noProof/>
              <w:sz w:val="16"/>
            </w:rPr>
          </w:pPr>
          <w:r>
            <w:rPr>
              <w:noProof/>
              <w:sz w:val="16"/>
            </w:rPr>
            <w:object w:dxaOrig="3301" w:dyaOrig="1126" w14:anchorId="7309F3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7" type="#_x0000_t75" style="width:165.75pt;height:56.4pt" fillcolor="window">
                <v:imagedata r:id="rId1" o:title=""/>
              </v:shape>
              <o:OLEObject Type="Embed" ProgID="Word.Picture.8" ShapeID="_x0000_i1037" DrawAspect="Content" ObjectID="_1719042443" r:id="rId2"/>
            </w:object>
          </w:r>
        </w:p>
        <w:p w14:paraId="33A709E4" w14:textId="77777777" w:rsidR="00231F31" w:rsidRDefault="00231F31" w:rsidP="009B0DF3">
          <w:pPr>
            <w:pStyle w:val="Encabezado"/>
            <w:ind w:left="1064"/>
            <w:rPr>
              <w:noProof/>
              <w:sz w:val="16"/>
            </w:rPr>
          </w:pPr>
        </w:p>
      </w:tc>
      <w:tc>
        <w:tcPr>
          <w:tcW w:w="2693" w:type="dxa"/>
        </w:tcPr>
        <w:p w14:paraId="2A33355D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 xml:space="preserve">Finantza eta </w:t>
          </w:r>
        </w:p>
        <w:p w14:paraId="0992F9D8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>Aurrekontu Zuzendaritza</w:t>
          </w:r>
        </w:p>
        <w:p w14:paraId="66878AC4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 xml:space="preserve">Dirección de Finanzas y </w:t>
          </w:r>
        </w:p>
        <w:p w14:paraId="78E35CFD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>Presupuestos</w:t>
          </w:r>
        </w:p>
        <w:p w14:paraId="4573434E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noProof/>
              <w:sz w:val="16"/>
            </w:rPr>
          </w:pPr>
          <w:r w:rsidRPr="00A57E5E">
            <w:rPr>
              <w:rFonts w:ascii="Arial" w:hAnsi="Arial" w:cs="Arial"/>
              <w:noProof/>
              <w:sz w:val="16"/>
            </w:rPr>
            <w:t>Kontabilitate Zerbitzua</w:t>
          </w:r>
        </w:p>
        <w:p w14:paraId="71E9E8AA" w14:textId="77777777" w:rsidR="00231F31" w:rsidRPr="00A57E5E" w:rsidRDefault="00231F31" w:rsidP="009B0DF3">
          <w:pPr>
            <w:pStyle w:val="Encabezado"/>
            <w:ind w:left="-70"/>
            <w:rPr>
              <w:rFonts w:ascii="Arial" w:hAnsi="Arial" w:cs="Arial"/>
              <w:noProof/>
              <w:sz w:val="16"/>
            </w:rPr>
          </w:pPr>
          <w:r w:rsidRPr="00A57E5E">
            <w:rPr>
              <w:rFonts w:ascii="Arial" w:hAnsi="Arial" w:cs="Arial"/>
              <w:noProof/>
              <w:sz w:val="16"/>
            </w:rPr>
            <w:t>Servicio de Contabilidad</w:t>
          </w:r>
        </w:p>
        <w:p w14:paraId="358FC016" w14:textId="77777777" w:rsidR="00231F31" w:rsidRDefault="00231F31" w:rsidP="009B0DF3">
          <w:pPr>
            <w:pStyle w:val="Encabezado"/>
            <w:ind w:left="-70"/>
            <w:rPr>
              <w:noProof/>
              <w:sz w:val="18"/>
            </w:rPr>
          </w:pPr>
        </w:p>
      </w:tc>
    </w:tr>
  </w:tbl>
  <w:p w14:paraId="4595DD7F" w14:textId="77777777" w:rsidR="00231F31" w:rsidRDefault="00CA59CF" w:rsidP="00482817">
    <w:pPr>
      <w:pStyle w:val="Encabezado"/>
    </w:pPr>
    <w:r>
      <w:pict w14:anchorId="5FC05A5A">
        <v:shape id="_x0000_i1038" type="#_x0000_t75" style="width:680.4pt;height:7.1pt" o:hrpct="0" o:hr="t">
          <v:imagedata r:id="rId3" o:title="BD10290_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13716"/>
    </w:tblGrid>
    <w:tr w:rsidR="00231F31" w:rsidRPr="002C5A81" w14:paraId="4C5C53D3" w14:textId="77777777" w:rsidTr="005133A3">
      <w:tc>
        <w:tcPr>
          <w:tcW w:w="13716" w:type="dxa"/>
          <w:shd w:val="clear" w:color="auto" w:fill="auto"/>
        </w:tcPr>
        <w:p w14:paraId="215F341F" w14:textId="4609F17F" w:rsidR="00231F31" w:rsidRPr="00FE0D4F" w:rsidRDefault="00231F31" w:rsidP="00501773">
          <w:pPr>
            <w:ind w:left="170"/>
            <w:jc w:val="both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FE0D4F">
            <w:rPr>
              <w:rFonts w:asciiTheme="minorHAnsi" w:hAnsiTheme="minorHAnsi" w:cstheme="minorHAnsi"/>
              <w:b/>
              <w:sz w:val="24"/>
              <w:szCs w:val="24"/>
            </w:rPr>
            <w:t>AURREKONTU EGONKORTASUNAREN ETA FINANTZA IRAUNKORTASUNAREN 20</w:t>
          </w:r>
          <w:r w:rsidR="003218D4">
            <w:rPr>
              <w:rFonts w:asciiTheme="minorHAnsi" w:hAnsiTheme="minorHAnsi" w:cstheme="minorHAnsi"/>
              <w:b/>
              <w:sz w:val="24"/>
              <w:szCs w:val="24"/>
            </w:rPr>
            <w:t>21E</w:t>
          </w:r>
          <w:r w:rsidRPr="00FE0D4F">
            <w:rPr>
              <w:rFonts w:asciiTheme="minorHAnsi" w:hAnsiTheme="minorHAnsi" w:cstheme="minorHAnsi"/>
              <w:b/>
              <w:sz w:val="24"/>
              <w:szCs w:val="24"/>
            </w:rPr>
            <w:t xml:space="preserve">KO TXOSTENA / </w:t>
          </w:r>
        </w:p>
        <w:p w14:paraId="5C5F3AB7" w14:textId="731834DC" w:rsidR="00231F31" w:rsidRPr="005133A3" w:rsidRDefault="00231F31" w:rsidP="00231F31">
          <w:pPr>
            <w:spacing w:after="140"/>
            <w:ind w:left="170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FE0D4F">
            <w:rPr>
              <w:rFonts w:asciiTheme="minorHAnsi" w:hAnsiTheme="minorHAnsi" w:cstheme="minorHAnsi"/>
              <w:b/>
              <w:sz w:val="24"/>
              <w:szCs w:val="24"/>
            </w:rPr>
            <w:t>INFORME DE ESTABILIDAD PRESUPUESTARIA Y SOSTENIBILIDAD FINANCIERA - 20</w:t>
          </w:r>
          <w:r w:rsidR="003218D4">
            <w:rPr>
              <w:rFonts w:asciiTheme="minorHAnsi" w:hAnsiTheme="minorHAnsi" w:cstheme="minorHAnsi"/>
              <w:b/>
              <w:sz w:val="24"/>
              <w:szCs w:val="24"/>
            </w:rPr>
            <w:t>21</w:t>
          </w:r>
        </w:p>
      </w:tc>
    </w:tr>
  </w:tbl>
  <w:p w14:paraId="0D089B39" w14:textId="77777777" w:rsidR="00231F31" w:rsidRDefault="00CA59CF">
    <w:pPr>
      <w:pStyle w:val="Encabezado"/>
    </w:pPr>
    <w:r>
      <w:pict w14:anchorId="71571F29">
        <v:shape id="_x0000_i1039" type="#_x0000_t75" style="width:680.4pt;height:7.1pt" o:hrpct="0" o:hr="t">
          <v:imagedata r:id="rId3" o:title="BD10290_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6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85"/>
      <w:gridCol w:w="2693"/>
    </w:tblGrid>
    <w:tr w:rsidR="00231F31" w14:paraId="5E087FC9" w14:textId="77777777" w:rsidTr="00451A5F">
      <w:tc>
        <w:tcPr>
          <w:tcW w:w="10985" w:type="dxa"/>
        </w:tcPr>
        <w:p w14:paraId="56AE3909" w14:textId="77777777" w:rsidR="00231F31" w:rsidRDefault="00231F31" w:rsidP="009B0DF3">
          <w:pPr>
            <w:pStyle w:val="Encabezado"/>
            <w:ind w:left="74"/>
            <w:rPr>
              <w:noProof/>
              <w:sz w:val="16"/>
            </w:rPr>
          </w:pPr>
          <w:r>
            <w:rPr>
              <w:noProof/>
              <w:sz w:val="16"/>
            </w:rPr>
            <w:object w:dxaOrig="3301" w:dyaOrig="1126" w14:anchorId="36535A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0" type="#_x0000_t75" style="width:165.75pt;height:56.4pt" fillcolor="window">
                <v:imagedata r:id="rId1" o:title=""/>
              </v:shape>
              <o:OLEObject Type="Embed" ProgID="Word.Picture.8" ShapeID="_x0000_i1040" DrawAspect="Content" ObjectID="_1719042444" r:id="rId2"/>
            </w:object>
          </w:r>
        </w:p>
        <w:p w14:paraId="74CEED80" w14:textId="77777777" w:rsidR="00231F31" w:rsidRDefault="00231F31" w:rsidP="009B0DF3">
          <w:pPr>
            <w:pStyle w:val="Encabezado"/>
            <w:ind w:left="1064"/>
            <w:rPr>
              <w:noProof/>
              <w:sz w:val="16"/>
            </w:rPr>
          </w:pPr>
        </w:p>
      </w:tc>
      <w:tc>
        <w:tcPr>
          <w:tcW w:w="2693" w:type="dxa"/>
        </w:tcPr>
        <w:p w14:paraId="417A4288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 xml:space="preserve">Finantza eta </w:t>
          </w:r>
        </w:p>
        <w:p w14:paraId="0A573F24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>Aurrekontu Zuzendaritza</w:t>
          </w:r>
        </w:p>
        <w:p w14:paraId="501DF27D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 xml:space="preserve">Dirección de Finanzas y </w:t>
          </w:r>
        </w:p>
        <w:p w14:paraId="27EC77E8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>Presupuestos</w:t>
          </w:r>
        </w:p>
        <w:p w14:paraId="35C0D899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noProof/>
              <w:sz w:val="16"/>
            </w:rPr>
          </w:pPr>
          <w:r w:rsidRPr="00A57E5E">
            <w:rPr>
              <w:rFonts w:ascii="Arial" w:hAnsi="Arial" w:cs="Arial"/>
              <w:noProof/>
              <w:sz w:val="16"/>
            </w:rPr>
            <w:t>Kontabilitate Zerbitzua</w:t>
          </w:r>
        </w:p>
        <w:p w14:paraId="42422CD7" w14:textId="77777777" w:rsidR="00231F31" w:rsidRPr="00A57E5E" w:rsidRDefault="00231F31" w:rsidP="009B0DF3">
          <w:pPr>
            <w:pStyle w:val="Encabezado"/>
            <w:ind w:left="-70"/>
            <w:rPr>
              <w:rFonts w:ascii="Arial" w:hAnsi="Arial" w:cs="Arial"/>
              <w:noProof/>
              <w:sz w:val="16"/>
            </w:rPr>
          </w:pPr>
          <w:r w:rsidRPr="00A57E5E">
            <w:rPr>
              <w:rFonts w:ascii="Arial" w:hAnsi="Arial" w:cs="Arial"/>
              <w:noProof/>
              <w:sz w:val="16"/>
            </w:rPr>
            <w:t>Servicio de Contabilidad</w:t>
          </w:r>
        </w:p>
        <w:p w14:paraId="7FBF03FA" w14:textId="77777777" w:rsidR="00231F31" w:rsidRDefault="00231F31" w:rsidP="009B0DF3">
          <w:pPr>
            <w:pStyle w:val="Encabezado"/>
            <w:ind w:left="-70"/>
            <w:rPr>
              <w:noProof/>
              <w:sz w:val="18"/>
            </w:rPr>
          </w:pPr>
        </w:p>
      </w:tc>
    </w:tr>
  </w:tbl>
  <w:p w14:paraId="071B2681" w14:textId="77777777" w:rsidR="00231F31" w:rsidRDefault="00CA59CF" w:rsidP="002C4DDC">
    <w:pPr>
      <w:pStyle w:val="Encabezado"/>
    </w:pPr>
    <w:r>
      <w:pict w14:anchorId="36BF506C">
        <v:shape id="_x0000_i1041" type="#_x0000_t75" style="width:680.4pt;height:7.1pt" o:hrpct="0" o:hr="t">
          <v:imagedata r:id="rId3" o:title="BD10290_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13716"/>
    </w:tblGrid>
    <w:tr w:rsidR="00231F31" w:rsidRPr="002C5A81" w14:paraId="422123B1" w14:textId="77777777" w:rsidTr="005133A3">
      <w:tc>
        <w:tcPr>
          <w:tcW w:w="13716" w:type="dxa"/>
          <w:shd w:val="clear" w:color="auto" w:fill="auto"/>
        </w:tcPr>
        <w:p w14:paraId="37A0C63B" w14:textId="298099C4" w:rsidR="00231F31" w:rsidRPr="00FE0D4F" w:rsidRDefault="00231F31" w:rsidP="002F01D9">
          <w:pPr>
            <w:ind w:left="170"/>
            <w:jc w:val="both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FE0D4F">
            <w:rPr>
              <w:rFonts w:asciiTheme="minorHAnsi" w:hAnsiTheme="minorHAnsi" w:cstheme="minorHAnsi"/>
              <w:b/>
              <w:sz w:val="24"/>
              <w:szCs w:val="24"/>
            </w:rPr>
            <w:t>AURREKONTU EGONKORTASUNAREN ETA FINANTZA IRAUNKORTASUNAREN 20</w:t>
          </w:r>
          <w:r w:rsidR="00AB0C97">
            <w:rPr>
              <w:rFonts w:asciiTheme="minorHAnsi" w:hAnsiTheme="minorHAnsi" w:cstheme="minorHAnsi"/>
              <w:b/>
              <w:sz w:val="24"/>
              <w:szCs w:val="24"/>
            </w:rPr>
            <w:t>21E</w:t>
          </w:r>
          <w:r w:rsidRPr="00FE0D4F">
            <w:rPr>
              <w:rFonts w:asciiTheme="minorHAnsi" w:hAnsiTheme="minorHAnsi" w:cstheme="minorHAnsi"/>
              <w:b/>
              <w:sz w:val="24"/>
              <w:szCs w:val="24"/>
            </w:rPr>
            <w:t xml:space="preserve">KO TXOSTENA / </w:t>
          </w:r>
        </w:p>
        <w:p w14:paraId="2DE19515" w14:textId="38EBB31B" w:rsidR="00231F31" w:rsidRPr="005133A3" w:rsidRDefault="00231F31" w:rsidP="00231F31">
          <w:pPr>
            <w:spacing w:after="140"/>
            <w:ind w:left="170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FE0D4F">
            <w:rPr>
              <w:rFonts w:asciiTheme="minorHAnsi" w:hAnsiTheme="minorHAnsi" w:cstheme="minorHAnsi"/>
              <w:b/>
              <w:sz w:val="24"/>
              <w:szCs w:val="24"/>
            </w:rPr>
            <w:t xml:space="preserve">INFORME DE ESTABILIDAD PRESUPUESTARIA Y SOSTENIBILIDAD FINANCIERA </w:t>
          </w:r>
          <w:r w:rsidR="00AB0C97">
            <w:rPr>
              <w:rFonts w:asciiTheme="minorHAnsi" w:hAnsiTheme="minorHAnsi" w:cstheme="minorHAnsi"/>
              <w:b/>
              <w:sz w:val="24"/>
              <w:szCs w:val="24"/>
            </w:rPr>
            <w:t>–</w:t>
          </w:r>
          <w:r w:rsidRPr="00FE0D4F">
            <w:rPr>
              <w:rFonts w:asciiTheme="minorHAnsi" w:hAnsiTheme="minorHAnsi" w:cstheme="minorHAnsi"/>
              <w:b/>
              <w:sz w:val="24"/>
              <w:szCs w:val="24"/>
            </w:rPr>
            <w:t xml:space="preserve"> 20</w:t>
          </w:r>
          <w:r w:rsidR="00AB0C97">
            <w:rPr>
              <w:rFonts w:asciiTheme="minorHAnsi" w:hAnsiTheme="minorHAnsi" w:cstheme="minorHAnsi"/>
              <w:b/>
              <w:sz w:val="24"/>
              <w:szCs w:val="24"/>
            </w:rPr>
            <w:t>21</w:t>
          </w:r>
        </w:p>
      </w:tc>
    </w:tr>
  </w:tbl>
  <w:p w14:paraId="0C6307B5" w14:textId="77777777" w:rsidR="00231F31" w:rsidRDefault="00CA59CF">
    <w:pPr>
      <w:pStyle w:val="Encabezado"/>
    </w:pPr>
    <w:r>
      <w:pict w14:anchorId="647D0B82">
        <v:shape id="_x0000_i1042" type="#_x0000_t75" style="width:680.4pt;height:7.1pt" o:hrpct="0" o:hr="t">
          <v:imagedata r:id="rId3" o:title="BD10290_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91"/>
      <w:gridCol w:w="2551"/>
    </w:tblGrid>
    <w:tr w:rsidR="00231F31" w14:paraId="152E3771" w14:textId="77777777" w:rsidTr="009B0DF3">
      <w:tc>
        <w:tcPr>
          <w:tcW w:w="6591" w:type="dxa"/>
        </w:tcPr>
        <w:p w14:paraId="72EA16A9" w14:textId="77777777" w:rsidR="00231F31" w:rsidRDefault="00231F31" w:rsidP="009B0DF3">
          <w:pPr>
            <w:pStyle w:val="Encabezado"/>
            <w:ind w:left="74"/>
            <w:rPr>
              <w:noProof/>
              <w:sz w:val="16"/>
            </w:rPr>
          </w:pPr>
          <w:r>
            <w:rPr>
              <w:noProof/>
              <w:sz w:val="16"/>
            </w:rPr>
            <w:object w:dxaOrig="3301" w:dyaOrig="1126" w14:anchorId="2C2F76F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3" type="#_x0000_t75" style="width:165.75pt;height:56.4pt" fillcolor="window">
                <v:imagedata r:id="rId1" o:title=""/>
              </v:shape>
              <o:OLEObject Type="Embed" ProgID="Word.Picture.8" ShapeID="_x0000_i1043" DrawAspect="Content" ObjectID="_1719042445" r:id="rId2"/>
            </w:object>
          </w:r>
        </w:p>
        <w:p w14:paraId="19744589" w14:textId="77777777" w:rsidR="00231F31" w:rsidRDefault="00231F31" w:rsidP="009B0DF3">
          <w:pPr>
            <w:pStyle w:val="Encabezado"/>
            <w:ind w:left="1064"/>
            <w:rPr>
              <w:noProof/>
              <w:sz w:val="16"/>
            </w:rPr>
          </w:pPr>
        </w:p>
      </w:tc>
      <w:tc>
        <w:tcPr>
          <w:tcW w:w="2551" w:type="dxa"/>
        </w:tcPr>
        <w:p w14:paraId="1C9C613A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 xml:space="preserve">Finantza eta </w:t>
          </w:r>
        </w:p>
        <w:p w14:paraId="364ABA59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>Aurrekontu Zuzendaritza</w:t>
          </w:r>
        </w:p>
        <w:p w14:paraId="6BDBBEB9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 xml:space="preserve">Dirección de Finanzas y </w:t>
          </w:r>
        </w:p>
        <w:p w14:paraId="6830A99A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>Presupuestos</w:t>
          </w:r>
        </w:p>
        <w:p w14:paraId="2DE77674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noProof/>
              <w:sz w:val="16"/>
            </w:rPr>
          </w:pPr>
          <w:r w:rsidRPr="00A57E5E">
            <w:rPr>
              <w:rFonts w:ascii="Arial" w:hAnsi="Arial" w:cs="Arial"/>
              <w:noProof/>
              <w:sz w:val="16"/>
            </w:rPr>
            <w:t>Kontabilitate Zerbitzua</w:t>
          </w:r>
        </w:p>
        <w:p w14:paraId="23B7FD22" w14:textId="77777777" w:rsidR="00231F31" w:rsidRPr="00A57E5E" w:rsidRDefault="00231F31" w:rsidP="009B0DF3">
          <w:pPr>
            <w:pStyle w:val="Encabezado"/>
            <w:ind w:left="-70"/>
            <w:rPr>
              <w:rFonts w:ascii="Arial" w:hAnsi="Arial" w:cs="Arial"/>
              <w:noProof/>
              <w:sz w:val="16"/>
            </w:rPr>
          </w:pPr>
          <w:r w:rsidRPr="00A57E5E">
            <w:rPr>
              <w:rFonts w:ascii="Arial" w:hAnsi="Arial" w:cs="Arial"/>
              <w:noProof/>
              <w:sz w:val="16"/>
            </w:rPr>
            <w:t>Servicio de Contabilidad</w:t>
          </w:r>
        </w:p>
        <w:p w14:paraId="6476D5A5" w14:textId="77777777" w:rsidR="00231F31" w:rsidRDefault="00231F31" w:rsidP="009B0DF3">
          <w:pPr>
            <w:pStyle w:val="Encabezado"/>
            <w:ind w:left="-70"/>
            <w:rPr>
              <w:noProof/>
              <w:sz w:val="16"/>
            </w:rPr>
          </w:pPr>
        </w:p>
        <w:p w14:paraId="3DEF020B" w14:textId="77777777" w:rsidR="00231F31" w:rsidRDefault="00231F31" w:rsidP="009B0DF3">
          <w:pPr>
            <w:pStyle w:val="Encabezado"/>
            <w:ind w:left="-70"/>
            <w:rPr>
              <w:noProof/>
              <w:sz w:val="18"/>
            </w:rPr>
          </w:pPr>
        </w:p>
      </w:tc>
    </w:tr>
  </w:tbl>
  <w:p w14:paraId="29119C8E" w14:textId="77777777" w:rsidR="00231F31" w:rsidRDefault="00CA59CF" w:rsidP="00357202">
    <w:pPr>
      <w:pStyle w:val="Encabezado"/>
    </w:pPr>
    <w:r>
      <w:pict w14:anchorId="33F46595">
        <v:shape id="_x0000_i1044" type="#_x0000_t75" style="width:453.6pt;height:7.1pt" o:hrpct="0" o:hr="t">
          <v:imagedata r:id="rId3" o:title="BD10290_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9070"/>
    </w:tblGrid>
    <w:tr w:rsidR="00231F31" w:rsidRPr="002C5A81" w14:paraId="65FBB499" w14:textId="77777777" w:rsidTr="005133A3">
      <w:tc>
        <w:tcPr>
          <w:tcW w:w="9210" w:type="dxa"/>
          <w:shd w:val="clear" w:color="auto" w:fill="auto"/>
        </w:tcPr>
        <w:p w14:paraId="23AFB766" w14:textId="65099417" w:rsidR="00231F31" w:rsidRPr="00F14225" w:rsidRDefault="00231F31" w:rsidP="009A525A">
          <w:pPr>
            <w:ind w:left="170"/>
            <w:jc w:val="both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F14225">
            <w:rPr>
              <w:rFonts w:asciiTheme="minorHAnsi" w:hAnsiTheme="minorHAnsi" w:cstheme="minorHAnsi"/>
              <w:b/>
              <w:sz w:val="24"/>
              <w:szCs w:val="24"/>
            </w:rPr>
            <w:t>AURREKONTU EGONKORTASUNAREN ETA FINANTZA IRAUNKORTASUNAREN 20</w:t>
          </w:r>
          <w:r w:rsidR="00DE5031">
            <w:rPr>
              <w:rFonts w:asciiTheme="minorHAnsi" w:hAnsiTheme="minorHAnsi" w:cstheme="minorHAnsi"/>
              <w:b/>
              <w:sz w:val="24"/>
              <w:szCs w:val="24"/>
            </w:rPr>
            <w:t>21E</w:t>
          </w:r>
          <w:r w:rsidRPr="00F14225">
            <w:rPr>
              <w:rFonts w:asciiTheme="minorHAnsi" w:hAnsiTheme="minorHAnsi" w:cstheme="minorHAnsi"/>
              <w:b/>
              <w:sz w:val="24"/>
              <w:szCs w:val="24"/>
            </w:rPr>
            <w:t xml:space="preserve">KO TXOSTENA / </w:t>
          </w:r>
        </w:p>
        <w:p w14:paraId="271B864B" w14:textId="73079967" w:rsidR="00231F31" w:rsidRPr="005133A3" w:rsidRDefault="00231F31" w:rsidP="009F45FD">
          <w:pPr>
            <w:spacing w:after="140"/>
            <w:ind w:left="170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F14225">
            <w:rPr>
              <w:rFonts w:asciiTheme="minorHAnsi" w:hAnsiTheme="minorHAnsi" w:cstheme="minorHAnsi"/>
              <w:b/>
              <w:sz w:val="24"/>
              <w:szCs w:val="24"/>
            </w:rPr>
            <w:t>INFORME DE ESTABILIDAD PRESUPUESTARIA Y SOSTENIBILIDAD FINANCIERA - 20</w:t>
          </w:r>
          <w:r w:rsidR="00DE5031">
            <w:rPr>
              <w:rFonts w:asciiTheme="minorHAnsi" w:hAnsiTheme="minorHAnsi" w:cstheme="minorHAnsi"/>
              <w:b/>
              <w:sz w:val="24"/>
              <w:szCs w:val="24"/>
            </w:rPr>
            <w:t>21</w:t>
          </w:r>
        </w:p>
      </w:tc>
    </w:tr>
  </w:tbl>
  <w:p w14:paraId="044C4B1F" w14:textId="77777777" w:rsidR="00231F31" w:rsidRDefault="00CA59CF">
    <w:pPr>
      <w:pStyle w:val="Encabezado"/>
    </w:pPr>
    <w:r>
      <w:pict w14:anchorId="41E9DC45">
        <v:shape id="_x0000_i1045" type="#_x0000_t75" style="width:453.6pt;height:7.1pt" o:hrpct="0" o:hr="t">
          <v:imagedata r:id="rId3" o:title="BD10290_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91"/>
      <w:gridCol w:w="2551"/>
    </w:tblGrid>
    <w:tr w:rsidR="00231F31" w14:paraId="5CC09945" w14:textId="77777777" w:rsidTr="009B0DF3">
      <w:tc>
        <w:tcPr>
          <w:tcW w:w="6591" w:type="dxa"/>
        </w:tcPr>
        <w:p w14:paraId="299E586C" w14:textId="77777777" w:rsidR="00231F31" w:rsidRDefault="00231F31" w:rsidP="009B0DF3">
          <w:pPr>
            <w:pStyle w:val="Encabezado"/>
            <w:ind w:left="74"/>
            <w:rPr>
              <w:noProof/>
              <w:sz w:val="16"/>
            </w:rPr>
          </w:pPr>
          <w:r>
            <w:rPr>
              <w:noProof/>
              <w:sz w:val="16"/>
            </w:rPr>
            <w:object w:dxaOrig="3301" w:dyaOrig="1126" w14:anchorId="43B426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6" type="#_x0000_t75" style="width:165.75pt;height:56.4pt" fillcolor="window">
                <v:imagedata r:id="rId1" o:title=""/>
              </v:shape>
              <o:OLEObject Type="Embed" ProgID="Word.Picture.8" ShapeID="_x0000_i1046" DrawAspect="Content" ObjectID="_1719042446" r:id="rId2"/>
            </w:object>
          </w:r>
        </w:p>
        <w:p w14:paraId="3AB2FA7B" w14:textId="77777777" w:rsidR="00231F31" w:rsidRDefault="00231F31" w:rsidP="009B0DF3">
          <w:pPr>
            <w:pStyle w:val="Encabezado"/>
            <w:ind w:left="1064"/>
            <w:rPr>
              <w:noProof/>
              <w:sz w:val="16"/>
            </w:rPr>
          </w:pPr>
        </w:p>
      </w:tc>
      <w:tc>
        <w:tcPr>
          <w:tcW w:w="2551" w:type="dxa"/>
        </w:tcPr>
        <w:p w14:paraId="7F4012F4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 xml:space="preserve">Finantza eta </w:t>
          </w:r>
        </w:p>
        <w:p w14:paraId="5824056A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>Aurrekontu Zuzendaritza</w:t>
          </w:r>
        </w:p>
        <w:p w14:paraId="78F08733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 xml:space="preserve">Dirección de Finanzas y </w:t>
          </w:r>
        </w:p>
        <w:p w14:paraId="3E7FAB9C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>Presupuestos</w:t>
          </w:r>
        </w:p>
        <w:p w14:paraId="42E751B8" w14:textId="77777777" w:rsidR="00231F31" w:rsidRPr="00A57E5E" w:rsidRDefault="00231F31" w:rsidP="009B0DF3">
          <w:pPr>
            <w:pStyle w:val="Encabezado"/>
            <w:spacing w:line="240" w:lineRule="exact"/>
            <w:ind w:left="-68"/>
            <w:rPr>
              <w:rFonts w:ascii="Arial" w:hAnsi="Arial" w:cs="Arial"/>
              <w:noProof/>
              <w:sz w:val="16"/>
            </w:rPr>
          </w:pPr>
          <w:r w:rsidRPr="00A57E5E">
            <w:rPr>
              <w:rFonts w:ascii="Arial" w:hAnsi="Arial" w:cs="Arial"/>
              <w:noProof/>
              <w:sz w:val="16"/>
            </w:rPr>
            <w:t>Kontabilitate Zerbitzua</w:t>
          </w:r>
        </w:p>
        <w:p w14:paraId="3F36D5B6" w14:textId="77777777" w:rsidR="00231F31" w:rsidRPr="00A57E5E" w:rsidRDefault="00231F31" w:rsidP="009B0DF3">
          <w:pPr>
            <w:pStyle w:val="Encabezado"/>
            <w:ind w:left="-70"/>
            <w:rPr>
              <w:rFonts w:ascii="Arial" w:hAnsi="Arial" w:cs="Arial"/>
              <w:noProof/>
              <w:sz w:val="16"/>
            </w:rPr>
          </w:pPr>
          <w:r w:rsidRPr="00A57E5E">
            <w:rPr>
              <w:rFonts w:ascii="Arial" w:hAnsi="Arial" w:cs="Arial"/>
              <w:noProof/>
              <w:sz w:val="16"/>
            </w:rPr>
            <w:t>Servicio de Contabilidad</w:t>
          </w:r>
        </w:p>
        <w:p w14:paraId="35B1871A" w14:textId="77777777" w:rsidR="00231F31" w:rsidRDefault="00231F31" w:rsidP="009B0DF3">
          <w:pPr>
            <w:pStyle w:val="Encabezado"/>
            <w:ind w:left="-70"/>
            <w:rPr>
              <w:noProof/>
              <w:sz w:val="16"/>
            </w:rPr>
          </w:pPr>
        </w:p>
        <w:p w14:paraId="7698BE11" w14:textId="77777777" w:rsidR="00231F31" w:rsidRDefault="00231F31" w:rsidP="009B0DF3">
          <w:pPr>
            <w:pStyle w:val="Encabezado"/>
            <w:ind w:left="-70"/>
            <w:rPr>
              <w:noProof/>
              <w:sz w:val="18"/>
            </w:rPr>
          </w:pPr>
        </w:p>
      </w:tc>
    </w:tr>
  </w:tbl>
  <w:p w14:paraId="63C4D916" w14:textId="77777777" w:rsidR="00231F31" w:rsidRDefault="00CA59CF" w:rsidP="00CB0FEF">
    <w:pPr>
      <w:pStyle w:val="Encabezado"/>
    </w:pPr>
    <w:r>
      <w:pict w14:anchorId="7132D187">
        <v:shape id="_x0000_i1047" type="#_x0000_t75" style="width:453.6pt;height:7.1pt" o:hrpct="0" o:hr="t">
          <v:imagedata r:id="rId3" o:title="BD10290_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9210"/>
    </w:tblGrid>
    <w:tr w:rsidR="00231F31" w:rsidRPr="002C5A81" w14:paraId="4E2A8D0A" w14:textId="77777777" w:rsidTr="005133A3">
      <w:tc>
        <w:tcPr>
          <w:tcW w:w="9210" w:type="dxa"/>
          <w:shd w:val="clear" w:color="auto" w:fill="auto"/>
        </w:tcPr>
        <w:p w14:paraId="11C905D9" w14:textId="24899E7A" w:rsidR="00231F31" w:rsidRPr="00240BAC" w:rsidRDefault="00231F31" w:rsidP="009A525A">
          <w:pPr>
            <w:ind w:left="170"/>
            <w:jc w:val="both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240BAC">
            <w:rPr>
              <w:rFonts w:asciiTheme="minorHAnsi" w:hAnsiTheme="minorHAnsi" w:cstheme="minorHAnsi"/>
              <w:b/>
              <w:sz w:val="24"/>
              <w:szCs w:val="24"/>
            </w:rPr>
            <w:t>AURREKONTU EGONKORTASUNAREN ETA FINANTZA IRAUNKORTASUNAREN 20</w:t>
          </w:r>
          <w:r w:rsidR="008E7FCC">
            <w:rPr>
              <w:rFonts w:asciiTheme="minorHAnsi" w:hAnsiTheme="minorHAnsi" w:cstheme="minorHAnsi"/>
              <w:b/>
              <w:sz w:val="24"/>
              <w:szCs w:val="24"/>
            </w:rPr>
            <w:t>21E</w:t>
          </w:r>
          <w:r w:rsidRPr="00240BAC">
            <w:rPr>
              <w:rFonts w:asciiTheme="minorHAnsi" w:hAnsiTheme="minorHAnsi" w:cstheme="minorHAnsi"/>
              <w:b/>
              <w:sz w:val="24"/>
              <w:szCs w:val="24"/>
            </w:rPr>
            <w:t xml:space="preserve">KO TXOSTENA / </w:t>
          </w:r>
        </w:p>
        <w:p w14:paraId="67F21C0A" w14:textId="0682A9EF" w:rsidR="00231F31" w:rsidRPr="005133A3" w:rsidRDefault="00231F31" w:rsidP="00DA6728">
          <w:pPr>
            <w:ind w:left="170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240BAC">
            <w:rPr>
              <w:rFonts w:asciiTheme="minorHAnsi" w:hAnsiTheme="minorHAnsi" w:cstheme="minorHAnsi"/>
              <w:b/>
              <w:sz w:val="24"/>
              <w:szCs w:val="24"/>
            </w:rPr>
            <w:t>INFORME DE ESTABILIDAD PRESUPUESTARIA Y SOSTENIBILIDAD FINANCIERA - 20</w:t>
          </w:r>
          <w:r w:rsidR="008E7FCC">
            <w:rPr>
              <w:rFonts w:asciiTheme="minorHAnsi" w:hAnsiTheme="minorHAnsi" w:cstheme="minorHAnsi"/>
              <w:b/>
              <w:sz w:val="24"/>
              <w:szCs w:val="24"/>
            </w:rPr>
            <w:t>21</w:t>
          </w:r>
        </w:p>
      </w:tc>
    </w:tr>
  </w:tbl>
  <w:p w14:paraId="51719791" w14:textId="77777777" w:rsidR="00231F31" w:rsidRDefault="00CA59CF" w:rsidP="0020017B">
    <w:pPr>
      <w:pStyle w:val="Encabezado"/>
      <w:spacing w:before="120" w:after="120"/>
    </w:pPr>
    <w:r>
      <w:pict w14:anchorId="459D0F25">
        <v:shape id="_x0000_i1048" type="#_x0000_t75" style="width:453.6pt;height:7.1pt" o:hrpct="0" o:hr="t">
          <v:imagedata r:id="rId3" o:title="BD10290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E67"/>
    <w:multiLevelType w:val="hybridMultilevel"/>
    <w:tmpl w:val="576665C2"/>
    <w:lvl w:ilvl="0" w:tplc="E9BA4666">
      <w:start w:val="1"/>
      <w:numFmt w:val="bullet"/>
      <w:lvlText w:val="-"/>
      <w:lvlJc w:val="left"/>
      <w:pPr>
        <w:tabs>
          <w:tab w:val="num" w:pos="454"/>
        </w:tabs>
        <w:ind w:left="680" w:hanging="226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525C0"/>
    <w:multiLevelType w:val="hybridMultilevel"/>
    <w:tmpl w:val="D5DCD232"/>
    <w:lvl w:ilvl="0" w:tplc="368CEE22">
      <w:start w:val="1"/>
      <w:numFmt w:val="bullet"/>
      <w:lvlText w:val=""/>
      <w:lvlJc w:val="left"/>
      <w:pPr>
        <w:tabs>
          <w:tab w:val="num" w:pos="284"/>
        </w:tabs>
        <w:ind w:left="720" w:hanging="38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7138"/>
    <w:multiLevelType w:val="hybridMultilevel"/>
    <w:tmpl w:val="A2F66390"/>
    <w:lvl w:ilvl="0" w:tplc="EB56FC26">
      <w:start w:val="1"/>
      <w:numFmt w:val="bullet"/>
      <w:lvlText w:val=""/>
      <w:lvlJc w:val="left"/>
      <w:pPr>
        <w:tabs>
          <w:tab w:val="num" w:pos="170"/>
        </w:tabs>
        <w:ind w:left="227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00996"/>
    <w:multiLevelType w:val="hybridMultilevel"/>
    <w:tmpl w:val="F1A84242"/>
    <w:lvl w:ilvl="0" w:tplc="E9BA4666">
      <w:start w:val="1"/>
      <w:numFmt w:val="bullet"/>
      <w:lvlText w:val="-"/>
      <w:lvlJc w:val="left"/>
      <w:pPr>
        <w:tabs>
          <w:tab w:val="num" w:pos="454"/>
        </w:tabs>
        <w:ind w:left="680" w:hanging="226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6858"/>
    <w:multiLevelType w:val="multilevel"/>
    <w:tmpl w:val="71265816"/>
    <w:lvl w:ilvl="0">
      <w:start w:val="1"/>
      <w:numFmt w:val="bullet"/>
      <w:lvlText w:val="-"/>
      <w:lvlJc w:val="left"/>
      <w:pPr>
        <w:tabs>
          <w:tab w:val="num" w:pos="454"/>
        </w:tabs>
        <w:ind w:left="454" w:hanging="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6070"/>
    <w:multiLevelType w:val="singleLevel"/>
    <w:tmpl w:val="FF96B89E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6" w15:restartNumberingAfterBreak="0">
    <w:nsid w:val="367E449E"/>
    <w:multiLevelType w:val="hybridMultilevel"/>
    <w:tmpl w:val="6018F15E"/>
    <w:lvl w:ilvl="0" w:tplc="FC7CE674">
      <w:start w:val="1"/>
      <w:numFmt w:val="bullet"/>
      <w:lvlText w:val=""/>
      <w:lvlJc w:val="left"/>
      <w:pPr>
        <w:tabs>
          <w:tab w:val="num" w:pos="397"/>
        </w:tabs>
        <w:ind w:left="454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41FAE"/>
    <w:multiLevelType w:val="hybridMultilevel"/>
    <w:tmpl w:val="0B1C843C"/>
    <w:lvl w:ilvl="0" w:tplc="05B66BF2">
      <w:start w:val="1"/>
      <w:numFmt w:val="bullet"/>
      <w:lvlText w:val="-"/>
      <w:lvlJc w:val="left"/>
      <w:pPr>
        <w:tabs>
          <w:tab w:val="num" w:pos="453"/>
        </w:tabs>
        <w:ind w:left="679" w:hanging="226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50DED"/>
    <w:multiLevelType w:val="multilevel"/>
    <w:tmpl w:val="6ADE2C8C"/>
    <w:lvl w:ilvl="0">
      <w:start w:val="1"/>
      <w:numFmt w:val="bullet"/>
      <w:lvlText w:val="-"/>
      <w:lvlJc w:val="left"/>
      <w:pPr>
        <w:tabs>
          <w:tab w:val="num" w:pos="454"/>
        </w:tabs>
        <w:ind w:left="454" w:hanging="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12C28"/>
    <w:multiLevelType w:val="hybridMultilevel"/>
    <w:tmpl w:val="6930D31A"/>
    <w:lvl w:ilvl="0" w:tplc="E994573C">
      <w:start w:val="1"/>
      <w:numFmt w:val="bullet"/>
      <w:lvlText w:val="-"/>
      <w:lvlJc w:val="left"/>
      <w:pPr>
        <w:tabs>
          <w:tab w:val="num" w:pos="453"/>
        </w:tabs>
        <w:ind w:left="680" w:hanging="227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F42ED"/>
    <w:multiLevelType w:val="multilevel"/>
    <w:tmpl w:val="848EC188"/>
    <w:lvl w:ilvl="0">
      <w:start w:val="1"/>
      <w:numFmt w:val="bullet"/>
      <w:lvlText w:val="-"/>
      <w:lvlJc w:val="left"/>
      <w:pPr>
        <w:tabs>
          <w:tab w:val="num" w:pos="454"/>
        </w:tabs>
        <w:ind w:left="680" w:hanging="226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B3057"/>
    <w:multiLevelType w:val="hybridMultilevel"/>
    <w:tmpl w:val="8D50B844"/>
    <w:lvl w:ilvl="0" w:tplc="E63669C2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53EB2156"/>
    <w:multiLevelType w:val="hybridMultilevel"/>
    <w:tmpl w:val="3830D5EE"/>
    <w:lvl w:ilvl="0" w:tplc="D0784A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C1D69"/>
    <w:multiLevelType w:val="hybridMultilevel"/>
    <w:tmpl w:val="F586CD80"/>
    <w:lvl w:ilvl="0" w:tplc="D0784A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A2B95"/>
    <w:multiLevelType w:val="hybridMultilevel"/>
    <w:tmpl w:val="63763BA6"/>
    <w:lvl w:ilvl="0" w:tplc="EF7AAF26">
      <w:start w:val="1"/>
      <w:numFmt w:val="bullet"/>
      <w:lvlText w:val="-"/>
      <w:lvlJc w:val="left"/>
      <w:pPr>
        <w:tabs>
          <w:tab w:val="num" w:pos="454"/>
        </w:tabs>
        <w:ind w:left="454" w:hanging="171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B7648"/>
    <w:multiLevelType w:val="multilevel"/>
    <w:tmpl w:val="A2F66390"/>
    <w:lvl w:ilvl="0">
      <w:start w:val="1"/>
      <w:numFmt w:val="bullet"/>
      <w:lvlText w:val=""/>
      <w:lvlJc w:val="left"/>
      <w:pPr>
        <w:tabs>
          <w:tab w:val="num" w:pos="170"/>
        </w:tabs>
        <w:ind w:left="22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03E5D"/>
    <w:multiLevelType w:val="multilevel"/>
    <w:tmpl w:val="6930D31A"/>
    <w:lvl w:ilvl="0">
      <w:start w:val="1"/>
      <w:numFmt w:val="bullet"/>
      <w:lvlText w:val="-"/>
      <w:lvlJc w:val="left"/>
      <w:pPr>
        <w:tabs>
          <w:tab w:val="num" w:pos="453"/>
        </w:tabs>
        <w:ind w:left="680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1349E"/>
    <w:multiLevelType w:val="hybridMultilevel"/>
    <w:tmpl w:val="848EC188"/>
    <w:lvl w:ilvl="0" w:tplc="9BEE7812">
      <w:start w:val="1"/>
      <w:numFmt w:val="bullet"/>
      <w:lvlText w:val="-"/>
      <w:lvlJc w:val="left"/>
      <w:pPr>
        <w:tabs>
          <w:tab w:val="num" w:pos="454"/>
        </w:tabs>
        <w:ind w:left="680" w:hanging="226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14B90"/>
    <w:multiLevelType w:val="hybridMultilevel"/>
    <w:tmpl w:val="3410D5DA"/>
    <w:lvl w:ilvl="0" w:tplc="332A3C5A">
      <w:start w:val="1"/>
      <w:numFmt w:val="bullet"/>
      <w:lvlText w:val="-"/>
      <w:lvlJc w:val="left"/>
      <w:pPr>
        <w:tabs>
          <w:tab w:val="num" w:pos="454"/>
        </w:tabs>
        <w:ind w:left="454" w:firstLine="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31C9B"/>
    <w:multiLevelType w:val="hybridMultilevel"/>
    <w:tmpl w:val="33581AD6"/>
    <w:lvl w:ilvl="0" w:tplc="B3E043F8">
      <w:start w:val="1"/>
      <w:numFmt w:val="bullet"/>
      <w:lvlText w:val="-"/>
      <w:lvlJc w:val="left"/>
      <w:pPr>
        <w:tabs>
          <w:tab w:val="num" w:pos="454"/>
        </w:tabs>
        <w:ind w:left="454" w:hanging="1"/>
      </w:pPr>
      <w:rPr>
        <w:rFonts w:ascii="Times New Roman" w:hAnsi="Times New Roman" w:cs="Times New Roman" w:hint="default"/>
      </w:rPr>
    </w:lvl>
    <w:lvl w:ilvl="1" w:tplc="4268154C">
      <w:start w:val="1"/>
      <w:numFmt w:val="bullet"/>
      <w:lvlText w:val="-"/>
      <w:lvlJc w:val="left"/>
      <w:pPr>
        <w:tabs>
          <w:tab w:val="num" w:pos="454"/>
        </w:tabs>
        <w:ind w:left="454" w:firstLine="0"/>
      </w:pPr>
      <w:rPr>
        <w:rFonts w:ascii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C6876"/>
    <w:multiLevelType w:val="multilevel"/>
    <w:tmpl w:val="3410D5DA"/>
    <w:lvl w:ilvl="0">
      <w:start w:val="1"/>
      <w:numFmt w:val="bullet"/>
      <w:lvlText w:val="-"/>
      <w:lvlJc w:val="left"/>
      <w:pPr>
        <w:tabs>
          <w:tab w:val="num" w:pos="454"/>
        </w:tabs>
        <w:ind w:left="454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A6C83"/>
    <w:multiLevelType w:val="hybridMultilevel"/>
    <w:tmpl w:val="6ADE2C8C"/>
    <w:lvl w:ilvl="0" w:tplc="B3E043F8">
      <w:start w:val="1"/>
      <w:numFmt w:val="bullet"/>
      <w:lvlText w:val="-"/>
      <w:lvlJc w:val="left"/>
      <w:pPr>
        <w:tabs>
          <w:tab w:val="num" w:pos="454"/>
        </w:tabs>
        <w:ind w:left="454" w:hanging="1"/>
      </w:pPr>
      <w:rPr>
        <w:rFonts w:ascii="Times New Roman" w:hAnsi="Times New Roman" w:cs="Times New Roman" w:hint="default"/>
      </w:rPr>
    </w:lvl>
    <w:lvl w:ilvl="1" w:tplc="61069B62">
      <w:start w:val="1"/>
      <w:numFmt w:val="bullet"/>
      <w:lvlText w:val="-"/>
      <w:lvlJc w:val="left"/>
      <w:pPr>
        <w:tabs>
          <w:tab w:val="num" w:pos="454"/>
        </w:tabs>
        <w:ind w:left="454" w:firstLine="0"/>
      </w:pPr>
      <w:rPr>
        <w:rFonts w:ascii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6214C"/>
    <w:multiLevelType w:val="multilevel"/>
    <w:tmpl w:val="D5DCD232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21"/>
  </w:num>
  <w:num w:numId="5">
    <w:abstractNumId w:val="4"/>
  </w:num>
  <w:num w:numId="6">
    <w:abstractNumId w:val="8"/>
  </w:num>
  <w:num w:numId="7">
    <w:abstractNumId w:val="19"/>
  </w:num>
  <w:num w:numId="8">
    <w:abstractNumId w:val="18"/>
  </w:num>
  <w:num w:numId="9">
    <w:abstractNumId w:val="20"/>
  </w:num>
  <w:num w:numId="10">
    <w:abstractNumId w:val="9"/>
  </w:num>
  <w:num w:numId="11">
    <w:abstractNumId w:val="17"/>
  </w:num>
  <w:num w:numId="12">
    <w:abstractNumId w:val="16"/>
  </w:num>
  <w:num w:numId="13">
    <w:abstractNumId w:val="10"/>
  </w:num>
  <w:num w:numId="14">
    <w:abstractNumId w:val="7"/>
  </w:num>
  <w:num w:numId="15">
    <w:abstractNumId w:val="0"/>
  </w:num>
  <w:num w:numId="16">
    <w:abstractNumId w:val="3"/>
  </w:num>
  <w:num w:numId="17">
    <w:abstractNumId w:val="12"/>
  </w:num>
  <w:num w:numId="18">
    <w:abstractNumId w:val="13"/>
  </w:num>
  <w:num w:numId="19">
    <w:abstractNumId w:val="1"/>
  </w:num>
  <w:num w:numId="20">
    <w:abstractNumId w:val="22"/>
  </w:num>
  <w:num w:numId="21">
    <w:abstractNumId w:val="2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5E"/>
    <w:rsid w:val="0002307E"/>
    <w:rsid w:val="000249E2"/>
    <w:rsid w:val="00026534"/>
    <w:rsid w:val="00050830"/>
    <w:rsid w:val="00050DF9"/>
    <w:rsid w:val="000563CE"/>
    <w:rsid w:val="00076E8F"/>
    <w:rsid w:val="00091459"/>
    <w:rsid w:val="00092342"/>
    <w:rsid w:val="00094F4B"/>
    <w:rsid w:val="0009583B"/>
    <w:rsid w:val="000C21F3"/>
    <w:rsid w:val="000C6971"/>
    <w:rsid w:val="00110523"/>
    <w:rsid w:val="0011151B"/>
    <w:rsid w:val="001135AF"/>
    <w:rsid w:val="001149EF"/>
    <w:rsid w:val="001468B0"/>
    <w:rsid w:val="00162935"/>
    <w:rsid w:val="00196FCE"/>
    <w:rsid w:val="001A0F3A"/>
    <w:rsid w:val="001B0E0A"/>
    <w:rsid w:val="001C1658"/>
    <w:rsid w:val="001C4CCA"/>
    <w:rsid w:val="001D27B9"/>
    <w:rsid w:val="001F5A93"/>
    <w:rsid w:val="0020017B"/>
    <w:rsid w:val="00207C42"/>
    <w:rsid w:val="00231F31"/>
    <w:rsid w:val="00240BAC"/>
    <w:rsid w:val="002637A7"/>
    <w:rsid w:val="002657C9"/>
    <w:rsid w:val="00265994"/>
    <w:rsid w:val="002719EC"/>
    <w:rsid w:val="00284B23"/>
    <w:rsid w:val="0029045E"/>
    <w:rsid w:val="002B0078"/>
    <w:rsid w:val="002B3608"/>
    <w:rsid w:val="002C4DDC"/>
    <w:rsid w:val="002C5A81"/>
    <w:rsid w:val="002E4F5D"/>
    <w:rsid w:val="002F01D9"/>
    <w:rsid w:val="002F2F8C"/>
    <w:rsid w:val="003070DB"/>
    <w:rsid w:val="00311E9C"/>
    <w:rsid w:val="0031265C"/>
    <w:rsid w:val="00313686"/>
    <w:rsid w:val="00315DDA"/>
    <w:rsid w:val="003218D4"/>
    <w:rsid w:val="00340307"/>
    <w:rsid w:val="00343BCB"/>
    <w:rsid w:val="003448B6"/>
    <w:rsid w:val="00357202"/>
    <w:rsid w:val="00361F93"/>
    <w:rsid w:val="003651B2"/>
    <w:rsid w:val="00373590"/>
    <w:rsid w:val="0037523E"/>
    <w:rsid w:val="00393E15"/>
    <w:rsid w:val="0039580C"/>
    <w:rsid w:val="003A19CE"/>
    <w:rsid w:val="003C37C9"/>
    <w:rsid w:val="003D2C39"/>
    <w:rsid w:val="0040005A"/>
    <w:rsid w:val="00451A5F"/>
    <w:rsid w:val="0047754E"/>
    <w:rsid w:val="00482817"/>
    <w:rsid w:val="0048728F"/>
    <w:rsid w:val="00492A0B"/>
    <w:rsid w:val="00497298"/>
    <w:rsid w:val="004B1404"/>
    <w:rsid w:val="004E3513"/>
    <w:rsid w:val="004F5B0E"/>
    <w:rsid w:val="00501773"/>
    <w:rsid w:val="0050460D"/>
    <w:rsid w:val="005072F0"/>
    <w:rsid w:val="00507417"/>
    <w:rsid w:val="005107CD"/>
    <w:rsid w:val="005133A3"/>
    <w:rsid w:val="00520038"/>
    <w:rsid w:val="005327E7"/>
    <w:rsid w:val="00536A76"/>
    <w:rsid w:val="00537085"/>
    <w:rsid w:val="0055730A"/>
    <w:rsid w:val="0056390E"/>
    <w:rsid w:val="00581DE1"/>
    <w:rsid w:val="0059786F"/>
    <w:rsid w:val="00597BB8"/>
    <w:rsid w:val="005A1A20"/>
    <w:rsid w:val="005A3C8E"/>
    <w:rsid w:val="005B452F"/>
    <w:rsid w:val="005B7E91"/>
    <w:rsid w:val="005D19E7"/>
    <w:rsid w:val="005D3105"/>
    <w:rsid w:val="005D4B82"/>
    <w:rsid w:val="005D791E"/>
    <w:rsid w:val="005F3A30"/>
    <w:rsid w:val="005F7CE2"/>
    <w:rsid w:val="00601F9B"/>
    <w:rsid w:val="006163C8"/>
    <w:rsid w:val="006220BA"/>
    <w:rsid w:val="00635214"/>
    <w:rsid w:val="00641CB7"/>
    <w:rsid w:val="00643B10"/>
    <w:rsid w:val="006504BE"/>
    <w:rsid w:val="00651081"/>
    <w:rsid w:val="00654801"/>
    <w:rsid w:val="00683EF3"/>
    <w:rsid w:val="00685989"/>
    <w:rsid w:val="00693004"/>
    <w:rsid w:val="00697BA7"/>
    <w:rsid w:val="006B67BC"/>
    <w:rsid w:val="006F19A5"/>
    <w:rsid w:val="00737E56"/>
    <w:rsid w:val="00740837"/>
    <w:rsid w:val="00743236"/>
    <w:rsid w:val="00754735"/>
    <w:rsid w:val="00762DC6"/>
    <w:rsid w:val="007857F7"/>
    <w:rsid w:val="00787686"/>
    <w:rsid w:val="007913F8"/>
    <w:rsid w:val="00794FC1"/>
    <w:rsid w:val="007A6CB6"/>
    <w:rsid w:val="007D3796"/>
    <w:rsid w:val="007F09F2"/>
    <w:rsid w:val="0080231C"/>
    <w:rsid w:val="00821A7A"/>
    <w:rsid w:val="00822999"/>
    <w:rsid w:val="0082395F"/>
    <w:rsid w:val="0082535A"/>
    <w:rsid w:val="00832C6F"/>
    <w:rsid w:val="00845979"/>
    <w:rsid w:val="0085624C"/>
    <w:rsid w:val="00860159"/>
    <w:rsid w:val="0086323B"/>
    <w:rsid w:val="00864ACF"/>
    <w:rsid w:val="00866E18"/>
    <w:rsid w:val="0088197D"/>
    <w:rsid w:val="00882DEA"/>
    <w:rsid w:val="0088437A"/>
    <w:rsid w:val="008848FF"/>
    <w:rsid w:val="00887FA5"/>
    <w:rsid w:val="008A5CD1"/>
    <w:rsid w:val="008B3605"/>
    <w:rsid w:val="008D6734"/>
    <w:rsid w:val="008E7FCC"/>
    <w:rsid w:val="00902460"/>
    <w:rsid w:val="009269D2"/>
    <w:rsid w:val="0094665C"/>
    <w:rsid w:val="00951F4B"/>
    <w:rsid w:val="009771B8"/>
    <w:rsid w:val="00987417"/>
    <w:rsid w:val="00992C09"/>
    <w:rsid w:val="009A51FE"/>
    <w:rsid w:val="009A525A"/>
    <w:rsid w:val="009B0DF3"/>
    <w:rsid w:val="009B236A"/>
    <w:rsid w:val="009D70BB"/>
    <w:rsid w:val="009F45FD"/>
    <w:rsid w:val="00A15373"/>
    <w:rsid w:val="00A470B3"/>
    <w:rsid w:val="00A475DB"/>
    <w:rsid w:val="00A540C1"/>
    <w:rsid w:val="00A57E5E"/>
    <w:rsid w:val="00A60ABC"/>
    <w:rsid w:val="00A852FC"/>
    <w:rsid w:val="00A93ACD"/>
    <w:rsid w:val="00AB089B"/>
    <w:rsid w:val="00AB0C97"/>
    <w:rsid w:val="00AB5CAD"/>
    <w:rsid w:val="00AD09C9"/>
    <w:rsid w:val="00AD3A69"/>
    <w:rsid w:val="00AF7435"/>
    <w:rsid w:val="00B02DFE"/>
    <w:rsid w:val="00B14DD0"/>
    <w:rsid w:val="00B23FA6"/>
    <w:rsid w:val="00B34A32"/>
    <w:rsid w:val="00B44DF2"/>
    <w:rsid w:val="00B53DC2"/>
    <w:rsid w:val="00B754D0"/>
    <w:rsid w:val="00B92561"/>
    <w:rsid w:val="00B949A5"/>
    <w:rsid w:val="00BA1E95"/>
    <w:rsid w:val="00BB1FE9"/>
    <w:rsid w:val="00BB3AC5"/>
    <w:rsid w:val="00BD357D"/>
    <w:rsid w:val="00C26615"/>
    <w:rsid w:val="00C33CAF"/>
    <w:rsid w:val="00C64EB1"/>
    <w:rsid w:val="00C94670"/>
    <w:rsid w:val="00CA2446"/>
    <w:rsid w:val="00CA59CF"/>
    <w:rsid w:val="00CB0FEF"/>
    <w:rsid w:val="00CC1F76"/>
    <w:rsid w:val="00CC2F3B"/>
    <w:rsid w:val="00CD796C"/>
    <w:rsid w:val="00CF1FC6"/>
    <w:rsid w:val="00CF793C"/>
    <w:rsid w:val="00D00C08"/>
    <w:rsid w:val="00D00ED2"/>
    <w:rsid w:val="00D40873"/>
    <w:rsid w:val="00D51772"/>
    <w:rsid w:val="00D66B42"/>
    <w:rsid w:val="00D77730"/>
    <w:rsid w:val="00D808B0"/>
    <w:rsid w:val="00DA6728"/>
    <w:rsid w:val="00DA735C"/>
    <w:rsid w:val="00DC25F8"/>
    <w:rsid w:val="00DC560C"/>
    <w:rsid w:val="00DC7F5E"/>
    <w:rsid w:val="00DD0EF0"/>
    <w:rsid w:val="00DD2099"/>
    <w:rsid w:val="00DE0F85"/>
    <w:rsid w:val="00DE5031"/>
    <w:rsid w:val="00DF374D"/>
    <w:rsid w:val="00E041FE"/>
    <w:rsid w:val="00E055E6"/>
    <w:rsid w:val="00E1587A"/>
    <w:rsid w:val="00E225E5"/>
    <w:rsid w:val="00E43978"/>
    <w:rsid w:val="00E450D6"/>
    <w:rsid w:val="00E75736"/>
    <w:rsid w:val="00E81B9E"/>
    <w:rsid w:val="00EA016C"/>
    <w:rsid w:val="00EA66F8"/>
    <w:rsid w:val="00EB6B0B"/>
    <w:rsid w:val="00EC35C3"/>
    <w:rsid w:val="00EC59D9"/>
    <w:rsid w:val="00EF4742"/>
    <w:rsid w:val="00F033E8"/>
    <w:rsid w:val="00F04B67"/>
    <w:rsid w:val="00F14225"/>
    <w:rsid w:val="00F21E3E"/>
    <w:rsid w:val="00F25B9A"/>
    <w:rsid w:val="00F32A65"/>
    <w:rsid w:val="00F36638"/>
    <w:rsid w:val="00F44E1E"/>
    <w:rsid w:val="00F5538E"/>
    <w:rsid w:val="00F56C3D"/>
    <w:rsid w:val="00FA7148"/>
    <w:rsid w:val="00FB6A4F"/>
    <w:rsid w:val="00FC2318"/>
    <w:rsid w:val="00FE0D4F"/>
    <w:rsid w:val="00FE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97"/>
    <o:shapelayout v:ext="edit">
      <o:idmap v:ext="edit" data="1"/>
    </o:shapelayout>
  </w:shapeDefaults>
  <w:decimalSymbol w:val=","/>
  <w:listSeparator w:val=";"/>
  <w14:docId w14:val="78CC17F7"/>
  <w15:docId w15:val="{7EB46DEC-14B9-429A-9478-1733F8E4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napToGrid w:val="0"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snapToGrid w:val="0"/>
      <w:sz w:val="24"/>
      <w:u w:val="single"/>
    </w:rPr>
  </w:style>
  <w:style w:type="paragraph" w:styleId="Encabezado">
    <w:name w:val="header"/>
    <w:basedOn w:val="Normal"/>
    <w:rsid w:val="00A57E5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57E5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C5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828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77730"/>
  </w:style>
  <w:style w:type="character" w:styleId="Refdecomentario">
    <w:name w:val="annotation reference"/>
    <w:semiHidden/>
    <w:rsid w:val="00597BB8"/>
    <w:rPr>
      <w:sz w:val="16"/>
      <w:szCs w:val="16"/>
    </w:rPr>
  </w:style>
  <w:style w:type="paragraph" w:styleId="Textocomentario">
    <w:name w:val="annotation text"/>
    <w:basedOn w:val="Normal"/>
    <w:semiHidden/>
    <w:rsid w:val="00597BB8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597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emf"/><Relationship Id="rId18" Type="http://schemas.openxmlformats.org/officeDocument/2006/relationships/image" Target="media/image9.emf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8.emf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7.emf"/><Relationship Id="rId22" Type="http://schemas.openxmlformats.org/officeDocument/2006/relationships/image" Target="media/image13.e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4.bin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5.bin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6.bin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7.bin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8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B873C-86F6-484E-B6E0-7BFEC102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1667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Introducción</vt:lpstr>
    </vt:vector>
  </TitlesOfParts>
  <Company>DFA-AFA</Company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Introducción</dc:title>
  <dc:creator>jlcimi</dc:creator>
  <cp:lastModifiedBy>Rodriguez Fernandez, Eva</cp:lastModifiedBy>
  <cp:revision>2</cp:revision>
  <cp:lastPrinted>2022-06-06T08:18:00Z</cp:lastPrinted>
  <dcterms:created xsi:type="dcterms:W3CDTF">2022-07-11T09:01:00Z</dcterms:created>
  <dcterms:modified xsi:type="dcterms:W3CDTF">2022-07-11T09:01:00Z</dcterms:modified>
</cp:coreProperties>
</file>