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910104" w14:textId="77777777" w:rsidR="00B2545E" w:rsidRPr="00ED7A78" w:rsidRDefault="00B2545E">
      <w:pPr>
        <w:rPr>
          <w:rFonts w:ascii="Arial" w:hAnsi="Arial" w:cs="Arial"/>
          <w:sz w:val="20"/>
          <w:szCs w:val="20"/>
        </w:rPr>
      </w:pPr>
    </w:p>
    <w:tbl>
      <w:tblPr>
        <w:tblW w:w="9923" w:type="dxa"/>
        <w:tblInd w:w="-567" w:type="dxa"/>
        <w:tblBorders>
          <w:top w:val="single" w:sz="18" w:space="0" w:color="auto"/>
          <w:bottom w:val="single" w:sz="18" w:space="0" w:color="auto"/>
        </w:tblBorders>
        <w:shd w:val="clear" w:color="auto" w:fill="F2F2F2" w:themeFill="background1" w:themeFillShade="F2"/>
        <w:tblLayout w:type="fixed"/>
        <w:tblCellMar>
          <w:left w:w="70" w:type="dxa"/>
          <w:right w:w="70" w:type="dxa"/>
        </w:tblCellMar>
        <w:tblLook w:val="0000" w:firstRow="0" w:lastRow="0" w:firstColumn="0" w:lastColumn="0" w:noHBand="0" w:noVBand="0"/>
      </w:tblPr>
      <w:tblGrid>
        <w:gridCol w:w="9923"/>
      </w:tblGrid>
      <w:tr w:rsidR="008050AD" w:rsidRPr="00095302" w14:paraId="5224C6BD" w14:textId="77777777" w:rsidTr="00184590">
        <w:tc>
          <w:tcPr>
            <w:tcW w:w="9923" w:type="dxa"/>
            <w:tcBorders>
              <w:top w:val="single" w:sz="18" w:space="0" w:color="auto"/>
              <w:left w:val="nil"/>
              <w:bottom w:val="single" w:sz="18" w:space="0" w:color="auto"/>
              <w:right w:val="nil"/>
            </w:tcBorders>
            <w:shd w:val="clear" w:color="auto" w:fill="F2F2F2" w:themeFill="background1" w:themeFillShade="F2"/>
          </w:tcPr>
          <w:p w14:paraId="64E0E0B3" w14:textId="77777777" w:rsidR="008050AD" w:rsidRPr="00095302" w:rsidRDefault="008050AD" w:rsidP="00184590">
            <w:pPr>
              <w:spacing w:after="0" w:line="360" w:lineRule="auto"/>
              <w:rPr>
                <w:rFonts w:ascii="Arial" w:hAnsi="Arial" w:cs="Arial"/>
                <w:b/>
                <w:bCs/>
                <w:sz w:val="20"/>
                <w:szCs w:val="20"/>
              </w:rPr>
            </w:pPr>
          </w:p>
          <w:p w14:paraId="22192299" w14:textId="5FA9A006" w:rsidR="00450F1F" w:rsidRDefault="00450F1F" w:rsidP="00184590">
            <w:pPr>
              <w:spacing w:after="0" w:line="360" w:lineRule="auto"/>
              <w:rPr>
                <w:rFonts w:ascii="Arial" w:eastAsia="Times New Roman" w:hAnsi="Arial" w:cs="Arial"/>
                <w:b/>
                <w:bCs/>
                <w:lang w:val="es-ES_tradnl" w:eastAsia="es-ES"/>
              </w:rPr>
            </w:pPr>
            <w:r w:rsidRPr="00450F1F">
              <w:rPr>
                <w:rFonts w:ascii="Arial" w:eastAsia="Times New Roman" w:hAnsi="Arial" w:cs="Arial"/>
                <w:b/>
                <w:bCs/>
                <w:lang w:val="es-ES_tradnl" w:eastAsia="es-ES"/>
              </w:rPr>
              <w:t>AURREKONTU</w:t>
            </w:r>
            <w:r w:rsidR="009C28B4">
              <w:rPr>
                <w:rFonts w:ascii="Arial" w:eastAsia="Times New Roman" w:hAnsi="Arial" w:cs="Arial"/>
                <w:b/>
                <w:bCs/>
                <w:lang w:val="es-ES_tradnl" w:eastAsia="es-ES"/>
              </w:rPr>
              <w:t xml:space="preserve"> </w:t>
            </w:r>
            <w:r w:rsidRPr="00450F1F">
              <w:rPr>
                <w:rFonts w:ascii="Arial" w:eastAsia="Times New Roman" w:hAnsi="Arial" w:cs="Arial"/>
                <w:b/>
                <w:bCs/>
                <w:lang w:val="es-ES_tradnl" w:eastAsia="es-ES"/>
              </w:rPr>
              <w:t>EGONKORTASUNAR</w:t>
            </w:r>
            <w:r w:rsidR="00BB6FD3">
              <w:rPr>
                <w:rFonts w:ascii="Arial" w:eastAsia="Times New Roman" w:hAnsi="Arial" w:cs="Arial"/>
                <w:b/>
                <w:bCs/>
                <w:lang w:val="es-ES_tradnl" w:eastAsia="es-ES"/>
              </w:rPr>
              <w:t>EN HELBURUARI BURUZKO OHARRA</w:t>
            </w:r>
          </w:p>
          <w:p w14:paraId="39510CD1" w14:textId="572B3F61" w:rsidR="00095302" w:rsidRDefault="00BB6FD3" w:rsidP="00184590">
            <w:pPr>
              <w:spacing w:after="0" w:line="360" w:lineRule="auto"/>
              <w:rPr>
                <w:rFonts w:ascii="Arial" w:hAnsi="Arial" w:cs="Arial"/>
                <w:b/>
                <w:bCs/>
              </w:rPr>
            </w:pPr>
            <w:r>
              <w:rPr>
                <w:rFonts w:ascii="Arial" w:hAnsi="Arial" w:cs="Arial"/>
                <w:b/>
                <w:bCs/>
              </w:rPr>
              <w:t xml:space="preserve">NOTA SOBRE </w:t>
            </w:r>
            <w:r w:rsidR="00450F1F" w:rsidRPr="00450F1F">
              <w:rPr>
                <w:rFonts w:ascii="Arial" w:hAnsi="Arial" w:cs="Arial"/>
                <w:b/>
                <w:bCs/>
              </w:rPr>
              <w:t>OBJETIVO DE ESTABILIDAD PRESUPUESTARIA</w:t>
            </w:r>
          </w:p>
          <w:p w14:paraId="75658178" w14:textId="77777777" w:rsidR="00450F1F" w:rsidRPr="00095302" w:rsidRDefault="00450F1F" w:rsidP="00184590">
            <w:pPr>
              <w:spacing w:after="0" w:line="360" w:lineRule="auto"/>
              <w:rPr>
                <w:rFonts w:ascii="Arial" w:hAnsi="Arial" w:cs="Arial"/>
                <w:b/>
                <w:bCs/>
              </w:rPr>
            </w:pPr>
          </w:p>
        </w:tc>
      </w:tr>
    </w:tbl>
    <w:p w14:paraId="67E91B19" w14:textId="77777777" w:rsidR="008050AD" w:rsidRPr="00ED7A78" w:rsidRDefault="008050AD" w:rsidP="00ED7A78">
      <w:pPr>
        <w:spacing w:after="0" w:line="240" w:lineRule="auto"/>
        <w:rPr>
          <w:rFonts w:ascii="Arial" w:hAnsi="Arial" w:cs="Arial"/>
          <w:sz w:val="20"/>
          <w:szCs w:val="20"/>
        </w:rPr>
      </w:pPr>
    </w:p>
    <w:p w14:paraId="74C17122" w14:textId="77777777" w:rsidR="008050AD" w:rsidRPr="00ED7A78" w:rsidRDefault="008050AD" w:rsidP="00ED7A78">
      <w:pPr>
        <w:pStyle w:val="Encabezado"/>
        <w:rPr>
          <w:rFonts w:ascii="Arial" w:hAnsi="Arial" w:cs="Arial"/>
        </w:rPr>
      </w:pPr>
    </w:p>
    <w:p w14:paraId="3C1E2A80" w14:textId="77777777" w:rsidR="008050AD" w:rsidRPr="00ED7A78" w:rsidRDefault="008050AD" w:rsidP="00ED7A78">
      <w:pPr>
        <w:pStyle w:val="Textoindependiente"/>
        <w:ind w:left="213" w:right="357"/>
        <w:rPr>
          <w:rFonts w:cs="Arial"/>
          <w:sz w:val="20"/>
          <w:lang w:val="eu-ES"/>
        </w:rPr>
      </w:pPr>
    </w:p>
    <w:p w14:paraId="6C5141CB" w14:textId="77777777" w:rsidR="008050AD" w:rsidRPr="00ED7A78" w:rsidRDefault="008050AD" w:rsidP="008050AD">
      <w:pPr>
        <w:pStyle w:val="Textoindependiente"/>
        <w:ind w:left="213" w:right="357"/>
        <w:rPr>
          <w:rFonts w:cs="Arial"/>
          <w:sz w:val="20"/>
          <w:lang w:val="eu-ES"/>
        </w:rPr>
      </w:pPr>
    </w:p>
    <w:tbl>
      <w:tblPr>
        <w:tblW w:w="9489" w:type="dxa"/>
        <w:tblInd w:w="-567" w:type="dxa"/>
        <w:tblBorders>
          <w:insideH w:val="single" w:sz="6" w:space="0" w:color="auto"/>
        </w:tblBorders>
        <w:tblLayout w:type="fixed"/>
        <w:tblCellMar>
          <w:left w:w="70" w:type="dxa"/>
          <w:right w:w="70" w:type="dxa"/>
        </w:tblCellMar>
        <w:tblLook w:val="0000" w:firstRow="0" w:lastRow="0" w:firstColumn="0" w:lastColumn="0" w:noHBand="0" w:noVBand="0"/>
      </w:tblPr>
      <w:tblGrid>
        <w:gridCol w:w="4603"/>
        <w:gridCol w:w="283"/>
        <w:gridCol w:w="4603"/>
      </w:tblGrid>
      <w:tr w:rsidR="008050AD" w:rsidRPr="00ED7A78" w14:paraId="56C0E9DE" w14:textId="77777777" w:rsidTr="00184590">
        <w:tc>
          <w:tcPr>
            <w:tcW w:w="4603" w:type="dxa"/>
            <w:tcBorders>
              <w:top w:val="nil"/>
              <w:left w:val="nil"/>
              <w:bottom w:val="nil"/>
              <w:right w:val="nil"/>
            </w:tcBorders>
          </w:tcPr>
          <w:p w14:paraId="04560C06" w14:textId="77777777" w:rsidR="008B4FE0" w:rsidRPr="00BB757C" w:rsidRDefault="008B4FE0" w:rsidP="00ED7A78">
            <w:pPr>
              <w:autoSpaceDE w:val="0"/>
              <w:autoSpaceDN w:val="0"/>
              <w:adjustRightInd w:val="0"/>
              <w:spacing w:after="0" w:line="240" w:lineRule="auto"/>
              <w:jc w:val="both"/>
              <w:rPr>
                <w:rFonts w:cstheme="minorHAnsi"/>
                <w:sz w:val="24"/>
                <w:szCs w:val="24"/>
                <w:lang w:val="eu-ES"/>
              </w:rPr>
            </w:pPr>
            <w:r w:rsidRPr="00BB757C">
              <w:rPr>
                <w:rFonts w:cstheme="minorHAnsi"/>
                <w:sz w:val="24"/>
                <w:szCs w:val="24"/>
                <w:lang w:val="eu-ES"/>
              </w:rPr>
              <w:t>Maiatzaren 23ko 12/2002 Legeak, Euskal Autonomia Erkidegoarekiko Ekonomia Ituna onartzen duenak, 48. artikuluan ezartzen du, besteak beste, Euskal Autonomia Erkidegoko erakundeek beren eskumenak garatu eta betearazteko duten zerga- eta finantza-autonomiaren printzipioa eta Estatuarekin aurrekontu-egonkortasunaren arloan koordinazio- eta lankidetza</w:t>
            </w:r>
            <w:r w:rsidR="009C28B4" w:rsidRPr="00BB757C">
              <w:rPr>
                <w:rFonts w:cstheme="minorHAnsi"/>
                <w:sz w:val="24"/>
                <w:szCs w:val="24"/>
                <w:lang w:val="eu-ES"/>
              </w:rPr>
              <w:t xml:space="preserve"> </w:t>
            </w:r>
            <w:r w:rsidRPr="00BB757C">
              <w:rPr>
                <w:rFonts w:cstheme="minorHAnsi"/>
                <w:sz w:val="24"/>
                <w:szCs w:val="24"/>
                <w:lang w:val="eu-ES"/>
              </w:rPr>
              <w:t>printzipioa. Halaber, eranskin bereko 62.b) artikuluak Ekonomia Itunaren Batzorde Mistoari esleitzen dio "aurrekontu</w:t>
            </w:r>
            <w:r w:rsidR="009C28B4" w:rsidRPr="00BB757C">
              <w:rPr>
                <w:rFonts w:cstheme="minorHAnsi"/>
                <w:sz w:val="24"/>
                <w:szCs w:val="24"/>
                <w:lang w:val="eu-ES"/>
              </w:rPr>
              <w:t xml:space="preserve"> </w:t>
            </w:r>
            <w:r w:rsidRPr="00BB757C">
              <w:rPr>
                <w:rFonts w:cstheme="minorHAnsi"/>
                <w:sz w:val="24"/>
                <w:szCs w:val="24"/>
                <w:lang w:val="eu-ES"/>
              </w:rPr>
              <w:t>egonkortasunaren arloan lankidetza</w:t>
            </w:r>
            <w:r w:rsidR="009C28B4" w:rsidRPr="00BB757C">
              <w:rPr>
                <w:rFonts w:cstheme="minorHAnsi"/>
                <w:sz w:val="24"/>
                <w:szCs w:val="24"/>
                <w:lang w:val="eu-ES"/>
              </w:rPr>
              <w:t xml:space="preserve"> </w:t>
            </w:r>
            <w:r w:rsidRPr="00BB757C">
              <w:rPr>
                <w:rFonts w:cstheme="minorHAnsi"/>
                <w:sz w:val="24"/>
                <w:szCs w:val="24"/>
                <w:lang w:val="eu-ES"/>
              </w:rPr>
              <w:t>eta koordinazio-konpromisoak adostea".</w:t>
            </w:r>
          </w:p>
          <w:p w14:paraId="7417FEA5" w14:textId="2FAEBE1D" w:rsidR="008B4FE0" w:rsidRPr="00BB757C" w:rsidRDefault="008B4FE0" w:rsidP="00ED7A78">
            <w:pPr>
              <w:autoSpaceDE w:val="0"/>
              <w:autoSpaceDN w:val="0"/>
              <w:adjustRightInd w:val="0"/>
              <w:spacing w:after="0" w:line="240" w:lineRule="auto"/>
              <w:jc w:val="both"/>
              <w:rPr>
                <w:rFonts w:cstheme="minorHAnsi"/>
                <w:sz w:val="24"/>
                <w:szCs w:val="24"/>
                <w:lang w:val="eu-ES"/>
              </w:rPr>
            </w:pPr>
          </w:p>
          <w:p w14:paraId="5DC01A8D" w14:textId="2DC78005" w:rsidR="00184590" w:rsidRPr="00BB757C" w:rsidRDefault="00184590" w:rsidP="00ED7A78">
            <w:pPr>
              <w:autoSpaceDE w:val="0"/>
              <w:autoSpaceDN w:val="0"/>
              <w:adjustRightInd w:val="0"/>
              <w:spacing w:after="0" w:line="240" w:lineRule="auto"/>
              <w:jc w:val="both"/>
              <w:rPr>
                <w:rFonts w:cstheme="minorHAnsi"/>
                <w:sz w:val="24"/>
                <w:szCs w:val="24"/>
                <w:lang w:val="eu-ES"/>
              </w:rPr>
            </w:pPr>
          </w:p>
          <w:p w14:paraId="5790F02F" w14:textId="77777777" w:rsidR="008B4FE0" w:rsidRPr="00BB757C" w:rsidRDefault="008B4FE0" w:rsidP="00ED7A78">
            <w:pPr>
              <w:autoSpaceDE w:val="0"/>
              <w:autoSpaceDN w:val="0"/>
              <w:adjustRightInd w:val="0"/>
              <w:spacing w:after="0" w:line="240" w:lineRule="auto"/>
              <w:jc w:val="both"/>
              <w:rPr>
                <w:rFonts w:cstheme="minorHAnsi"/>
                <w:sz w:val="24"/>
                <w:szCs w:val="24"/>
                <w:lang w:val="eu-ES"/>
              </w:rPr>
            </w:pPr>
            <w:r w:rsidRPr="00BB757C">
              <w:rPr>
                <w:rFonts w:cstheme="minorHAnsi"/>
                <w:sz w:val="24"/>
                <w:szCs w:val="24"/>
                <w:lang w:val="eu-ES"/>
              </w:rPr>
              <w:t>Bestalde, Aurrekontu Egonkortasunari eta Finantza Iraunkortasunari buruzko apirilaren 27ko 2/2012 Lege Organikoaren azken xedapenetako hirugarrenak</w:t>
            </w:r>
            <w:r w:rsidR="00757E9A" w:rsidRPr="00BB757C">
              <w:rPr>
                <w:rFonts w:cstheme="minorHAnsi"/>
                <w:sz w:val="24"/>
                <w:szCs w:val="24"/>
                <w:lang w:val="eu-ES"/>
              </w:rPr>
              <w:t xml:space="preserve"> </w:t>
            </w:r>
            <w:r w:rsidRPr="00BB757C">
              <w:rPr>
                <w:rFonts w:cstheme="minorHAnsi"/>
                <w:sz w:val="24"/>
                <w:szCs w:val="24"/>
                <w:lang w:val="eu-ES"/>
              </w:rPr>
              <w:t>bigarren atalean ezartzen duenez, lege horretan xedatutakoa Euskal Autonomia Erkidegoan aplikatzeak ez du eragotziko Ekonomia Itunari buruzko Legean xedatutakoa.</w:t>
            </w:r>
          </w:p>
          <w:p w14:paraId="6E5B18CF" w14:textId="77777777" w:rsidR="008050AD" w:rsidRPr="00BB757C" w:rsidRDefault="008050AD" w:rsidP="00ED7A78">
            <w:pPr>
              <w:spacing w:after="0" w:line="240" w:lineRule="auto"/>
              <w:jc w:val="both"/>
              <w:rPr>
                <w:rFonts w:cstheme="minorHAnsi"/>
                <w:sz w:val="24"/>
                <w:szCs w:val="24"/>
                <w:lang w:val="eu-ES"/>
              </w:rPr>
            </w:pPr>
          </w:p>
        </w:tc>
        <w:tc>
          <w:tcPr>
            <w:tcW w:w="283" w:type="dxa"/>
            <w:tcBorders>
              <w:top w:val="nil"/>
              <w:left w:val="nil"/>
              <w:bottom w:val="nil"/>
              <w:right w:val="nil"/>
            </w:tcBorders>
          </w:tcPr>
          <w:p w14:paraId="37D39FF5" w14:textId="77777777" w:rsidR="008050AD" w:rsidRPr="00ED7A78" w:rsidRDefault="008050AD" w:rsidP="00ED7A78">
            <w:pPr>
              <w:spacing w:after="0" w:line="240" w:lineRule="auto"/>
              <w:ind w:right="214"/>
              <w:jc w:val="both"/>
              <w:rPr>
                <w:rFonts w:ascii="Arial" w:hAnsi="Arial" w:cs="Arial"/>
                <w:sz w:val="20"/>
                <w:szCs w:val="20"/>
                <w:lang w:val="eu-ES"/>
              </w:rPr>
            </w:pPr>
          </w:p>
        </w:tc>
        <w:tc>
          <w:tcPr>
            <w:tcW w:w="4603" w:type="dxa"/>
            <w:tcBorders>
              <w:top w:val="nil"/>
              <w:left w:val="nil"/>
              <w:bottom w:val="nil"/>
              <w:right w:val="nil"/>
            </w:tcBorders>
          </w:tcPr>
          <w:p w14:paraId="4CAC3D10" w14:textId="77777777" w:rsidR="001F7679" w:rsidRPr="00BB757C" w:rsidRDefault="001F7679" w:rsidP="00ED7A78">
            <w:pPr>
              <w:autoSpaceDE w:val="0"/>
              <w:autoSpaceDN w:val="0"/>
              <w:adjustRightInd w:val="0"/>
              <w:spacing w:after="0" w:line="240" w:lineRule="auto"/>
              <w:jc w:val="both"/>
              <w:rPr>
                <w:rFonts w:cstheme="minorHAnsi"/>
                <w:sz w:val="24"/>
                <w:szCs w:val="24"/>
              </w:rPr>
            </w:pPr>
            <w:r w:rsidRPr="00BB757C">
              <w:rPr>
                <w:rFonts w:cstheme="minorHAnsi"/>
                <w:sz w:val="24"/>
                <w:szCs w:val="24"/>
              </w:rPr>
              <w:t>La Ley 12/2002, de 23 de mayo, por la que se aprueba el Concierto Económico con la Comunidad Autónoma del País Vasco, en su artículo 48 establece, entre otros, el principio de autonomía fiscal y financiera de las instituciones del País Vasco para el desarrollo y ejecución de sus competencias y el principio de coordinación y colaboración con el Estado en materia de estabilidad presupuestaria. Asimismo, en el artículo 62.b) del mismo Anexo asigna a la Comisión Mixta del Concierto Económico la función de “acordar los compromisos de colaboración y coordinación en materia de estabilidad presupuestaria”.</w:t>
            </w:r>
          </w:p>
          <w:p w14:paraId="06AF7E76" w14:textId="49D4AD23" w:rsidR="001F7679" w:rsidRPr="00BB757C" w:rsidRDefault="001F7679" w:rsidP="00ED7A78">
            <w:pPr>
              <w:autoSpaceDE w:val="0"/>
              <w:autoSpaceDN w:val="0"/>
              <w:adjustRightInd w:val="0"/>
              <w:spacing w:after="0" w:line="240" w:lineRule="auto"/>
              <w:jc w:val="both"/>
              <w:rPr>
                <w:rFonts w:cstheme="minorHAnsi"/>
                <w:sz w:val="24"/>
                <w:szCs w:val="24"/>
              </w:rPr>
            </w:pPr>
          </w:p>
          <w:p w14:paraId="15931AB5" w14:textId="77777777" w:rsidR="001F7679" w:rsidRPr="00BB757C" w:rsidRDefault="001F7679" w:rsidP="00ED7A78">
            <w:pPr>
              <w:autoSpaceDE w:val="0"/>
              <w:autoSpaceDN w:val="0"/>
              <w:adjustRightInd w:val="0"/>
              <w:spacing w:after="0" w:line="240" w:lineRule="auto"/>
              <w:jc w:val="both"/>
              <w:rPr>
                <w:rFonts w:cstheme="minorHAnsi"/>
                <w:sz w:val="24"/>
                <w:szCs w:val="24"/>
              </w:rPr>
            </w:pPr>
            <w:r w:rsidRPr="00BB757C">
              <w:rPr>
                <w:rFonts w:cstheme="minorHAnsi"/>
                <w:sz w:val="24"/>
                <w:szCs w:val="24"/>
              </w:rPr>
              <w:t xml:space="preserve">Por otro lado, la Disposición final tercera de la Ley Orgánica 2/2012, de 27 de abril, de Estabilidad Presupuestaria y Sostenibilidad Financiera, establece en su apartado segundo que, en virtud de su régimen foral, la aplicación a la Comunidad Autónoma del País Vasco de lo dispuesto en esa </w:t>
            </w:r>
            <w:r w:rsidR="002D6E4D" w:rsidRPr="00BB757C">
              <w:rPr>
                <w:rFonts w:cstheme="minorHAnsi"/>
                <w:sz w:val="24"/>
                <w:szCs w:val="24"/>
              </w:rPr>
              <w:t>Ley</w:t>
            </w:r>
            <w:r w:rsidRPr="00BB757C">
              <w:rPr>
                <w:rFonts w:cstheme="minorHAnsi"/>
                <w:sz w:val="24"/>
                <w:szCs w:val="24"/>
              </w:rPr>
              <w:t xml:space="preserve"> se entenderá sin perjuicio de lo dispuesto en la Ley del Concierto Económico.</w:t>
            </w:r>
          </w:p>
          <w:p w14:paraId="4774612E" w14:textId="2D74A4C7" w:rsidR="00184590" w:rsidRPr="00BB757C" w:rsidRDefault="00184590" w:rsidP="00ED7A78">
            <w:pPr>
              <w:spacing w:after="0" w:line="240" w:lineRule="auto"/>
              <w:jc w:val="both"/>
              <w:rPr>
                <w:rFonts w:cstheme="minorHAnsi"/>
                <w:sz w:val="24"/>
                <w:szCs w:val="24"/>
              </w:rPr>
            </w:pPr>
          </w:p>
        </w:tc>
      </w:tr>
      <w:tr w:rsidR="008050AD" w:rsidRPr="00ED7A78" w14:paraId="5D873C09" w14:textId="77777777" w:rsidTr="00184590">
        <w:tc>
          <w:tcPr>
            <w:tcW w:w="4603" w:type="dxa"/>
            <w:tcBorders>
              <w:top w:val="nil"/>
              <w:left w:val="nil"/>
              <w:bottom w:val="nil"/>
              <w:right w:val="nil"/>
            </w:tcBorders>
          </w:tcPr>
          <w:p w14:paraId="41D8C06A" w14:textId="77777777" w:rsidR="008B4FE0" w:rsidRPr="00BB757C" w:rsidRDefault="008B4FE0" w:rsidP="00ED7A78">
            <w:pPr>
              <w:autoSpaceDE w:val="0"/>
              <w:autoSpaceDN w:val="0"/>
              <w:adjustRightInd w:val="0"/>
              <w:spacing w:after="0" w:line="240" w:lineRule="auto"/>
              <w:jc w:val="both"/>
              <w:rPr>
                <w:rFonts w:cstheme="minorHAnsi"/>
                <w:sz w:val="24"/>
                <w:szCs w:val="24"/>
                <w:lang w:val="eu-ES"/>
              </w:rPr>
            </w:pPr>
            <w:r w:rsidRPr="00BB757C">
              <w:rPr>
                <w:rFonts w:cstheme="minorHAnsi"/>
                <w:sz w:val="24"/>
                <w:szCs w:val="24"/>
                <w:lang w:val="eu-ES"/>
              </w:rPr>
              <w:t xml:space="preserve">Covid-19ak eragindako pandemiak aurrekaririk gabeko shock ekonomikoa eragin du, eta agertoki ekonomikoa erabat aldatu du. Krisi ekonomiko eta sanitarioaren testuinguru horretan, Ekonomia Itunaren Batzorde Mistoak 2020ko irailaren 30ean hartutako erabakiaren bidez, Estatuko Administrazioak </w:t>
            </w:r>
            <w:r w:rsidRPr="00BB757C">
              <w:rPr>
                <w:rFonts w:cstheme="minorHAnsi"/>
                <w:sz w:val="24"/>
                <w:szCs w:val="24"/>
                <w:lang w:val="eu-ES"/>
              </w:rPr>
              <w:lastRenderedPageBreak/>
              <w:t>eta Euskal Autonomia Erkidegoak 2020-2021 aldirako aurrekontu egonkortasunaren eta finantza iraunkortasunaren helburuak adostu dituzte. Horrela, defizitaren eta zor publikoaren helburu espezifikoak ezarri dituzte erakunde erkideentzat, bai eta defizitaren helburu bateratuak ere, foru-aldundien kasuan.</w:t>
            </w:r>
          </w:p>
          <w:p w14:paraId="335A8963" w14:textId="39BB95F6" w:rsidR="008B4FE0" w:rsidRPr="00BB757C" w:rsidRDefault="008B4FE0" w:rsidP="00ED7A78">
            <w:pPr>
              <w:autoSpaceDE w:val="0"/>
              <w:autoSpaceDN w:val="0"/>
              <w:adjustRightInd w:val="0"/>
              <w:spacing w:after="0" w:line="240" w:lineRule="auto"/>
              <w:jc w:val="both"/>
              <w:rPr>
                <w:rFonts w:cstheme="minorHAnsi"/>
                <w:sz w:val="24"/>
                <w:szCs w:val="24"/>
                <w:lang w:val="eu-ES"/>
              </w:rPr>
            </w:pPr>
          </w:p>
          <w:p w14:paraId="33555D81" w14:textId="77777777" w:rsidR="00E761F7" w:rsidRPr="00BB757C" w:rsidRDefault="00E761F7" w:rsidP="00E761F7">
            <w:pPr>
              <w:autoSpaceDE w:val="0"/>
              <w:autoSpaceDN w:val="0"/>
              <w:adjustRightInd w:val="0"/>
              <w:spacing w:after="0" w:line="240" w:lineRule="auto"/>
              <w:jc w:val="both"/>
              <w:rPr>
                <w:rFonts w:cstheme="minorHAnsi"/>
                <w:sz w:val="24"/>
                <w:szCs w:val="24"/>
                <w:lang w:val="eu-ES"/>
              </w:rPr>
            </w:pPr>
            <w:r w:rsidRPr="00BB757C">
              <w:rPr>
                <w:rFonts w:cstheme="minorHAnsi"/>
                <w:sz w:val="24"/>
                <w:szCs w:val="24"/>
                <w:lang w:val="eu-ES"/>
              </w:rPr>
              <w:t>Gainera, kontuan hartu behar da Espainiako Gobernuak 2020. Eta 2021. urteetarako zerga-arauak ohiz kanpo etetea erabaki duela, Ministroen Kontseiluaren 2020ko urriaren 6ko Erabaki bidez, Europako Batzordeak Egonkortasun eta Hazkunde Itunaren babes</w:t>
            </w:r>
            <w:r w:rsidR="009C28B4" w:rsidRPr="00BB757C">
              <w:rPr>
                <w:rFonts w:cstheme="minorHAnsi"/>
                <w:sz w:val="24"/>
                <w:szCs w:val="24"/>
                <w:lang w:val="eu-ES"/>
              </w:rPr>
              <w:t xml:space="preserve"> </w:t>
            </w:r>
            <w:r w:rsidRPr="00BB757C">
              <w:rPr>
                <w:rFonts w:cstheme="minorHAnsi"/>
                <w:sz w:val="24"/>
                <w:szCs w:val="24"/>
                <w:lang w:val="eu-ES"/>
              </w:rPr>
              <w:t xml:space="preserve">klausula orokorra aktibatzearen ildotik, administrazio publikoei </w:t>
            </w:r>
            <w:proofErr w:type="spellStart"/>
            <w:r w:rsidRPr="00BB757C">
              <w:rPr>
                <w:rFonts w:cstheme="minorHAnsi"/>
                <w:sz w:val="24"/>
                <w:szCs w:val="24"/>
                <w:lang w:val="eu-ES"/>
              </w:rPr>
              <w:t>Covidaren</w:t>
            </w:r>
            <w:proofErr w:type="spellEnd"/>
            <w:r w:rsidRPr="00BB757C">
              <w:rPr>
                <w:rFonts w:cstheme="minorHAnsi"/>
                <w:sz w:val="24"/>
                <w:szCs w:val="24"/>
                <w:lang w:val="eu-ES"/>
              </w:rPr>
              <w:t xml:space="preserve"> pandemiaren aurka borrokatzeko behar duten malgutasuna emateko helburuarekin. 2020ko eta 2021eko zerga-arauak bertan behera uzteak </w:t>
            </w:r>
            <w:proofErr w:type="spellStart"/>
            <w:r w:rsidRPr="00BB757C">
              <w:rPr>
                <w:rFonts w:cstheme="minorHAnsi"/>
                <w:sz w:val="24"/>
                <w:szCs w:val="24"/>
                <w:lang w:val="eu-ES"/>
              </w:rPr>
              <w:t>egonkortasunbidea</w:t>
            </w:r>
            <w:proofErr w:type="spellEnd"/>
            <w:r w:rsidRPr="00BB757C">
              <w:rPr>
                <w:rFonts w:cstheme="minorHAnsi"/>
                <w:sz w:val="24"/>
                <w:szCs w:val="24"/>
                <w:lang w:val="eu-ES"/>
              </w:rPr>
              <w:t xml:space="preserve"> etetea dakar; beraz, euskal erakundeentzat onartutako </w:t>
            </w:r>
            <w:proofErr w:type="spellStart"/>
            <w:r w:rsidRPr="00BB757C">
              <w:rPr>
                <w:rFonts w:cstheme="minorHAnsi"/>
                <w:sz w:val="24"/>
                <w:szCs w:val="24"/>
                <w:lang w:val="eu-ES"/>
              </w:rPr>
              <w:t>defiziteta</w:t>
            </w:r>
            <w:proofErr w:type="spellEnd"/>
            <w:r w:rsidRPr="00BB757C">
              <w:rPr>
                <w:rFonts w:cstheme="minorHAnsi"/>
                <w:sz w:val="24"/>
                <w:szCs w:val="24"/>
                <w:lang w:val="eu-ES"/>
              </w:rPr>
              <w:t xml:space="preserve"> zor-helburuak erreferentziazko tasatzat har daitezke, bi ekitaldietako aurrekontu-funtzionamendu arrunta ahalbidetzeko.</w:t>
            </w:r>
          </w:p>
          <w:p w14:paraId="6CF0DCBA" w14:textId="77777777" w:rsidR="00E761F7" w:rsidRPr="00BB757C" w:rsidRDefault="00E761F7" w:rsidP="00ED7A78">
            <w:pPr>
              <w:autoSpaceDE w:val="0"/>
              <w:autoSpaceDN w:val="0"/>
              <w:adjustRightInd w:val="0"/>
              <w:spacing w:after="0" w:line="240" w:lineRule="auto"/>
              <w:jc w:val="both"/>
              <w:rPr>
                <w:rFonts w:cstheme="minorHAnsi"/>
                <w:sz w:val="24"/>
                <w:szCs w:val="24"/>
                <w:lang w:val="eu-ES"/>
              </w:rPr>
            </w:pPr>
          </w:p>
          <w:p w14:paraId="6F50B49E" w14:textId="77777777" w:rsidR="008050AD" w:rsidRPr="00BB757C" w:rsidRDefault="008050AD" w:rsidP="00ED7A78">
            <w:pPr>
              <w:spacing w:after="0" w:line="240" w:lineRule="auto"/>
              <w:jc w:val="both"/>
              <w:rPr>
                <w:rFonts w:cstheme="minorHAnsi"/>
                <w:sz w:val="24"/>
                <w:szCs w:val="24"/>
                <w:lang w:val="eu-ES"/>
              </w:rPr>
            </w:pPr>
          </w:p>
        </w:tc>
        <w:tc>
          <w:tcPr>
            <w:tcW w:w="283" w:type="dxa"/>
            <w:tcBorders>
              <w:top w:val="nil"/>
              <w:left w:val="nil"/>
              <w:bottom w:val="nil"/>
              <w:right w:val="nil"/>
            </w:tcBorders>
          </w:tcPr>
          <w:p w14:paraId="062E04B8" w14:textId="77777777" w:rsidR="008050AD" w:rsidRPr="00ED7A78" w:rsidRDefault="008050AD" w:rsidP="00ED7A78">
            <w:pPr>
              <w:spacing w:after="0" w:line="240" w:lineRule="auto"/>
              <w:ind w:right="214"/>
              <w:jc w:val="both"/>
              <w:rPr>
                <w:rFonts w:ascii="Arial" w:hAnsi="Arial" w:cs="Arial"/>
                <w:sz w:val="20"/>
                <w:szCs w:val="20"/>
                <w:lang w:val="eu-ES"/>
              </w:rPr>
            </w:pPr>
          </w:p>
        </w:tc>
        <w:tc>
          <w:tcPr>
            <w:tcW w:w="4603" w:type="dxa"/>
            <w:tcBorders>
              <w:top w:val="nil"/>
              <w:left w:val="nil"/>
              <w:bottom w:val="nil"/>
              <w:right w:val="nil"/>
            </w:tcBorders>
          </w:tcPr>
          <w:p w14:paraId="2E77A8F0" w14:textId="77777777" w:rsidR="001F7679" w:rsidRPr="00BB757C" w:rsidRDefault="001F7679" w:rsidP="00ED7A78">
            <w:pPr>
              <w:autoSpaceDE w:val="0"/>
              <w:autoSpaceDN w:val="0"/>
              <w:adjustRightInd w:val="0"/>
              <w:spacing w:after="0" w:line="240" w:lineRule="auto"/>
              <w:jc w:val="both"/>
              <w:rPr>
                <w:rFonts w:cstheme="minorHAnsi"/>
                <w:sz w:val="24"/>
                <w:szCs w:val="24"/>
              </w:rPr>
            </w:pPr>
            <w:r w:rsidRPr="00BB757C">
              <w:rPr>
                <w:rFonts w:cstheme="minorHAnsi"/>
                <w:sz w:val="24"/>
                <w:szCs w:val="24"/>
              </w:rPr>
              <w:t xml:space="preserve">La pandemia ocasionada por el Covid-19 ha provocado un shock económico sin precedentes, y ha cambiado por completo el escenario económico. En este contexto de crisis económica y sanitaria, mediante acuerdo de Comisión Mixta del Concierto Económico de 30 de septiembre de 2020, la </w:t>
            </w:r>
            <w:r w:rsidRPr="00BB757C">
              <w:rPr>
                <w:rFonts w:cstheme="minorHAnsi"/>
                <w:sz w:val="24"/>
                <w:szCs w:val="24"/>
              </w:rPr>
              <w:lastRenderedPageBreak/>
              <w:t>Administración del Estado y el País Vasco han acordado los objetivos de estabilidad presupuestaria y sostenibilidad financiera para el periodo 2020-2021, estableciendo objetivos específicos de déficit y deuda pública para las Instituciones Comunes y objetivos de déficit conjuntos en el caso de las Diputaciones Forales.</w:t>
            </w:r>
          </w:p>
          <w:p w14:paraId="7103CC25" w14:textId="77777777" w:rsidR="00184590" w:rsidRPr="00BB757C" w:rsidRDefault="00184590" w:rsidP="00ED7A78">
            <w:pPr>
              <w:autoSpaceDE w:val="0"/>
              <w:autoSpaceDN w:val="0"/>
              <w:adjustRightInd w:val="0"/>
              <w:spacing w:after="0" w:line="240" w:lineRule="auto"/>
              <w:jc w:val="both"/>
              <w:rPr>
                <w:rFonts w:cstheme="minorHAnsi"/>
                <w:sz w:val="24"/>
                <w:szCs w:val="24"/>
              </w:rPr>
            </w:pPr>
          </w:p>
          <w:p w14:paraId="63C26A9F" w14:textId="77777777" w:rsidR="001F7679" w:rsidRPr="00BB757C" w:rsidRDefault="001F7679" w:rsidP="00ED7A78">
            <w:pPr>
              <w:autoSpaceDE w:val="0"/>
              <w:autoSpaceDN w:val="0"/>
              <w:adjustRightInd w:val="0"/>
              <w:spacing w:after="0" w:line="240" w:lineRule="auto"/>
              <w:jc w:val="both"/>
              <w:rPr>
                <w:rFonts w:cstheme="minorHAnsi"/>
                <w:sz w:val="24"/>
                <w:szCs w:val="24"/>
              </w:rPr>
            </w:pPr>
            <w:r w:rsidRPr="00BB757C">
              <w:rPr>
                <w:rFonts w:cstheme="minorHAnsi"/>
                <w:sz w:val="24"/>
                <w:szCs w:val="24"/>
              </w:rPr>
              <w:t>Además, debe tenerse en cuenta que el Gobierno de España ha decidido</w:t>
            </w:r>
            <w:r w:rsidR="0071379C" w:rsidRPr="00BB757C">
              <w:rPr>
                <w:rFonts w:cstheme="minorHAnsi"/>
                <w:sz w:val="24"/>
                <w:szCs w:val="24"/>
              </w:rPr>
              <w:t xml:space="preserve">, mediante acuerdo de Consejo de Ministros de 6 de octubre de 2020, </w:t>
            </w:r>
            <w:r w:rsidRPr="00BB757C">
              <w:rPr>
                <w:rFonts w:cstheme="minorHAnsi"/>
                <w:sz w:val="24"/>
                <w:szCs w:val="24"/>
              </w:rPr>
              <w:t>suspender de forma extraordinaria las reglas fiscales para los años 2020 y 2021, en línea con la activación por parte de la Comisión Europea de la cláusula general de salvaguardia del Pacto de Estabilidad y Crecimiento, con el objetivo de dotar a las administraciones públicas de la flexibilidad necesaria para luchar contra la pandemia de la Covid-19. Suspender las reglas fiscales de 2020 y 2021 conlleva suspender la senda de estabilidad, de forma que los objetivos de déficit y deuda aprobados para las instituciones vascas pueden considerarse tasas de referencia que permitan el funcionamiento presupuestario ordinario de ambos ejercicios.</w:t>
            </w:r>
          </w:p>
          <w:p w14:paraId="34814029" w14:textId="59244019" w:rsidR="00184590" w:rsidRPr="00BB757C" w:rsidRDefault="00184590" w:rsidP="00ED7A78">
            <w:pPr>
              <w:spacing w:after="0" w:line="240" w:lineRule="auto"/>
              <w:jc w:val="both"/>
              <w:rPr>
                <w:rFonts w:cstheme="minorHAnsi"/>
                <w:sz w:val="24"/>
                <w:szCs w:val="24"/>
              </w:rPr>
            </w:pPr>
          </w:p>
        </w:tc>
      </w:tr>
      <w:tr w:rsidR="008050AD" w:rsidRPr="00ED7A78" w14:paraId="1E4AA1BB" w14:textId="77777777" w:rsidTr="00184590">
        <w:tc>
          <w:tcPr>
            <w:tcW w:w="4603" w:type="dxa"/>
            <w:tcBorders>
              <w:top w:val="nil"/>
              <w:left w:val="nil"/>
              <w:bottom w:val="nil"/>
              <w:right w:val="nil"/>
            </w:tcBorders>
          </w:tcPr>
          <w:p w14:paraId="281708A0" w14:textId="77777777" w:rsidR="008B4FE0" w:rsidRPr="00BB757C" w:rsidRDefault="008B4FE0" w:rsidP="00ED7A78">
            <w:pPr>
              <w:autoSpaceDE w:val="0"/>
              <w:autoSpaceDN w:val="0"/>
              <w:adjustRightInd w:val="0"/>
              <w:spacing w:after="0" w:line="240" w:lineRule="auto"/>
              <w:jc w:val="both"/>
              <w:rPr>
                <w:rFonts w:cstheme="minorHAnsi"/>
                <w:sz w:val="24"/>
                <w:szCs w:val="24"/>
                <w:lang w:val="eu-ES"/>
              </w:rPr>
            </w:pPr>
            <w:r w:rsidRPr="00BB757C">
              <w:rPr>
                <w:rFonts w:cstheme="minorHAnsi"/>
                <w:sz w:val="24"/>
                <w:szCs w:val="24"/>
                <w:lang w:val="eu-ES"/>
              </w:rPr>
              <w:lastRenderedPageBreak/>
              <w:t>Autonomia Erkidego Osorako Erakundeen eta bertako Lurralde Historikoetako Foruzko Jardute- Erakundeen arteko Harremanei buruzko azaroaren 25eko 27/1983 Legearen 28.1 artikuluaren b) letraren arabera, Herri Dirubideen Euskal Kontseiluari dagokio euskal sektore publikoaren ekonomia-, finantza- eta aurrekontu-jarduerarekin zerikusia duen edozein gairi buruzko proposamenak aztertzea eta egitea Jaurlaritzari eta foru</w:t>
            </w:r>
            <w:r w:rsidR="009C28B4" w:rsidRPr="00BB757C">
              <w:rPr>
                <w:rFonts w:cstheme="minorHAnsi"/>
                <w:sz w:val="24"/>
                <w:szCs w:val="24"/>
                <w:lang w:val="eu-ES"/>
              </w:rPr>
              <w:t xml:space="preserve"> </w:t>
            </w:r>
            <w:r w:rsidRPr="00BB757C">
              <w:rPr>
                <w:rFonts w:cstheme="minorHAnsi"/>
                <w:sz w:val="24"/>
                <w:szCs w:val="24"/>
                <w:lang w:val="eu-ES"/>
              </w:rPr>
              <w:t>aldundiei, baldin eta, Kontseiluaren iritziz, jardun koordinatua behar badute.</w:t>
            </w:r>
          </w:p>
          <w:p w14:paraId="16B2B66C" w14:textId="77777777" w:rsidR="008B4FE0" w:rsidRPr="00ED7A78" w:rsidRDefault="008B4FE0" w:rsidP="00ED7A78">
            <w:pPr>
              <w:autoSpaceDE w:val="0"/>
              <w:autoSpaceDN w:val="0"/>
              <w:adjustRightInd w:val="0"/>
              <w:spacing w:after="0" w:line="240" w:lineRule="auto"/>
              <w:jc w:val="both"/>
              <w:rPr>
                <w:rFonts w:ascii="Arial" w:hAnsi="Arial" w:cs="Arial"/>
                <w:sz w:val="20"/>
                <w:szCs w:val="20"/>
                <w:lang w:val="eu-ES"/>
              </w:rPr>
            </w:pPr>
          </w:p>
          <w:p w14:paraId="610D0DF9" w14:textId="33F33638" w:rsidR="008050AD" w:rsidRDefault="008050AD" w:rsidP="00ED7A78">
            <w:pPr>
              <w:spacing w:after="0" w:line="240" w:lineRule="auto"/>
              <w:jc w:val="both"/>
              <w:rPr>
                <w:rFonts w:ascii="Arial" w:hAnsi="Arial" w:cs="Arial"/>
                <w:sz w:val="20"/>
                <w:szCs w:val="20"/>
                <w:lang w:val="eu-ES"/>
              </w:rPr>
            </w:pPr>
          </w:p>
          <w:p w14:paraId="1473DDFC" w14:textId="77777777" w:rsidR="00184590" w:rsidRDefault="00184590" w:rsidP="00ED7A78">
            <w:pPr>
              <w:spacing w:after="0" w:line="240" w:lineRule="auto"/>
              <w:jc w:val="both"/>
              <w:rPr>
                <w:rFonts w:ascii="Arial" w:hAnsi="Arial" w:cs="Arial"/>
                <w:sz w:val="20"/>
                <w:szCs w:val="20"/>
                <w:lang w:val="eu-ES"/>
              </w:rPr>
            </w:pPr>
          </w:p>
          <w:p w14:paraId="4CDDE0E6" w14:textId="77777777" w:rsidR="00A87648" w:rsidRPr="00BB757C" w:rsidRDefault="00A87648" w:rsidP="00A87648">
            <w:pPr>
              <w:autoSpaceDE w:val="0"/>
              <w:autoSpaceDN w:val="0"/>
              <w:adjustRightInd w:val="0"/>
              <w:spacing w:after="0" w:line="240" w:lineRule="auto"/>
              <w:jc w:val="both"/>
              <w:rPr>
                <w:rFonts w:cstheme="minorHAnsi"/>
                <w:sz w:val="24"/>
                <w:szCs w:val="24"/>
                <w:lang w:val="eu-ES"/>
              </w:rPr>
            </w:pPr>
            <w:r w:rsidRPr="00BB757C">
              <w:rPr>
                <w:rFonts w:cstheme="minorHAnsi"/>
                <w:sz w:val="24"/>
                <w:szCs w:val="24"/>
                <w:lang w:val="eu-ES"/>
              </w:rPr>
              <w:lastRenderedPageBreak/>
              <w:t>Horregatik guztiagatik, Foru Aldundien Baliabideak Banatzeko eta Ekarpenak Zehazteko Metodologiari buruzko martxoaren 23ko 2/2007 Legearen Bigarren Xedapen Gehigarriarekin bat etorriz, 1. atalean ezartzen baitu Herri Dirubideen Euskal Kontseiluak Euskal Autonomia Erkidegoko erakunde publikoen aurrekontu-egonkortasuneko helburuak adostuko dituela, Euskal Autonomia Erkidegorako hartzen diren konpromisoen esparruan, Ekonomia Itunaren 62. artikuluan aurreikusitakoa jarraiki, Herri Dirubideen Euskal Kontseiluak urriaren 15eko bileran foru aldundien aurrekontu egonkortasuneko helburuak onetsi zituen 2020-2021 aldirako:</w:t>
            </w:r>
          </w:p>
          <w:p w14:paraId="7709B06B" w14:textId="77777777" w:rsidR="00A87648" w:rsidRDefault="00A87648" w:rsidP="00ED7A78">
            <w:pPr>
              <w:spacing w:after="0" w:line="240" w:lineRule="auto"/>
              <w:jc w:val="both"/>
              <w:rPr>
                <w:rFonts w:ascii="Arial" w:hAnsi="Arial" w:cs="Arial"/>
                <w:sz w:val="20"/>
                <w:szCs w:val="20"/>
                <w:lang w:val="eu-ES"/>
              </w:rPr>
            </w:pPr>
          </w:p>
          <w:p w14:paraId="49C1E30B" w14:textId="77777777" w:rsidR="00A87648" w:rsidRDefault="00A87648" w:rsidP="00ED7A78">
            <w:pPr>
              <w:spacing w:after="0" w:line="240" w:lineRule="auto"/>
              <w:jc w:val="both"/>
              <w:rPr>
                <w:rFonts w:ascii="Arial" w:hAnsi="Arial" w:cs="Arial"/>
                <w:sz w:val="20"/>
                <w:szCs w:val="20"/>
                <w:lang w:val="eu-ES"/>
              </w:rPr>
            </w:pPr>
          </w:p>
          <w:p w14:paraId="2E3005AC" w14:textId="77777777" w:rsidR="00A87648" w:rsidRPr="00ED7A78" w:rsidRDefault="00A87648" w:rsidP="00ED7A78">
            <w:pPr>
              <w:spacing w:after="0" w:line="240" w:lineRule="auto"/>
              <w:jc w:val="both"/>
              <w:rPr>
                <w:rFonts w:ascii="Arial" w:hAnsi="Arial" w:cs="Arial"/>
                <w:sz w:val="20"/>
                <w:szCs w:val="20"/>
                <w:lang w:val="eu-ES"/>
              </w:rPr>
            </w:pPr>
          </w:p>
        </w:tc>
        <w:tc>
          <w:tcPr>
            <w:tcW w:w="283" w:type="dxa"/>
            <w:tcBorders>
              <w:top w:val="nil"/>
              <w:left w:val="nil"/>
              <w:bottom w:val="nil"/>
              <w:right w:val="nil"/>
            </w:tcBorders>
          </w:tcPr>
          <w:p w14:paraId="035667D0" w14:textId="77777777" w:rsidR="008050AD" w:rsidRPr="00ED7A78" w:rsidRDefault="008050AD" w:rsidP="00ED7A78">
            <w:pPr>
              <w:spacing w:after="0" w:line="240" w:lineRule="auto"/>
              <w:ind w:right="214"/>
              <w:jc w:val="both"/>
              <w:rPr>
                <w:rFonts w:ascii="Arial" w:hAnsi="Arial" w:cs="Arial"/>
                <w:sz w:val="20"/>
                <w:szCs w:val="20"/>
                <w:lang w:val="eu-ES"/>
              </w:rPr>
            </w:pPr>
          </w:p>
        </w:tc>
        <w:tc>
          <w:tcPr>
            <w:tcW w:w="4603" w:type="dxa"/>
            <w:tcBorders>
              <w:top w:val="nil"/>
              <w:left w:val="nil"/>
              <w:bottom w:val="nil"/>
              <w:right w:val="nil"/>
            </w:tcBorders>
          </w:tcPr>
          <w:p w14:paraId="24D93F40" w14:textId="77777777" w:rsidR="001F7679" w:rsidRPr="00BB757C" w:rsidRDefault="001F7679" w:rsidP="00ED7A78">
            <w:pPr>
              <w:autoSpaceDE w:val="0"/>
              <w:autoSpaceDN w:val="0"/>
              <w:adjustRightInd w:val="0"/>
              <w:spacing w:after="0" w:line="240" w:lineRule="auto"/>
              <w:jc w:val="both"/>
              <w:rPr>
                <w:rFonts w:cstheme="minorHAnsi"/>
                <w:sz w:val="24"/>
                <w:szCs w:val="24"/>
              </w:rPr>
            </w:pPr>
            <w:r w:rsidRPr="00BB757C">
              <w:rPr>
                <w:rFonts w:cstheme="minorHAnsi"/>
                <w:sz w:val="24"/>
                <w:szCs w:val="24"/>
              </w:rPr>
              <w:t>De acuerdo a la letra b del artículo 28.1 de la Ley 27/1983, de 25 de noviembre, de Relaciones entre las Instituciones Comunes de la Comunidad Autónoma y los Órganos Forales de sus Territorios Históricos, corresponde al Consejo Vasco de Finanzas Públicas el estudio y formulación de propuestas al Gobierno y a las Diputaciones Forales sobre cualquier materia relacionada con la actividad económica, financiera y presupuestaria del sector público vasco que, a juicio del Consejo, precise de una actuación coordinada.</w:t>
            </w:r>
          </w:p>
          <w:p w14:paraId="3D5C45EE" w14:textId="69271444" w:rsidR="001F7679" w:rsidRPr="00BB757C" w:rsidRDefault="001F7679" w:rsidP="00ED7A78">
            <w:pPr>
              <w:autoSpaceDE w:val="0"/>
              <w:autoSpaceDN w:val="0"/>
              <w:adjustRightInd w:val="0"/>
              <w:spacing w:after="0" w:line="240" w:lineRule="auto"/>
              <w:jc w:val="both"/>
              <w:rPr>
                <w:rFonts w:cstheme="minorHAnsi"/>
                <w:sz w:val="24"/>
                <w:szCs w:val="24"/>
              </w:rPr>
            </w:pPr>
          </w:p>
          <w:p w14:paraId="17F38079" w14:textId="77777777" w:rsidR="002D6E4D" w:rsidRPr="00BB757C" w:rsidRDefault="001F7679" w:rsidP="0071379C">
            <w:pPr>
              <w:autoSpaceDE w:val="0"/>
              <w:autoSpaceDN w:val="0"/>
              <w:adjustRightInd w:val="0"/>
              <w:spacing w:after="0" w:line="240" w:lineRule="auto"/>
              <w:jc w:val="both"/>
              <w:rPr>
                <w:rFonts w:cstheme="minorHAnsi"/>
                <w:sz w:val="24"/>
                <w:szCs w:val="24"/>
              </w:rPr>
            </w:pPr>
            <w:r w:rsidRPr="00BB757C">
              <w:rPr>
                <w:rFonts w:cstheme="minorHAnsi"/>
                <w:sz w:val="24"/>
                <w:szCs w:val="24"/>
              </w:rPr>
              <w:lastRenderedPageBreak/>
              <w:t xml:space="preserve">Por todo ello, y de conformidad con la Disposición Adicional Segunda de la Ley 2/2007, de 23 de marzo, de Metodología de Distribución de Recursos y de Determinación de las Aportaciones de las Diputaciones Forales, que en su apartado 1 establece que el Consejo Vasco de Finanzas Públicas acordará los objetivos de estabilidad presupuestaria de las instituciones públicas del País Vasco, en el marco de los compromisos que para la Comunidad Autónoma del País Vasco se adopten en aplicación de lo previsto en el artículo 62 del Concierto Económico, </w:t>
            </w:r>
            <w:r w:rsidR="002D6E4D" w:rsidRPr="00BB757C">
              <w:rPr>
                <w:rFonts w:cstheme="minorHAnsi"/>
                <w:sz w:val="24"/>
                <w:szCs w:val="24"/>
              </w:rPr>
              <w:t>el Consejo Vasco de Finanzas Públicas</w:t>
            </w:r>
            <w:r w:rsidR="0071379C" w:rsidRPr="00BB757C">
              <w:rPr>
                <w:rFonts w:cstheme="minorHAnsi"/>
                <w:sz w:val="24"/>
                <w:szCs w:val="24"/>
              </w:rPr>
              <w:t xml:space="preserve"> en reunión de 1</w:t>
            </w:r>
            <w:r w:rsidR="00A563DE" w:rsidRPr="00BB757C">
              <w:rPr>
                <w:rFonts w:cstheme="minorHAnsi"/>
                <w:sz w:val="24"/>
                <w:szCs w:val="24"/>
              </w:rPr>
              <w:t>5</w:t>
            </w:r>
            <w:r w:rsidR="0071379C" w:rsidRPr="00BB757C">
              <w:rPr>
                <w:rFonts w:cstheme="minorHAnsi"/>
                <w:sz w:val="24"/>
                <w:szCs w:val="24"/>
              </w:rPr>
              <w:t xml:space="preserve"> de octubre  aprobó los objetivos de estabilidad presupuestaria de las Diputaciones Forales para el periodo 2020-2021:</w:t>
            </w:r>
          </w:p>
          <w:p w14:paraId="77060E26" w14:textId="77777777" w:rsidR="0071379C" w:rsidRDefault="0071379C" w:rsidP="0071379C">
            <w:pPr>
              <w:autoSpaceDE w:val="0"/>
              <w:autoSpaceDN w:val="0"/>
              <w:adjustRightInd w:val="0"/>
              <w:spacing w:after="0" w:line="240" w:lineRule="auto"/>
              <w:jc w:val="both"/>
              <w:rPr>
                <w:rFonts w:ascii="Arial" w:hAnsi="Arial" w:cs="Arial"/>
                <w:sz w:val="20"/>
                <w:szCs w:val="20"/>
              </w:rPr>
            </w:pPr>
          </w:p>
          <w:p w14:paraId="3BE46F22" w14:textId="77777777" w:rsidR="00184590" w:rsidRDefault="00184590" w:rsidP="0071379C">
            <w:pPr>
              <w:autoSpaceDE w:val="0"/>
              <w:autoSpaceDN w:val="0"/>
              <w:adjustRightInd w:val="0"/>
              <w:spacing w:after="0" w:line="240" w:lineRule="auto"/>
              <w:jc w:val="both"/>
              <w:rPr>
                <w:rFonts w:ascii="Arial" w:hAnsi="Arial" w:cs="Arial"/>
                <w:sz w:val="20"/>
                <w:szCs w:val="20"/>
              </w:rPr>
            </w:pPr>
          </w:p>
          <w:p w14:paraId="73946098" w14:textId="624CEB1C" w:rsidR="00184590" w:rsidRPr="00ED7A78" w:rsidRDefault="00184590" w:rsidP="0071379C">
            <w:pPr>
              <w:autoSpaceDE w:val="0"/>
              <w:autoSpaceDN w:val="0"/>
              <w:adjustRightInd w:val="0"/>
              <w:spacing w:after="0" w:line="240" w:lineRule="auto"/>
              <w:jc w:val="both"/>
              <w:rPr>
                <w:rFonts w:ascii="Arial" w:hAnsi="Arial" w:cs="Arial"/>
                <w:sz w:val="20"/>
                <w:szCs w:val="20"/>
              </w:rPr>
            </w:pPr>
          </w:p>
        </w:tc>
      </w:tr>
      <w:tr w:rsidR="008050AD" w:rsidRPr="005C7041" w14:paraId="2429245C" w14:textId="77777777" w:rsidTr="00184590">
        <w:tc>
          <w:tcPr>
            <w:tcW w:w="4603" w:type="dxa"/>
            <w:tcBorders>
              <w:top w:val="nil"/>
              <w:left w:val="nil"/>
              <w:bottom w:val="nil"/>
              <w:right w:val="nil"/>
            </w:tcBorders>
          </w:tcPr>
          <w:p w14:paraId="302B35D0" w14:textId="77777777" w:rsidR="008B4FE0" w:rsidRPr="005C7041" w:rsidRDefault="008B4FE0" w:rsidP="00095302">
            <w:pPr>
              <w:autoSpaceDE w:val="0"/>
              <w:autoSpaceDN w:val="0"/>
              <w:adjustRightInd w:val="0"/>
              <w:spacing w:after="0" w:line="240" w:lineRule="auto"/>
              <w:jc w:val="center"/>
              <w:rPr>
                <w:rFonts w:cstheme="minorHAnsi"/>
                <w:b/>
                <w:bCs/>
                <w:sz w:val="24"/>
                <w:szCs w:val="24"/>
                <w:u w:val="single"/>
                <w:lang w:val="eu-ES"/>
              </w:rPr>
            </w:pPr>
            <w:r w:rsidRPr="005C7041">
              <w:rPr>
                <w:rFonts w:cstheme="minorHAnsi"/>
                <w:b/>
                <w:bCs/>
                <w:sz w:val="24"/>
                <w:szCs w:val="24"/>
                <w:u w:val="single"/>
                <w:lang w:val="eu-ES"/>
              </w:rPr>
              <w:lastRenderedPageBreak/>
              <w:t>AURREKONTUEGONKORTASUNAREN HELBURUA</w:t>
            </w:r>
          </w:p>
          <w:p w14:paraId="04BC2CDB" w14:textId="77777777" w:rsidR="00AE0CAD" w:rsidRPr="005C7041" w:rsidRDefault="00AE0CAD" w:rsidP="00095302">
            <w:pPr>
              <w:autoSpaceDE w:val="0"/>
              <w:autoSpaceDN w:val="0"/>
              <w:adjustRightInd w:val="0"/>
              <w:spacing w:after="0" w:line="240" w:lineRule="auto"/>
              <w:jc w:val="center"/>
              <w:rPr>
                <w:rFonts w:cstheme="minorHAnsi"/>
                <w:sz w:val="24"/>
                <w:szCs w:val="24"/>
                <w:lang w:val="eu-ES"/>
              </w:rPr>
            </w:pPr>
          </w:p>
          <w:p w14:paraId="42117B31" w14:textId="77777777" w:rsidR="008B4FE0" w:rsidRPr="005C7041" w:rsidRDefault="008B4FE0" w:rsidP="00095302">
            <w:pPr>
              <w:autoSpaceDE w:val="0"/>
              <w:autoSpaceDN w:val="0"/>
              <w:adjustRightInd w:val="0"/>
              <w:spacing w:after="0" w:line="240" w:lineRule="auto"/>
              <w:jc w:val="center"/>
              <w:rPr>
                <w:rFonts w:cstheme="minorHAnsi"/>
                <w:sz w:val="24"/>
                <w:szCs w:val="24"/>
                <w:lang w:val="eu-ES"/>
              </w:rPr>
            </w:pPr>
            <w:r w:rsidRPr="005C7041">
              <w:rPr>
                <w:rFonts w:cstheme="minorHAnsi"/>
                <w:sz w:val="24"/>
                <w:szCs w:val="24"/>
                <w:lang w:val="eu-ES"/>
              </w:rPr>
              <w:t>Finantzatzeko gaitasuna (+) beharra (-), SEC-2010</w:t>
            </w:r>
          </w:p>
          <w:p w14:paraId="7B193E77" w14:textId="77777777" w:rsidR="00095302" w:rsidRPr="005C7041" w:rsidRDefault="00095302" w:rsidP="00095302">
            <w:pPr>
              <w:autoSpaceDE w:val="0"/>
              <w:autoSpaceDN w:val="0"/>
              <w:adjustRightInd w:val="0"/>
              <w:spacing w:after="0" w:line="240" w:lineRule="auto"/>
              <w:jc w:val="center"/>
              <w:rPr>
                <w:rFonts w:cstheme="minorHAnsi"/>
                <w:sz w:val="24"/>
                <w:szCs w:val="24"/>
                <w:lang w:val="eu-ES"/>
              </w:rPr>
            </w:pPr>
          </w:p>
          <w:p w14:paraId="127E58F7" w14:textId="77777777" w:rsidR="008050AD" w:rsidRPr="005C7041" w:rsidRDefault="008B4FE0" w:rsidP="00095302">
            <w:pPr>
              <w:autoSpaceDE w:val="0"/>
              <w:autoSpaceDN w:val="0"/>
              <w:adjustRightInd w:val="0"/>
              <w:spacing w:after="0" w:line="240" w:lineRule="auto"/>
              <w:jc w:val="center"/>
              <w:rPr>
                <w:rFonts w:cstheme="minorHAnsi"/>
                <w:sz w:val="24"/>
                <w:szCs w:val="24"/>
                <w:lang w:val="eu-ES"/>
              </w:rPr>
            </w:pPr>
            <w:r w:rsidRPr="005C7041">
              <w:rPr>
                <w:rFonts w:cstheme="minorHAnsi"/>
                <w:sz w:val="24"/>
                <w:szCs w:val="24"/>
                <w:lang w:val="eu-ES"/>
              </w:rPr>
              <w:t xml:space="preserve">(EAEko </w:t>
            </w:r>
            <w:proofErr w:type="spellStart"/>
            <w:r w:rsidRPr="005C7041">
              <w:rPr>
                <w:rFonts w:cstheme="minorHAnsi"/>
                <w:sz w:val="24"/>
                <w:szCs w:val="24"/>
                <w:lang w:val="eu-ES"/>
              </w:rPr>
              <w:t>BPGren</w:t>
            </w:r>
            <w:proofErr w:type="spellEnd"/>
            <w:r w:rsidRPr="005C7041">
              <w:rPr>
                <w:rFonts w:cstheme="minorHAnsi"/>
                <w:sz w:val="24"/>
                <w:szCs w:val="24"/>
                <w:lang w:val="eu-ES"/>
              </w:rPr>
              <w:t xml:space="preserve"> ehunekoan)</w:t>
            </w:r>
          </w:p>
        </w:tc>
        <w:tc>
          <w:tcPr>
            <w:tcW w:w="283" w:type="dxa"/>
            <w:tcBorders>
              <w:top w:val="nil"/>
              <w:left w:val="nil"/>
              <w:bottom w:val="nil"/>
              <w:right w:val="nil"/>
            </w:tcBorders>
          </w:tcPr>
          <w:p w14:paraId="1427A76B" w14:textId="77777777" w:rsidR="008050AD" w:rsidRPr="005C7041" w:rsidRDefault="008050AD" w:rsidP="00ED7A78">
            <w:pPr>
              <w:spacing w:after="0" w:line="240" w:lineRule="auto"/>
              <w:ind w:right="214"/>
              <w:jc w:val="both"/>
              <w:rPr>
                <w:rFonts w:cstheme="minorHAnsi"/>
                <w:sz w:val="24"/>
                <w:szCs w:val="24"/>
                <w:lang w:val="eu-ES"/>
              </w:rPr>
            </w:pPr>
          </w:p>
        </w:tc>
        <w:tc>
          <w:tcPr>
            <w:tcW w:w="4603" w:type="dxa"/>
            <w:tcBorders>
              <w:top w:val="nil"/>
              <w:left w:val="nil"/>
              <w:bottom w:val="nil"/>
              <w:right w:val="nil"/>
            </w:tcBorders>
          </w:tcPr>
          <w:p w14:paraId="504E6360" w14:textId="77777777" w:rsidR="001F7679" w:rsidRPr="005C7041" w:rsidRDefault="001F7679" w:rsidP="00095302">
            <w:pPr>
              <w:autoSpaceDE w:val="0"/>
              <w:autoSpaceDN w:val="0"/>
              <w:adjustRightInd w:val="0"/>
              <w:spacing w:after="0" w:line="240" w:lineRule="auto"/>
              <w:jc w:val="center"/>
              <w:rPr>
                <w:rFonts w:cstheme="minorHAnsi"/>
                <w:b/>
                <w:bCs/>
                <w:sz w:val="24"/>
                <w:szCs w:val="24"/>
                <w:u w:val="single"/>
              </w:rPr>
            </w:pPr>
            <w:r w:rsidRPr="005C7041">
              <w:rPr>
                <w:rFonts w:cstheme="minorHAnsi"/>
                <w:b/>
                <w:bCs/>
                <w:sz w:val="24"/>
                <w:szCs w:val="24"/>
                <w:u w:val="single"/>
              </w:rPr>
              <w:t>OBJETIVO DE ESTABILIDAD PRESUPUESTARIA</w:t>
            </w:r>
          </w:p>
          <w:p w14:paraId="6A4739DB" w14:textId="77777777" w:rsidR="001F7679" w:rsidRPr="005C7041" w:rsidRDefault="001F7679" w:rsidP="00095302">
            <w:pPr>
              <w:autoSpaceDE w:val="0"/>
              <w:autoSpaceDN w:val="0"/>
              <w:adjustRightInd w:val="0"/>
              <w:spacing w:after="0" w:line="240" w:lineRule="auto"/>
              <w:jc w:val="center"/>
              <w:rPr>
                <w:rFonts w:cstheme="minorHAnsi"/>
                <w:sz w:val="24"/>
                <w:szCs w:val="24"/>
              </w:rPr>
            </w:pPr>
          </w:p>
          <w:p w14:paraId="49837A8C" w14:textId="77777777" w:rsidR="001F7679" w:rsidRPr="005C7041" w:rsidRDefault="001F7679" w:rsidP="00095302">
            <w:pPr>
              <w:autoSpaceDE w:val="0"/>
              <w:autoSpaceDN w:val="0"/>
              <w:adjustRightInd w:val="0"/>
              <w:spacing w:after="0" w:line="240" w:lineRule="auto"/>
              <w:jc w:val="center"/>
              <w:rPr>
                <w:rFonts w:cstheme="minorHAnsi"/>
                <w:sz w:val="24"/>
                <w:szCs w:val="24"/>
              </w:rPr>
            </w:pPr>
            <w:r w:rsidRPr="005C7041">
              <w:rPr>
                <w:rFonts w:cstheme="minorHAnsi"/>
                <w:sz w:val="24"/>
                <w:szCs w:val="24"/>
              </w:rPr>
              <w:t>Capacidad (+) Necesidad (-) de financiación, SEC-2010</w:t>
            </w:r>
          </w:p>
          <w:p w14:paraId="54012D97" w14:textId="77777777" w:rsidR="001F7679" w:rsidRPr="005C7041" w:rsidRDefault="001F7679" w:rsidP="00095302">
            <w:pPr>
              <w:autoSpaceDE w:val="0"/>
              <w:autoSpaceDN w:val="0"/>
              <w:adjustRightInd w:val="0"/>
              <w:spacing w:after="0" w:line="240" w:lineRule="auto"/>
              <w:jc w:val="center"/>
              <w:rPr>
                <w:rFonts w:cstheme="minorHAnsi"/>
                <w:sz w:val="24"/>
                <w:szCs w:val="24"/>
              </w:rPr>
            </w:pPr>
          </w:p>
          <w:p w14:paraId="4C3EE6CD" w14:textId="77777777" w:rsidR="008050AD" w:rsidRPr="005C7041" w:rsidRDefault="001F7679" w:rsidP="00095302">
            <w:pPr>
              <w:autoSpaceDE w:val="0"/>
              <w:autoSpaceDN w:val="0"/>
              <w:adjustRightInd w:val="0"/>
              <w:spacing w:after="0" w:line="240" w:lineRule="auto"/>
              <w:jc w:val="center"/>
              <w:rPr>
                <w:rFonts w:cstheme="minorHAnsi"/>
                <w:sz w:val="24"/>
                <w:szCs w:val="24"/>
              </w:rPr>
            </w:pPr>
            <w:r w:rsidRPr="005C7041">
              <w:rPr>
                <w:rFonts w:cstheme="minorHAnsi"/>
                <w:sz w:val="24"/>
                <w:szCs w:val="24"/>
              </w:rPr>
              <w:t>(En porcentaje del PIB de la CAPV)</w:t>
            </w:r>
          </w:p>
        </w:tc>
      </w:tr>
    </w:tbl>
    <w:p w14:paraId="5964A7C0" w14:textId="77777777" w:rsidR="008B4FE0" w:rsidRPr="005C7041" w:rsidRDefault="008B4FE0" w:rsidP="008050AD">
      <w:pPr>
        <w:spacing w:after="0" w:line="240" w:lineRule="auto"/>
        <w:jc w:val="both"/>
        <w:rPr>
          <w:rFonts w:cstheme="minorHAnsi"/>
          <w:sz w:val="24"/>
          <w:szCs w:val="24"/>
          <w:lang w:val="eu-ES"/>
        </w:rPr>
      </w:pPr>
    </w:p>
    <w:tbl>
      <w:tblPr>
        <w:tblStyle w:val="Tablaconcuadrcula"/>
        <w:tblW w:w="0" w:type="auto"/>
        <w:tblInd w:w="1838" w:type="dxa"/>
        <w:tblLook w:val="04A0" w:firstRow="1" w:lastRow="0" w:firstColumn="1" w:lastColumn="0" w:noHBand="0" w:noVBand="1"/>
      </w:tblPr>
      <w:tblGrid>
        <w:gridCol w:w="2122"/>
        <w:gridCol w:w="2126"/>
      </w:tblGrid>
      <w:tr w:rsidR="008B4FE0" w:rsidRPr="005C7041" w14:paraId="49D54DF0" w14:textId="77777777" w:rsidTr="00AE0CAD">
        <w:tc>
          <w:tcPr>
            <w:tcW w:w="2122" w:type="dxa"/>
            <w:shd w:val="pct5" w:color="auto" w:fill="auto"/>
          </w:tcPr>
          <w:p w14:paraId="058451C9" w14:textId="77777777" w:rsidR="008B4FE0" w:rsidRPr="005C7041" w:rsidRDefault="008B4FE0" w:rsidP="00AE0CAD">
            <w:pPr>
              <w:spacing w:before="120" w:after="120"/>
              <w:ind w:right="215"/>
              <w:jc w:val="center"/>
              <w:rPr>
                <w:rFonts w:cstheme="minorHAnsi"/>
                <w:b/>
                <w:bCs/>
                <w:sz w:val="24"/>
                <w:szCs w:val="24"/>
                <w:lang w:val="eu-ES"/>
              </w:rPr>
            </w:pPr>
            <w:r w:rsidRPr="005C7041">
              <w:rPr>
                <w:rFonts w:cstheme="minorHAnsi"/>
                <w:b/>
                <w:bCs/>
                <w:sz w:val="24"/>
                <w:szCs w:val="24"/>
                <w:lang w:val="eu-ES"/>
              </w:rPr>
              <w:t>2020</w:t>
            </w:r>
          </w:p>
        </w:tc>
        <w:tc>
          <w:tcPr>
            <w:tcW w:w="2126" w:type="dxa"/>
            <w:shd w:val="pct5" w:color="auto" w:fill="auto"/>
          </w:tcPr>
          <w:p w14:paraId="4042481D" w14:textId="77777777" w:rsidR="008B4FE0" w:rsidRPr="005C7041" w:rsidRDefault="008B4FE0" w:rsidP="00AE0CAD">
            <w:pPr>
              <w:spacing w:before="120" w:after="120"/>
              <w:ind w:right="215"/>
              <w:jc w:val="center"/>
              <w:rPr>
                <w:rFonts w:cstheme="minorHAnsi"/>
                <w:b/>
                <w:bCs/>
                <w:sz w:val="24"/>
                <w:szCs w:val="24"/>
                <w:lang w:val="eu-ES"/>
              </w:rPr>
            </w:pPr>
            <w:r w:rsidRPr="005C7041">
              <w:rPr>
                <w:rFonts w:cstheme="minorHAnsi"/>
                <w:b/>
                <w:bCs/>
                <w:sz w:val="24"/>
                <w:szCs w:val="24"/>
                <w:lang w:val="eu-ES"/>
              </w:rPr>
              <w:t>2021</w:t>
            </w:r>
          </w:p>
        </w:tc>
      </w:tr>
      <w:tr w:rsidR="008B4FE0" w:rsidRPr="005C7041" w14:paraId="4F96FDD1" w14:textId="77777777" w:rsidTr="00AE0CAD">
        <w:tc>
          <w:tcPr>
            <w:tcW w:w="2122" w:type="dxa"/>
          </w:tcPr>
          <w:p w14:paraId="171BBC05" w14:textId="77777777" w:rsidR="008B4FE0" w:rsidRPr="005C7041" w:rsidRDefault="008B4FE0" w:rsidP="00AE0CAD">
            <w:pPr>
              <w:spacing w:before="120" w:after="120"/>
              <w:ind w:right="215"/>
              <w:jc w:val="center"/>
              <w:rPr>
                <w:rFonts w:cstheme="minorHAnsi"/>
                <w:sz w:val="24"/>
                <w:szCs w:val="24"/>
                <w:lang w:val="eu-ES"/>
              </w:rPr>
            </w:pPr>
            <w:r w:rsidRPr="005C7041">
              <w:rPr>
                <w:rFonts w:cstheme="minorHAnsi"/>
                <w:sz w:val="24"/>
                <w:szCs w:val="24"/>
                <w:lang w:val="eu-ES"/>
              </w:rPr>
              <w:t>-0,9</w:t>
            </w:r>
          </w:p>
        </w:tc>
        <w:tc>
          <w:tcPr>
            <w:tcW w:w="2126" w:type="dxa"/>
          </w:tcPr>
          <w:p w14:paraId="1E08B867" w14:textId="77777777" w:rsidR="008B4FE0" w:rsidRPr="005C7041" w:rsidRDefault="008B4FE0" w:rsidP="00AE0CAD">
            <w:pPr>
              <w:spacing w:before="120" w:after="120"/>
              <w:ind w:right="215"/>
              <w:jc w:val="center"/>
              <w:rPr>
                <w:rFonts w:cstheme="minorHAnsi"/>
                <w:sz w:val="24"/>
                <w:szCs w:val="24"/>
                <w:lang w:val="eu-ES"/>
              </w:rPr>
            </w:pPr>
            <w:r w:rsidRPr="005C7041">
              <w:rPr>
                <w:rFonts w:cstheme="minorHAnsi"/>
                <w:sz w:val="24"/>
                <w:szCs w:val="24"/>
                <w:lang w:val="eu-ES"/>
              </w:rPr>
              <w:t>-0,8</w:t>
            </w:r>
          </w:p>
        </w:tc>
      </w:tr>
    </w:tbl>
    <w:p w14:paraId="6E940FD1" w14:textId="45883CA6" w:rsidR="008B4FE0" w:rsidRPr="005C7041" w:rsidRDefault="008B4FE0" w:rsidP="008050AD">
      <w:pPr>
        <w:spacing w:after="0" w:line="240" w:lineRule="auto"/>
        <w:jc w:val="both"/>
        <w:rPr>
          <w:rFonts w:cstheme="minorHAnsi"/>
          <w:sz w:val="24"/>
          <w:szCs w:val="24"/>
          <w:lang w:val="eu-ES"/>
        </w:rPr>
      </w:pPr>
    </w:p>
    <w:tbl>
      <w:tblPr>
        <w:tblW w:w="9489" w:type="dxa"/>
        <w:tblInd w:w="-567" w:type="dxa"/>
        <w:tblBorders>
          <w:insideH w:val="single" w:sz="6" w:space="0" w:color="auto"/>
        </w:tblBorders>
        <w:tblLayout w:type="fixed"/>
        <w:tblCellMar>
          <w:left w:w="70" w:type="dxa"/>
          <w:right w:w="70" w:type="dxa"/>
        </w:tblCellMar>
        <w:tblLook w:val="0000" w:firstRow="0" w:lastRow="0" w:firstColumn="0" w:lastColumn="0" w:noHBand="0" w:noVBand="0"/>
      </w:tblPr>
      <w:tblGrid>
        <w:gridCol w:w="4603"/>
        <w:gridCol w:w="283"/>
        <w:gridCol w:w="4603"/>
      </w:tblGrid>
      <w:tr w:rsidR="00184590" w:rsidRPr="005C7041" w14:paraId="710A1FB7" w14:textId="77777777" w:rsidTr="00D611A2">
        <w:tc>
          <w:tcPr>
            <w:tcW w:w="4603" w:type="dxa"/>
            <w:tcBorders>
              <w:top w:val="nil"/>
              <w:left w:val="nil"/>
              <w:bottom w:val="nil"/>
              <w:right w:val="nil"/>
            </w:tcBorders>
          </w:tcPr>
          <w:p w14:paraId="05A92700" w14:textId="77777777" w:rsidR="00184590" w:rsidRPr="005C7041" w:rsidRDefault="00184590" w:rsidP="00D611A2">
            <w:pPr>
              <w:autoSpaceDE w:val="0"/>
              <w:autoSpaceDN w:val="0"/>
              <w:adjustRightInd w:val="0"/>
              <w:spacing w:after="0" w:line="240" w:lineRule="auto"/>
              <w:jc w:val="center"/>
              <w:rPr>
                <w:rFonts w:cstheme="minorHAnsi"/>
                <w:sz w:val="24"/>
                <w:szCs w:val="24"/>
                <w:lang w:val="eu-ES"/>
              </w:rPr>
            </w:pPr>
          </w:p>
          <w:p w14:paraId="4549D662" w14:textId="304828AA" w:rsidR="00184590" w:rsidRPr="005C7041" w:rsidRDefault="00184590" w:rsidP="00D611A2">
            <w:pPr>
              <w:autoSpaceDE w:val="0"/>
              <w:autoSpaceDN w:val="0"/>
              <w:adjustRightInd w:val="0"/>
              <w:spacing w:after="0" w:line="240" w:lineRule="auto"/>
              <w:jc w:val="center"/>
              <w:rPr>
                <w:rFonts w:cstheme="minorHAnsi"/>
                <w:sz w:val="24"/>
                <w:szCs w:val="24"/>
                <w:lang w:val="eu-ES"/>
              </w:rPr>
            </w:pPr>
            <w:r w:rsidRPr="005C7041">
              <w:rPr>
                <w:rFonts w:cstheme="minorHAnsi"/>
                <w:sz w:val="24"/>
                <w:szCs w:val="24"/>
                <w:lang w:val="eu-ES"/>
              </w:rPr>
              <w:t>(milioi eurotan)</w:t>
            </w:r>
          </w:p>
        </w:tc>
        <w:tc>
          <w:tcPr>
            <w:tcW w:w="283" w:type="dxa"/>
            <w:tcBorders>
              <w:top w:val="nil"/>
              <w:left w:val="nil"/>
              <w:bottom w:val="nil"/>
              <w:right w:val="nil"/>
            </w:tcBorders>
          </w:tcPr>
          <w:p w14:paraId="3CB24DF6" w14:textId="77777777" w:rsidR="00184590" w:rsidRPr="005C7041" w:rsidRDefault="00184590" w:rsidP="00D611A2">
            <w:pPr>
              <w:spacing w:after="0" w:line="240" w:lineRule="auto"/>
              <w:ind w:right="214"/>
              <w:jc w:val="both"/>
              <w:rPr>
                <w:rFonts w:cstheme="minorHAnsi"/>
                <w:sz w:val="24"/>
                <w:szCs w:val="24"/>
                <w:lang w:val="eu-ES"/>
              </w:rPr>
            </w:pPr>
          </w:p>
        </w:tc>
        <w:tc>
          <w:tcPr>
            <w:tcW w:w="4603" w:type="dxa"/>
            <w:tcBorders>
              <w:top w:val="nil"/>
              <w:left w:val="nil"/>
              <w:bottom w:val="nil"/>
              <w:right w:val="nil"/>
            </w:tcBorders>
          </w:tcPr>
          <w:p w14:paraId="67E84A0D" w14:textId="77777777" w:rsidR="00184590" w:rsidRPr="005C7041" w:rsidRDefault="00184590" w:rsidP="00D611A2">
            <w:pPr>
              <w:autoSpaceDE w:val="0"/>
              <w:autoSpaceDN w:val="0"/>
              <w:adjustRightInd w:val="0"/>
              <w:spacing w:after="0" w:line="240" w:lineRule="auto"/>
              <w:jc w:val="center"/>
              <w:rPr>
                <w:rFonts w:cstheme="minorHAnsi"/>
                <w:sz w:val="24"/>
                <w:szCs w:val="24"/>
              </w:rPr>
            </w:pPr>
          </w:p>
          <w:p w14:paraId="556DD17A" w14:textId="4CE18902" w:rsidR="00184590" w:rsidRPr="005C7041" w:rsidRDefault="00184590" w:rsidP="00D611A2">
            <w:pPr>
              <w:autoSpaceDE w:val="0"/>
              <w:autoSpaceDN w:val="0"/>
              <w:adjustRightInd w:val="0"/>
              <w:spacing w:after="0" w:line="240" w:lineRule="auto"/>
              <w:jc w:val="center"/>
              <w:rPr>
                <w:rFonts w:cstheme="minorHAnsi"/>
                <w:sz w:val="24"/>
                <w:szCs w:val="24"/>
              </w:rPr>
            </w:pPr>
            <w:r w:rsidRPr="005C7041">
              <w:rPr>
                <w:rFonts w:cstheme="minorHAnsi"/>
                <w:sz w:val="24"/>
                <w:szCs w:val="24"/>
              </w:rPr>
              <w:t>(En millones de euros)</w:t>
            </w:r>
          </w:p>
        </w:tc>
      </w:tr>
    </w:tbl>
    <w:p w14:paraId="610352B6" w14:textId="77777777" w:rsidR="00184590" w:rsidRPr="005C7041" w:rsidRDefault="00184590" w:rsidP="008050AD">
      <w:pPr>
        <w:spacing w:after="0" w:line="240" w:lineRule="auto"/>
        <w:jc w:val="both"/>
        <w:rPr>
          <w:rFonts w:cstheme="minorHAnsi"/>
          <w:sz w:val="24"/>
          <w:szCs w:val="24"/>
        </w:rPr>
      </w:pPr>
    </w:p>
    <w:tbl>
      <w:tblPr>
        <w:tblStyle w:val="Tablaconcuadrcula"/>
        <w:tblW w:w="0" w:type="auto"/>
        <w:tblInd w:w="1838" w:type="dxa"/>
        <w:tblLook w:val="04A0" w:firstRow="1" w:lastRow="0" w:firstColumn="1" w:lastColumn="0" w:noHBand="0" w:noVBand="1"/>
      </w:tblPr>
      <w:tblGrid>
        <w:gridCol w:w="2122"/>
        <w:gridCol w:w="2126"/>
      </w:tblGrid>
      <w:tr w:rsidR="00184590" w:rsidRPr="005C7041" w14:paraId="777ED17A" w14:textId="77777777" w:rsidTr="00D611A2">
        <w:tc>
          <w:tcPr>
            <w:tcW w:w="2122" w:type="dxa"/>
            <w:shd w:val="pct5" w:color="auto" w:fill="auto"/>
          </w:tcPr>
          <w:p w14:paraId="70DAFF9F" w14:textId="77777777" w:rsidR="00184590" w:rsidRPr="005C7041" w:rsidRDefault="00184590" w:rsidP="00D611A2">
            <w:pPr>
              <w:spacing w:before="120" w:after="120"/>
              <w:ind w:right="215"/>
              <w:jc w:val="center"/>
              <w:rPr>
                <w:rFonts w:cstheme="minorHAnsi"/>
                <w:b/>
                <w:bCs/>
                <w:sz w:val="24"/>
                <w:szCs w:val="24"/>
                <w:lang w:val="eu-ES"/>
              </w:rPr>
            </w:pPr>
            <w:r w:rsidRPr="005C7041">
              <w:rPr>
                <w:rFonts w:cstheme="minorHAnsi"/>
                <w:b/>
                <w:bCs/>
                <w:sz w:val="24"/>
                <w:szCs w:val="24"/>
                <w:lang w:val="eu-ES"/>
              </w:rPr>
              <w:t>2020</w:t>
            </w:r>
          </w:p>
        </w:tc>
        <w:tc>
          <w:tcPr>
            <w:tcW w:w="2126" w:type="dxa"/>
            <w:shd w:val="pct5" w:color="auto" w:fill="auto"/>
          </w:tcPr>
          <w:p w14:paraId="1C8D6595" w14:textId="77777777" w:rsidR="00184590" w:rsidRPr="005C7041" w:rsidRDefault="00184590" w:rsidP="00D611A2">
            <w:pPr>
              <w:spacing w:before="120" w:after="120"/>
              <w:ind w:right="215"/>
              <w:jc w:val="center"/>
              <w:rPr>
                <w:rFonts w:cstheme="minorHAnsi"/>
                <w:b/>
                <w:bCs/>
                <w:sz w:val="24"/>
                <w:szCs w:val="24"/>
                <w:lang w:val="eu-ES"/>
              </w:rPr>
            </w:pPr>
            <w:r w:rsidRPr="005C7041">
              <w:rPr>
                <w:rFonts w:cstheme="minorHAnsi"/>
                <w:b/>
                <w:bCs/>
                <w:sz w:val="24"/>
                <w:szCs w:val="24"/>
                <w:lang w:val="eu-ES"/>
              </w:rPr>
              <w:t>2021</w:t>
            </w:r>
          </w:p>
        </w:tc>
      </w:tr>
      <w:tr w:rsidR="00184590" w:rsidRPr="005C7041" w14:paraId="5E9EB1B0" w14:textId="77777777" w:rsidTr="00D611A2">
        <w:tc>
          <w:tcPr>
            <w:tcW w:w="2122" w:type="dxa"/>
          </w:tcPr>
          <w:p w14:paraId="5737390B" w14:textId="277EAB88" w:rsidR="00184590" w:rsidRPr="005C7041" w:rsidRDefault="006C0BDB" w:rsidP="00D611A2">
            <w:pPr>
              <w:spacing w:before="120" w:after="120"/>
              <w:ind w:right="215"/>
              <w:jc w:val="center"/>
              <w:rPr>
                <w:rFonts w:cstheme="minorHAnsi"/>
                <w:sz w:val="24"/>
                <w:szCs w:val="24"/>
                <w:lang w:val="eu-ES"/>
              </w:rPr>
            </w:pPr>
            <w:r w:rsidRPr="005C7041">
              <w:rPr>
                <w:rFonts w:cstheme="minorHAnsi"/>
                <w:sz w:val="24"/>
                <w:szCs w:val="24"/>
                <w:lang w:val="eu-ES"/>
              </w:rPr>
              <w:t>-</w:t>
            </w:r>
            <w:r w:rsidR="00184590" w:rsidRPr="005C7041">
              <w:rPr>
                <w:rFonts w:cstheme="minorHAnsi"/>
                <w:sz w:val="24"/>
                <w:szCs w:val="24"/>
                <w:lang w:val="eu-ES"/>
              </w:rPr>
              <w:t>595</w:t>
            </w:r>
          </w:p>
        </w:tc>
        <w:tc>
          <w:tcPr>
            <w:tcW w:w="2126" w:type="dxa"/>
          </w:tcPr>
          <w:p w14:paraId="7C94416B" w14:textId="418756CD" w:rsidR="00184590" w:rsidRPr="005C7041" w:rsidRDefault="006C0BDB" w:rsidP="00D611A2">
            <w:pPr>
              <w:spacing w:before="120" w:after="120"/>
              <w:ind w:right="215"/>
              <w:jc w:val="center"/>
              <w:rPr>
                <w:rFonts w:cstheme="minorHAnsi"/>
                <w:sz w:val="24"/>
                <w:szCs w:val="24"/>
                <w:lang w:val="eu-ES"/>
              </w:rPr>
            </w:pPr>
            <w:r w:rsidRPr="005C7041">
              <w:rPr>
                <w:rFonts w:cstheme="minorHAnsi"/>
                <w:sz w:val="24"/>
                <w:szCs w:val="24"/>
                <w:lang w:val="eu-ES"/>
              </w:rPr>
              <w:t>-</w:t>
            </w:r>
            <w:r w:rsidR="00184590" w:rsidRPr="005C7041">
              <w:rPr>
                <w:rFonts w:cstheme="minorHAnsi"/>
                <w:sz w:val="24"/>
                <w:szCs w:val="24"/>
                <w:lang w:val="eu-ES"/>
              </w:rPr>
              <w:t>588</w:t>
            </w:r>
          </w:p>
        </w:tc>
      </w:tr>
    </w:tbl>
    <w:p w14:paraId="034C2672" w14:textId="77777777" w:rsidR="00184590" w:rsidRPr="005C7041" w:rsidRDefault="00184590" w:rsidP="008050AD">
      <w:pPr>
        <w:spacing w:after="0" w:line="240" w:lineRule="auto"/>
        <w:jc w:val="both"/>
        <w:rPr>
          <w:rFonts w:cstheme="minorHAnsi"/>
          <w:sz w:val="24"/>
          <w:szCs w:val="24"/>
          <w:lang w:val="eu-ES"/>
        </w:rPr>
      </w:pPr>
    </w:p>
    <w:p w14:paraId="5DBA183A" w14:textId="77777777" w:rsidR="006C0BDB" w:rsidRPr="005C7041" w:rsidRDefault="006C0BDB">
      <w:pPr>
        <w:rPr>
          <w:rFonts w:cstheme="minorHAnsi"/>
          <w:sz w:val="24"/>
          <w:szCs w:val="24"/>
        </w:rPr>
      </w:pPr>
    </w:p>
    <w:tbl>
      <w:tblPr>
        <w:tblW w:w="9923" w:type="dxa"/>
        <w:tblInd w:w="-567" w:type="dxa"/>
        <w:tblBorders>
          <w:insideH w:val="single" w:sz="6" w:space="0" w:color="auto"/>
        </w:tblBorders>
        <w:tblLayout w:type="fixed"/>
        <w:tblCellMar>
          <w:left w:w="70" w:type="dxa"/>
          <w:right w:w="70" w:type="dxa"/>
        </w:tblCellMar>
        <w:tblLook w:val="0000" w:firstRow="0" w:lastRow="0" w:firstColumn="0" w:lastColumn="0" w:noHBand="0" w:noVBand="0"/>
      </w:tblPr>
      <w:tblGrid>
        <w:gridCol w:w="4678"/>
        <w:gridCol w:w="567"/>
        <w:gridCol w:w="4678"/>
      </w:tblGrid>
      <w:tr w:rsidR="008B4FE0" w:rsidRPr="00BB757C" w14:paraId="7828005A" w14:textId="77777777" w:rsidTr="008050AD">
        <w:tc>
          <w:tcPr>
            <w:tcW w:w="4678" w:type="dxa"/>
            <w:tcBorders>
              <w:top w:val="nil"/>
              <w:left w:val="nil"/>
              <w:bottom w:val="nil"/>
              <w:right w:val="nil"/>
            </w:tcBorders>
          </w:tcPr>
          <w:p w14:paraId="412FBD69" w14:textId="77777777" w:rsidR="00F76B17" w:rsidRPr="00BB757C" w:rsidRDefault="00F76B17" w:rsidP="0071379C">
            <w:pPr>
              <w:tabs>
                <w:tab w:val="left" w:pos="257"/>
              </w:tabs>
              <w:autoSpaceDE w:val="0"/>
              <w:autoSpaceDN w:val="0"/>
              <w:adjustRightInd w:val="0"/>
              <w:spacing w:after="0" w:line="240" w:lineRule="auto"/>
              <w:jc w:val="both"/>
              <w:rPr>
                <w:rFonts w:cstheme="minorHAnsi"/>
                <w:sz w:val="24"/>
                <w:szCs w:val="24"/>
                <w:lang w:val="eu-ES"/>
              </w:rPr>
            </w:pPr>
          </w:p>
          <w:p w14:paraId="5F8241FB" w14:textId="77777777" w:rsidR="001F7679" w:rsidRPr="00BB757C" w:rsidRDefault="001F7679" w:rsidP="0071379C">
            <w:pPr>
              <w:tabs>
                <w:tab w:val="left" w:pos="257"/>
              </w:tabs>
              <w:autoSpaceDE w:val="0"/>
              <w:autoSpaceDN w:val="0"/>
              <w:adjustRightInd w:val="0"/>
              <w:spacing w:after="0" w:line="240" w:lineRule="auto"/>
              <w:jc w:val="both"/>
              <w:rPr>
                <w:rFonts w:cstheme="minorHAnsi"/>
                <w:sz w:val="24"/>
                <w:szCs w:val="24"/>
                <w:lang w:val="eu-ES"/>
              </w:rPr>
            </w:pPr>
            <w:r w:rsidRPr="00BB757C">
              <w:rPr>
                <w:rFonts w:cstheme="minorHAnsi"/>
                <w:sz w:val="24"/>
                <w:szCs w:val="24"/>
                <w:lang w:val="eu-ES"/>
              </w:rPr>
              <w:t>Foru aldundien baterako defizit</w:t>
            </w:r>
            <w:r w:rsidR="00AD68DE" w:rsidRPr="00BB757C">
              <w:rPr>
                <w:rFonts w:cstheme="minorHAnsi"/>
                <w:sz w:val="24"/>
                <w:szCs w:val="24"/>
                <w:lang w:val="eu-ES"/>
              </w:rPr>
              <w:t xml:space="preserve"> </w:t>
            </w:r>
            <w:r w:rsidRPr="00BB757C">
              <w:rPr>
                <w:rFonts w:cstheme="minorHAnsi"/>
                <w:sz w:val="24"/>
                <w:szCs w:val="24"/>
                <w:lang w:val="eu-ES"/>
              </w:rPr>
              <w:t>helburuaren lurralde-banaketa 2020ko eta 2021eko ekitaldietarako onartutako ekarpen-koefiziente horizontalen arabera egingo da.</w:t>
            </w:r>
          </w:p>
          <w:p w14:paraId="232A160C" w14:textId="77777777" w:rsidR="001F7679" w:rsidRPr="00BB757C" w:rsidRDefault="001F7679" w:rsidP="00ED7A78">
            <w:pPr>
              <w:tabs>
                <w:tab w:val="left" w:pos="257"/>
              </w:tabs>
              <w:autoSpaceDE w:val="0"/>
              <w:autoSpaceDN w:val="0"/>
              <w:adjustRightInd w:val="0"/>
              <w:spacing w:after="0" w:line="240" w:lineRule="auto"/>
              <w:ind w:left="257" w:hanging="257"/>
              <w:jc w:val="both"/>
              <w:rPr>
                <w:rFonts w:cstheme="minorHAnsi"/>
                <w:sz w:val="24"/>
                <w:szCs w:val="24"/>
                <w:lang w:val="eu-ES"/>
              </w:rPr>
            </w:pPr>
          </w:p>
          <w:p w14:paraId="448E1B5F" w14:textId="77777777" w:rsidR="008B4FE0" w:rsidRPr="00BB757C" w:rsidRDefault="008B4FE0" w:rsidP="00ED7A78">
            <w:pPr>
              <w:spacing w:after="0" w:line="240" w:lineRule="auto"/>
              <w:jc w:val="both"/>
              <w:rPr>
                <w:rFonts w:cstheme="minorHAnsi"/>
                <w:sz w:val="24"/>
                <w:szCs w:val="24"/>
                <w:lang w:val="eu-ES"/>
              </w:rPr>
            </w:pPr>
          </w:p>
          <w:p w14:paraId="07A2C532" w14:textId="0879D286" w:rsidR="006C0BDB" w:rsidRPr="00BB757C" w:rsidRDefault="006C0BDB" w:rsidP="00ED7A78">
            <w:pPr>
              <w:spacing w:after="0" w:line="240" w:lineRule="auto"/>
              <w:jc w:val="both"/>
              <w:rPr>
                <w:rFonts w:cstheme="minorHAnsi"/>
                <w:sz w:val="24"/>
                <w:szCs w:val="24"/>
                <w:lang w:val="eu-ES"/>
              </w:rPr>
            </w:pPr>
          </w:p>
        </w:tc>
        <w:tc>
          <w:tcPr>
            <w:tcW w:w="567" w:type="dxa"/>
            <w:tcBorders>
              <w:top w:val="nil"/>
              <w:left w:val="nil"/>
              <w:bottom w:val="nil"/>
              <w:right w:val="nil"/>
            </w:tcBorders>
          </w:tcPr>
          <w:p w14:paraId="0A73C890" w14:textId="77777777" w:rsidR="008B4FE0" w:rsidRPr="00BB757C" w:rsidRDefault="008B4FE0" w:rsidP="00ED7A78">
            <w:pPr>
              <w:spacing w:after="0" w:line="240" w:lineRule="auto"/>
              <w:ind w:right="214"/>
              <w:jc w:val="both"/>
              <w:rPr>
                <w:rFonts w:cstheme="minorHAnsi"/>
                <w:sz w:val="24"/>
                <w:szCs w:val="24"/>
                <w:lang w:val="eu-ES"/>
              </w:rPr>
            </w:pPr>
          </w:p>
        </w:tc>
        <w:tc>
          <w:tcPr>
            <w:tcW w:w="4678" w:type="dxa"/>
            <w:tcBorders>
              <w:top w:val="nil"/>
              <w:left w:val="nil"/>
              <w:bottom w:val="nil"/>
              <w:right w:val="nil"/>
            </w:tcBorders>
          </w:tcPr>
          <w:p w14:paraId="16E1F509" w14:textId="77777777" w:rsidR="00F76B17" w:rsidRPr="00BB757C" w:rsidRDefault="00F76B17" w:rsidP="0071379C">
            <w:pPr>
              <w:tabs>
                <w:tab w:val="left" w:pos="0"/>
              </w:tabs>
              <w:autoSpaceDE w:val="0"/>
              <w:autoSpaceDN w:val="0"/>
              <w:adjustRightInd w:val="0"/>
              <w:spacing w:after="0" w:line="240" w:lineRule="auto"/>
              <w:jc w:val="both"/>
              <w:rPr>
                <w:rFonts w:cstheme="minorHAnsi"/>
                <w:sz w:val="24"/>
                <w:szCs w:val="24"/>
                <w:lang w:val="eu-ES"/>
              </w:rPr>
            </w:pPr>
          </w:p>
          <w:p w14:paraId="75822100" w14:textId="77777777" w:rsidR="001F7679" w:rsidRPr="00BB757C" w:rsidRDefault="001F7679" w:rsidP="0071379C">
            <w:pPr>
              <w:tabs>
                <w:tab w:val="left" w:pos="0"/>
              </w:tabs>
              <w:autoSpaceDE w:val="0"/>
              <w:autoSpaceDN w:val="0"/>
              <w:adjustRightInd w:val="0"/>
              <w:spacing w:after="0" w:line="240" w:lineRule="auto"/>
              <w:jc w:val="both"/>
              <w:rPr>
                <w:rFonts w:cstheme="minorHAnsi"/>
                <w:sz w:val="24"/>
                <w:szCs w:val="24"/>
              </w:rPr>
            </w:pPr>
            <w:r w:rsidRPr="00BB757C">
              <w:rPr>
                <w:rFonts w:cstheme="minorHAnsi"/>
                <w:sz w:val="24"/>
                <w:szCs w:val="24"/>
              </w:rPr>
              <w:t>La distribución territorial del objetivo de déficit conjunto de las Diputaciones Forales se realizará en base a los coeficientes horizontales de aportación aprobados para los ejercicios 2020 y 2021.</w:t>
            </w:r>
          </w:p>
          <w:p w14:paraId="54811C50" w14:textId="77777777" w:rsidR="008B4FE0" w:rsidRPr="00BB757C" w:rsidRDefault="008B4FE0" w:rsidP="00ED7A78">
            <w:pPr>
              <w:spacing w:after="0" w:line="240" w:lineRule="auto"/>
              <w:jc w:val="both"/>
              <w:rPr>
                <w:rFonts w:cstheme="minorHAnsi"/>
                <w:sz w:val="24"/>
                <w:szCs w:val="24"/>
              </w:rPr>
            </w:pPr>
          </w:p>
        </w:tc>
      </w:tr>
    </w:tbl>
    <w:p w14:paraId="456D172B" w14:textId="77777777" w:rsidR="006C0BDB" w:rsidRPr="006C0BDB" w:rsidRDefault="006C0BDB" w:rsidP="006C0BDB">
      <w:pPr>
        <w:autoSpaceDE w:val="0"/>
        <w:autoSpaceDN w:val="0"/>
        <w:adjustRightInd w:val="0"/>
        <w:spacing w:after="0" w:line="240" w:lineRule="auto"/>
        <w:jc w:val="center"/>
        <w:rPr>
          <w:rFonts w:ascii="Arial" w:hAnsi="Arial" w:cs="Arial"/>
          <w:b/>
          <w:bCs/>
          <w:sz w:val="20"/>
          <w:szCs w:val="20"/>
          <w:lang w:val="eu-ES"/>
        </w:rPr>
      </w:pPr>
      <w:r w:rsidRPr="006C0BDB">
        <w:rPr>
          <w:rFonts w:ascii="Arial" w:hAnsi="Arial" w:cs="Arial"/>
          <w:b/>
          <w:bCs/>
          <w:sz w:val="20"/>
          <w:szCs w:val="20"/>
          <w:lang w:val="eu-ES"/>
        </w:rPr>
        <w:t>Finantzatzeko gaitasuna (+) beharra (-), SEC-2010</w:t>
      </w:r>
    </w:p>
    <w:p w14:paraId="01D6C636" w14:textId="77777777" w:rsidR="006C0BDB" w:rsidRPr="006C0BDB" w:rsidRDefault="006C0BDB" w:rsidP="006C0BDB">
      <w:pPr>
        <w:autoSpaceDE w:val="0"/>
        <w:autoSpaceDN w:val="0"/>
        <w:adjustRightInd w:val="0"/>
        <w:spacing w:after="0" w:line="240" w:lineRule="auto"/>
        <w:jc w:val="center"/>
        <w:rPr>
          <w:rFonts w:ascii="Arial" w:hAnsi="Arial" w:cs="Arial"/>
          <w:b/>
          <w:bCs/>
          <w:sz w:val="20"/>
          <w:szCs w:val="20"/>
        </w:rPr>
      </w:pPr>
      <w:r w:rsidRPr="006C0BDB">
        <w:rPr>
          <w:rFonts w:ascii="Arial" w:hAnsi="Arial" w:cs="Arial"/>
          <w:b/>
          <w:bCs/>
          <w:sz w:val="20"/>
          <w:szCs w:val="20"/>
        </w:rPr>
        <w:t>Capacidad (+) Necesidad (-) de financiación, SEC-2010</w:t>
      </w:r>
    </w:p>
    <w:p w14:paraId="0C510885" w14:textId="77777777" w:rsidR="006C0BDB" w:rsidRDefault="006C0BDB" w:rsidP="006C0BDB"/>
    <w:tbl>
      <w:tblPr>
        <w:tblStyle w:val="Tablaconcuadrcula"/>
        <w:tblW w:w="0" w:type="auto"/>
        <w:jc w:val="center"/>
        <w:tblLook w:val="04A0" w:firstRow="1" w:lastRow="0" w:firstColumn="1" w:lastColumn="0" w:noHBand="0" w:noVBand="1"/>
      </w:tblPr>
      <w:tblGrid>
        <w:gridCol w:w="2778"/>
        <w:gridCol w:w="2122"/>
        <w:gridCol w:w="2126"/>
      </w:tblGrid>
      <w:tr w:rsidR="00FB27A8" w:rsidRPr="00ED7A78" w14:paraId="40F30B2E" w14:textId="77777777" w:rsidTr="005C7041">
        <w:trPr>
          <w:jc w:val="center"/>
        </w:trPr>
        <w:tc>
          <w:tcPr>
            <w:tcW w:w="2778" w:type="dxa"/>
            <w:shd w:val="pct5" w:color="auto" w:fill="auto"/>
          </w:tcPr>
          <w:p w14:paraId="4F2DEFE3" w14:textId="6A9FF431" w:rsidR="00FB27A8" w:rsidRPr="0011487F" w:rsidRDefault="00FB27A8" w:rsidP="00FB27A8">
            <w:pPr>
              <w:spacing w:before="120" w:after="120"/>
              <w:ind w:right="215"/>
              <w:jc w:val="center"/>
              <w:rPr>
                <w:rFonts w:ascii="Arial" w:hAnsi="Arial" w:cs="Arial"/>
                <w:b/>
                <w:bCs/>
                <w:sz w:val="20"/>
                <w:szCs w:val="20"/>
                <w:lang w:val="eu-ES"/>
              </w:rPr>
            </w:pPr>
          </w:p>
        </w:tc>
        <w:tc>
          <w:tcPr>
            <w:tcW w:w="2122" w:type="dxa"/>
            <w:shd w:val="pct5" w:color="auto" w:fill="auto"/>
          </w:tcPr>
          <w:p w14:paraId="4061E458" w14:textId="47E902CE" w:rsidR="00FB27A8" w:rsidRPr="0011487F" w:rsidRDefault="00FB27A8" w:rsidP="00FB27A8">
            <w:pPr>
              <w:spacing w:before="120" w:after="120"/>
              <w:ind w:right="215"/>
              <w:jc w:val="center"/>
              <w:rPr>
                <w:rFonts w:ascii="Arial" w:hAnsi="Arial" w:cs="Arial"/>
                <w:b/>
                <w:bCs/>
                <w:sz w:val="20"/>
                <w:szCs w:val="20"/>
                <w:lang w:val="eu-ES"/>
              </w:rPr>
            </w:pPr>
            <w:r w:rsidRPr="0011487F">
              <w:rPr>
                <w:rFonts w:ascii="Arial" w:hAnsi="Arial" w:cs="Arial"/>
                <w:b/>
                <w:bCs/>
                <w:sz w:val="20"/>
                <w:szCs w:val="20"/>
                <w:lang w:val="eu-ES"/>
              </w:rPr>
              <w:t>2020ko Koefiziente /</w:t>
            </w:r>
            <w:proofErr w:type="spellStart"/>
            <w:r w:rsidRPr="0011487F">
              <w:rPr>
                <w:rFonts w:ascii="Arial" w:hAnsi="Arial" w:cs="Arial"/>
                <w:b/>
                <w:bCs/>
                <w:sz w:val="20"/>
                <w:szCs w:val="20"/>
                <w:lang w:val="eu-ES"/>
              </w:rPr>
              <w:t>Coeficiente</w:t>
            </w:r>
            <w:proofErr w:type="spellEnd"/>
            <w:r w:rsidRPr="0011487F">
              <w:rPr>
                <w:rFonts w:ascii="Arial" w:hAnsi="Arial" w:cs="Arial"/>
                <w:b/>
                <w:bCs/>
                <w:sz w:val="20"/>
                <w:szCs w:val="20"/>
                <w:lang w:val="eu-ES"/>
              </w:rPr>
              <w:t xml:space="preserve"> 2020</w:t>
            </w:r>
          </w:p>
        </w:tc>
        <w:tc>
          <w:tcPr>
            <w:tcW w:w="2126" w:type="dxa"/>
            <w:shd w:val="pct5" w:color="auto" w:fill="auto"/>
            <w:vAlign w:val="center"/>
          </w:tcPr>
          <w:p w14:paraId="0681E9CD" w14:textId="67CA6989" w:rsidR="00FB27A8" w:rsidRPr="0011487F" w:rsidRDefault="006C0BDB" w:rsidP="00FB27A8">
            <w:pPr>
              <w:spacing w:before="120" w:after="120"/>
              <w:ind w:right="215"/>
              <w:jc w:val="center"/>
              <w:rPr>
                <w:rFonts w:ascii="Arial" w:hAnsi="Arial" w:cs="Arial"/>
                <w:b/>
                <w:bCs/>
                <w:sz w:val="20"/>
                <w:szCs w:val="20"/>
                <w:lang w:val="eu-ES"/>
              </w:rPr>
            </w:pPr>
            <w:r w:rsidRPr="0011487F">
              <w:rPr>
                <w:rFonts w:ascii="Arial" w:hAnsi="Arial" w:cs="Arial"/>
                <w:b/>
                <w:bCs/>
                <w:sz w:val="20"/>
                <w:szCs w:val="20"/>
                <w:lang w:val="eu-ES"/>
              </w:rPr>
              <w:t>Zenbatekoa/</w:t>
            </w:r>
            <w:r w:rsidRPr="0011487F">
              <w:rPr>
                <w:rFonts w:ascii="Arial" w:hAnsi="Arial" w:cs="Arial"/>
                <w:b/>
                <w:bCs/>
                <w:sz w:val="20"/>
                <w:szCs w:val="20"/>
                <w:lang w:val="eu-ES"/>
              </w:rPr>
              <w:br/>
            </w:r>
            <w:proofErr w:type="spellStart"/>
            <w:r w:rsidR="00FB27A8" w:rsidRPr="0011487F">
              <w:rPr>
                <w:rFonts w:ascii="Arial" w:hAnsi="Arial" w:cs="Arial"/>
                <w:b/>
                <w:bCs/>
                <w:sz w:val="20"/>
                <w:szCs w:val="20"/>
                <w:lang w:val="eu-ES"/>
              </w:rPr>
              <w:t>Importe</w:t>
            </w:r>
            <w:proofErr w:type="spellEnd"/>
            <w:r w:rsidR="00FB27A8" w:rsidRPr="0011487F">
              <w:rPr>
                <w:rFonts w:ascii="Arial" w:hAnsi="Arial" w:cs="Arial"/>
                <w:b/>
                <w:bCs/>
                <w:sz w:val="20"/>
                <w:szCs w:val="20"/>
                <w:lang w:val="eu-ES"/>
              </w:rPr>
              <w:t xml:space="preserve"> M/€</w:t>
            </w:r>
          </w:p>
        </w:tc>
      </w:tr>
      <w:tr w:rsidR="00FB27A8" w:rsidRPr="00ED7A78" w14:paraId="5E7F48BB" w14:textId="77777777" w:rsidTr="005C7041">
        <w:trPr>
          <w:jc w:val="center"/>
        </w:trPr>
        <w:tc>
          <w:tcPr>
            <w:tcW w:w="2778" w:type="dxa"/>
          </w:tcPr>
          <w:p w14:paraId="56E71FE0" w14:textId="2C2CDEC4" w:rsidR="00FB27A8" w:rsidRDefault="00FB27A8" w:rsidP="00FB27A8">
            <w:pPr>
              <w:spacing w:before="120" w:after="120"/>
              <w:ind w:right="215"/>
              <w:jc w:val="center"/>
              <w:rPr>
                <w:rFonts w:ascii="Arial" w:hAnsi="Arial" w:cs="Arial"/>
                <w:sz w:val="20"/>
                <w:szCs w:val="20"/>
                <w:lang w:val="eu-ES"/>
              </w:rPr>
            </w:pPr>
            <w:r>
              <w:rPr>
                <w:rFonts w:ascii="Arial" w:hAnsi="Arial" w:cs="Arial"/>
                <w:sz w:val="20"/>
                <w:szCs w:val="20"/>
                <w:lang w:val="eu-ES"/>
              </w:rPr>
              <w:t xml:space="preserve">Arabako Foru Aldundia / </w:t>
            </w:r>
            <w:proofErr w:type="spellStart"/>
            <w:r>
              <w:rPr>
                <w:rFonts w:ascii="Arial" w:hAnsi="Arial" w:cs="Arial"/>
                <w:sz w:val="20"/>
                <w:szCs w:val="20"/>
                <w:lang w:val="eu-ES"/>
              </w:rPr>
              <w:t>Diputación</w:t>
            </w:r>
            <w:proofErr w:type="spellEnd"/>
            <w:r>
              <w:rPr>
                <w:rFonts w:ascii="Arial" w:hAnsi="Arial" w:cs="Arial"/>
                <w:sz w:val="20"/>
                <w:szCs w:val="20"/>
                <w:lang w:val="eu-ES"/>
              </w:rPr>
              <w:t xml:space="preserve"> Foral de </w:t>
            </w:r>
            <w:proofErr w:type="spellStart"/>
            <w:r>
              <w:rPr>
                <w:rFonts w:ascii="Arial" w:hAnsi="Arial" w:cs="Arial"/>
                <w:sz w:val="20"/>
                <w:szCs w:val="20"/>
                <w:lang w:val="eu-ES"/>
              </w:rPr>
              <w:t>Álava</w:t>
            </w:r>
            <w:proofErr w:type="spellEnd"/>
          </w:p>
        </w:tc>
        <w:tc>
          <w:tcPr>
            <w:tcW w:w="2122" w:type="dxa"/>
            <w:vAlign w:val="center"/>
          </w:tcPr>
          <w:p w14:paraId="4700B5E8" w14:textId="3058BA12" w:rsidR="00FB27A8" w:rsidRPr="00ED7A78" w:rsidRDefault="00FB27A8" w:rsidP="00FB27A8">
            <w:pPr>
              <w:spacing w:before="120" w:after="120"/>
              <w:ind w:right="215"/>
              <w:jc w:val="center"/>
              <w:rPr>
                <w:rFonts w:ascii="Arial" w:hAnsi="Arial" w:cs="Arial"/>
                <w:sz w:val="20"/>
                <w:szCs w:val="20"/>
                <w:lang w:val="eu-ES"/>
              </w:rPr>
            </w:pPr>
            <w:r>
              <w:rPr>
                <w:rFonts w:ascii="Arial" w:hAnsi="Arial" w:cs="Arial"/>
                <w:sz w:val="20"/>
                <w:szCs w:val="20"/>
                <w:lang w:val="eu-ES"/>
              </w:rPr>
              <w:t>16,27%</w:t>
            </w:r>
          </w:p>
        </w:tc>
        <w:tc>
          <w:tcPr>
            <w:tcW w:w="2126" w:type="dxa"/>
            <w:vAlign w:val="center"/>
          </w:tcPr>
          <w:p w14:paraId="014F6917" w14:textId="0019D184" w:rsidR="00FB27A8" w:rsidRPr="00ED7A78" w:rsidRDefault="006C0BDB" w:rsidP="00FB27A8">
            <w:pPr>
              <w:spacing w:before="120" w:after="120"/>
              <w:ind w:right="215"/>
              <w:jc w:val="center"/>
              <w:rPr>
                <w:rFonts w:ascii="Arial" w:hAnsi="Arial" w:cs="Arial"/>
                <w:sz w:val="20"/>
                <w:szCs w:val="20"/>
                <w:lang w:val="eu-ES"/>
              </w:rPr>
            </w:pPr>
            <w:r>
              <w:rPr>
                <w:rFonts w:ascii="Arial" w:hAnsi="Arial" w:cs="Arial"/>
                <w:sz w:val="20"/>
                <w:szCs w:val="20"/>
                <w:lang w:val="eu-ES"/>
              </w:rPr>
              <w:t>-</w:t>
            </w:r>
            <w:r w:rsidR="00FB27A8">
              <w:rPr>
                <w:rFonts w:ascii="Arial" w:hAnsi="Arial" w:cs="Arial"/>
                <w:sz w:val="20"/>
                <w:szCs w:val="20"/>
                <w:lang w:val="eu-ES"/>
              </w:rPr>
              <w:t>96,81</w:t>
            </w:r>
          </w:p>
        </w:tc>
      </w:tr>
    </w:tbl>
    <w:p w14:paraId="31A26DFD" w14:textId="77777777" w:rsidR="001F7679" w:rsidRPr="00ED7A78" w:rsidRDefault="001F7679" w:rsidP="008050AD">
      <w:pPr>
        <w:autoSpaceDE w:val="0"/>
        <w:autoSpaceDN w:val="0"/>
        <w:adjustRightInd w:val="0"/>
        <w:spacing w:after="0" w:line="240" w:lineRule="auto"/>
        <w:rPr>
          <w:rFonts w:ascii="Arial" w:hAnsi="Arial" w:cs="Arial"/>
          <w:sz w:val="20"/>
          <w:szCs w:val="20"/>
        </w:rPr>
      </w:pPr>
    </w:p>
    <w:p w14:paraId="3F624EF6" w14:textId="77777777" w:rsidR="001F7679" w:rsidRPr="00ED7A78" w:rsidRDefault="001F7679" w:rsidP="008050AD">
      <w:pPr>
        <w:autoSpaceDE w:val="0"/>
        <w:autoSpaceDN w:val="0"/>
        <w:adjustRightInd w:val="0"/>
        <w:spacing w:after="0" w:line="240" w:lineRule="auto"/>
        <w:rPr>
          <w:rFonts w:ascii="Arial" w:hAnsi="Arial" w:cs="Arial"/>
          <w:sz w:val="20"/>
          <w:szCs w:val="20"/>
        </w:rPr>
      </w:pPr>
    </w:p>
    <w:tbl>
      <w:tblPr>
        <w:tblW w:w="9923" w:type="dxa"/>
        <w:tblInd w:w="-567" w:type="dxa"/>
        <w:tblBorders>
          <w:insideH w:val="single" w:sz="6" w:space="0" w:color="auto"/>
        </w:tblBorders>
        <w:tblLayout w:type="fixed"/>
        <w:tblCellMar>
          <w:left w:w="70" w:type="dxa"/>
          <w:right w:w="70" w:type="dxa"/>
        </w:tblCellMar>
        <w:tblLook w:val="0000" w:firstRow="0" w:lastRow="0" w:firstColumn="0" w:lastColumn="0" w:noHBand="0" w:noVBand="0"/>
      </w:tblPr>
      <w:tblGrid>
        <w:gridCol w:w="4678"/>
        <w:gridCol w:w="567"/>
        <w:gridCol w:w="4678"/>
      </w:tblGrid>
      <w:tr w:rsidR="00FB27A8" w:rsidRPr="00BB757C" w14:paraId="61A835F0" w14:textId="77777777" w:rsidTr="00D611A2">
        <w:tc>
          <w:tcPr>
            <w:tcW w:w="4678" w:type="dxa"/>
            <w:tcBorders>
              <w:top w:val="nil"/>
              <w:left w:val="nil"/>
              <w:bottom w:val="nil"/>
              <w:right w:val="nil"/>
            </w:tcBorders>
          </w:tcPr>
          <w:p w14:paraId="408838FE" w14:textId="77777777" w:rsidR="006C0BDB" w:rsidRPr="00BB757C" w:rsidRDefault="006C0BDB" w:rsidP="00D611A2">
            <w:pPr>
              <w:spacing w:after="0" w:line="240" w:lineRule="auto"/>
              <w:jc w:val="both"/>
              <w:rPr>
                <w:rFonts w:cstheme="minorHAnsi"/>
                <w:sz w:val="24"/>
                <w:szCs w:val="24"/>
                <w:lang w:val="eu-ES"/>
              </w:rPr>
            </w:pPr>
          </w:p>
          <w:p w14:paraId="21D77F5E" w14:textId="62DFD8AC" w:rsidR="00FB27A8" w:rsidRPr="00BB757C" w:rsidRDefault="006C0BDB" w:rsidP="00D611A2">
            <w:pPr>
              <w:spacing w:after="0" w:line="240" w:lineRule="auto"/>
              <w:jc w:val="both"/>
              <w:rPr>
                <w:rFonts w:cstheme="minorHAnsi"/>
                <w:sz w:val="24"/>
                <w:szCs w:val="24"/>
                <w:lang w:val="eu-ES"/>
              </w:rPr>
            </w:pPr>
            <w:r w:rsidRPr="00BB757C">
              <w:rPr>
                <w:rFonts w:cstheme="minorHAnsi"/>
                <w:sz w:val="24"/>
                <w:szCs w:val="24"/>
                <w:lang w:val="eu-ES"/>
              </w:rPr>
              <w:t>Beraz, eta adierazitakoa kontuan hartuta, Arabako Foru Sektore Publikoak 2020ko ekitaldirako egonkortasun-helburua bete du.</w:t>
            </w:r>
          </w:p>
        </w:tc>
        <w:tc>
          <w:tcPr>
            <w:tcW w:w="567" w:type="dxa"/>
            <w:tcBorders>
              <w:top w:val="nil"/>
              <w:left w:val="nil"/>
              <w:bottom w:val="nil"/>
              <w:right w:val="nil"/>
            </w:tcBorders>
          </w:tcPr>
          <w:p w14:paraId="633DF550" w14:textId="77777777" w:rsidR="00FB27A8" w:rsidRPr="00BB757C" w:rsidRDefault="00FB27A8" w:rsidP="00D611A2">
            <w:pPr>
              <w:spacing w:after="0" w:line="240" w:lineRule="auto"/>
              <w:ind w:right="214"/>
              <w:jc w:val="both"/>
              <w:rPr>
                <w:rFonts w:cstheme="minorHAnsi"/>
                <w:sz w:val="24"/>
                <w:szCs w:val="24"/>
                <w:lang w:val="eu-ES"/>
              </w:rPr>
            </w:pPr>
          </w:p>
        </w:tc>
        <w:tc>
          <w:tcPr>
            <w:tcW w:w="4678" w:type="dxa"/>
            <w:tcBorders>
              <w:top w:val="nil"/>
              <w:left w:val="nil"/>
              <w:bottom w:val="nil"/>
              <w:right w:val="nil"/>
            </w:tcBorders>
          </w:tcPr>
          <w:p w14:paraId="5AF8F8CB" w14:textId="77777777" w:rsidR="00FB27A8" w:rsidRPr="00BB757C" w:rsidRDefault="00FB27A8" w:rsidP="00D611A2">
            <w:pPr>
              <w:tabs>
                <w:tab w:val="left" w:pos="0"/>
              </w:tabs>
              <w:autoSpaceDE w:val="0"/>
              <w:autoSpaceDN w:val="0"/>
              <w:adjustRightInd w:val="0"/>
              <w:spacing w:after="0" w:line="240" w:lineRule="auto"/>
              <w:jc w:val="both"/>
              <w:rPr>
                <w:rFonts w:cstheme="minorHAnsi"/>
                <w:sz w:val="24"/>
                <w:szCs w:val="24"/>
                <w:lang w:val="eu-ES"/>
              </w:rPr>
            </w:pPr>
          </w:p>
          <w:p w14:paraId="1C6D71D1" w14:textId="619F654F" w:rsidR="00FB27A8" w:rsidRPr="00BB757C" w:rsidRDefault="00FB27A8" w:rsidP="00D611A2">
            <w:pPr>
              <w:tabs>
                <w:tab w:val="left" w:pos="0"/>
              </w:tabs>
              <w:autoSpaceDE w:val="0"/>
              <w:autoSpaceDN w:val="0"/>
              <w:adjustRightInd w:val="0"/>
              <w:spacing w:after="0" w:line="240" w:lineRule="auto"/>
              <w:jc w:val="both"/>
              <w:rPr>
                <w:rFonts w:cstheme="minorHAnsi"/>
                <w:sz w:val="24"/>
                <w:szCs w:val="24"/>
              </w:rPr>
            </w:pPr>
            <w:r w:rsidRPr="00BB757C">
              <w:rPr>
                <w:rFonts w:cstheme="minorHAnsi"/>
                <w:sz w:val="24"/>
                <w:szCs w:val="24"/>
              </w:rPr>
              <w:t>Por lo tanto, y atendiendo a</w:t>
            </w:r>
            <w:r w:rsidR="008A536C" w:rsidRPr="00BB757C">
              <w:rPr>
                <w:rFonts w:cstheme="minorHAnsi"/>
                <w:sz w:val="24"/>
                <w:szCs w:val="24"/>
              </w:rPr>
              <w:t xml:space="preserve"> lo expuesto, el Sector Público Foral de Álava, h</w:t>
            </w:r>
            <w:r w:rsidRPr="00BB757C">
              <w:rPr>
                <w:rFonts w:cstheme="minorHAnsi"/>
                <w:sz w:val="24"/>
                <w:szCs w:val="24"/>
              </w:rPr>
              <w:t>a cumplido el objetivo de estabilidad para el ejercicio 2020</w:t>
            </w:r>
          </w:p>
          <w:p w14:paraId="2DB4323F" w14:textId="77777777" w:rsidR="00FB27A8" w:rsidRPr="00BB757C" w:rsidRDefault="00FB27A8" w:rsidP="00D611A2">
            <w:pPr>
              <w:tabs>
                <w:tab w:val="left" w:pos="243"/>
              </w:tabs>
              <w:autoSpaceDE w:val="0"/>
              <w:autoSpaceDN w:val="0"/>
              <w:adjustRightInd w:val="0"/>
              <w:spacing w:after="0" w:line="240" w:lineRule="auto"/>
              <w:ind w:left="257" w:hanging="257"/>
              <w:jc w:val="both"/>
              <w:rPr>
                <w:rFonts w:cstheme="minorHAnsi"/>
                <w:color w:val="FF0000"/>
                <w:sz w:val="24"/>
                <w:szCs w:val="24"/>
              </w:rPr>
            </w:pPr>
          </w:p>
          <w:p w14:paraId="74F87420" w14:textId="77777777" w:rsidR="00FB27A8" w:rsidRPr="00BB757C" w:rsidRDefault="00FB27A8" w:rsidP="00D611A2">
            <w:pPr>
              <w:spacing w:after="0" w:line="240" w:lineRule="auto"/>
              <w:jc w:val="both"/>
              <w:rPr>
                <w:rFonts w:cstheme="minorHAnsi"/>
                <w:sz w:val="24"/>
                <w:szCs w:val="24"/>
              </w:rPr>
            </w:pPr>
          </w:p>
          <w:p w14:paraId="7A8BD646" w14:textId="77777777" w:rsidR="00FB27A8" w:rsidRPr="00BB757C" w:rsidRDefault="00FB27A8" w:rsidP="00D611A2">
            <w:pPr>
              <w:spacing w:after="0" w:line="240" w:lineRule="auto"/>
              <w:jc w:val="both"/>
              <w:rPr>
                <w:rFonts w:cstheme="minorHAnsi"/>
                <w:sz w:val="24"/>
                <w:szCs w:val="24"/>
              </w:rPr>
            </w:pPr>
          </w:p>
        </w:tc>
      </w:tr>
    </w:tbl>
    <w:p w14:paraId="397C1B38" w14:textId="77777777" w:rsidR="001F7679" w:rsidRPr="00ED7A78" w:rsidRDefault="001F7679" w:rsidP="008050AD">
      <w:pPr>
        <w:autoSpaceDE w:val="0"/>
        <w:autoSpaceDN w:val="0"/>
        <w:adjustRightInd w:val="0"/>
        <w:spacing w:after="0" w:line="240" w:lineRule="auto"/>
        <w:rPr>
          <w:rFonts w:ascii="Arial" w:hAnsi="Arial" w:cs="Arial"/>
          <w:sz w:val="20"/>
          <w:szCs w:val="20"/>
        </w:rPr>
      </w:pPr>
    </w:p>
    <w:sectPr w:rsidR="001F7679" w:rsidRPr="00ED7A7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B6FF3" w14:textId="77777777" w:rsidR="00184590" w:rsidRDefault="00184590" w:rsidP="00184590">
      <w:pPr>
        <w:spacing w:after="0" w:line="240" w:lineRule="auto"/>
      </w:pPr>
      <w:r>
        <w:separator/>
      </w:r>
    </w:p>
  </w:endnote>
  <w:endnote w:type="continuationSeparator" w:id="0">
    <w:p w14:paraId="5BB6C49B" w14:textId="77777777" w:rsidR="00184590" w:rsidRDefault="00184590" w:rsidP="00184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50ECC0" w14:textId="77777777" w:rsidR="00184590" w:rsidRDefault="00184590" w:rsidP="00184590">
      <w:pPr>
        <w:spacing w:after="0" w:line="240" w:lineRule="auto"/>
      </w:pPr>
      <w:r>
        <w:separator/>
      </w:r>
    </w:p>
  </w:footnote>
  <w:footnote w:type="continuationSeparator" w:id="0">
    <w:p w14:paraId="1E8D8752" w14:textId="77777777" w:rsidR="00184590" w:rsidRDefault="00184590" w:rsidP="00184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142" w:type="dxa"/>
      <w:tblLayout w:type="fixed"/>
      <w:tblCellMar>
        <w:left w:w="70" w:type="dxa"/>
        <w:right w:w="70" w:type="dxa"/>
      </w:tblCellMar>
      <w:tblLook w:val="0000" w:firstRow="0" w:lastRow="0" w:firstColumn="0" w:lastColumn="0" w:noHBand="0" w:noVBand="0"/>
    </w:tblPr>
    <w:tblGrid>
      <w:gridCol w:w="6591"/>
      <w:gridCol w:w="2551"/>
    </w:tblGrid>
    <w:tr w:rsidR="00184590" w14:paraId="2ECAEA8C" w14:textId="77777777" w:rsidTr="00D611A2">
      <w:tc>
        <w:tcPr>
          <w:tcW w:w="6591" w:type="dxa"/>
        </w:tcPr>
        <w:p w14:paraId="3D33B3DD" w14:textId="77777777" w:rsidR="00184590" w:rsidRDefault="00184590" w:rsidP="00184590">
          <w:pPr>
            <w:pStyle w:val="Encabezado"/>
            <w:rPr>
              <w:noProof/>
              <w:sz w:val="16"/>
            </w:rPr>
          </w:pPr>
          <w:r>
            <w:rPr>
              <w:noProof/>
              <w:sz w:val="16"/>
            </w:rPr>
            <w:object w:dxaOrig="3301" w:dyaOrig="1126" w14:anchorId="63E402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6.25pt" fillcolor="window">
                <v:imagedata r:id="rId1" o:title=""/>
              </v:shape>
              <o:OLEObject Type="Embed" ProgID="Word.Picture.8" ShapeID="_x0000_i1025" DrawAspect="Content" ObjectID="_1685947033" r:id="rId2"/>
            </w:object>
          </w:r>
        </w:p>
        <w:p w14:paraId="0387FE61" w14:textId="77777777" w:rsidR="00184590" w:rsidRDefault="00184590" w:rsidP="00184590">
          <w:pPr>
            <w:pStyle w:val="Encabezado"/>
            <w:ind w:left="1064"/>
            <w:rPr>
              <w:noProof/>
              <w:sz w:val="16"/>
            </w:rPr>
          </w:pPr>
        </w:p>
      </w:tc>
      <w:tc>
        <w:tcPr>
          <w:tcW w:w="2551" w:type="dxa"/>
        </w:tcPr>
        <w:p w14:paraId="13368198" w14:textId="77777777" w:rsidR="00184590" w:rsidRPr="00A57E5E" w:rsidRDefault="00184590" w:rsidP="00184590">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14:paraId="2D165A18" w14:textId="77777777" w:rsidR="00184590" w:rsidRPr="00A57E5E" w:rsidRDefault="00184590" w:rsidP="00184590">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14:paraId="4D8B1532" w14:textId="77777777" w:rsidR="00184590" w:rsidRPr="00A57E5E" w:rsidRDefault="00184590" w:rsidP="00184590">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14:paraId="6BB90E21" w14:textId="77777777" w:rsidR="00184590" w:rsidRPr="00A57E5E" w:rsidRDefault="00184590" w:rsidP="00184590">
          <w:pPr>
            <w:pStyle w:val="Encabezado"/>
            <w:spacing w:line="240" w:lineRule="exact"/>
            <w:ind w:left="-68"/>
            <w:rPr>
              <w:rFonts w:ascii="Arial" w:hAnsi="Arial" w:cs="Arial"/>
              <w:b/>
              <w:noProof/>
              <w:sz w:val="18"/>
            </w:rPr>
          </w:pPr>
          <w:r w:rsidRPr="00A57E5E">
            <w:rPr>
              <w:rFonts w:ascii="Arial" w:hAnsi="Arial" w:cs="Arial"/>
              <w:b/>
              <w:noProof/>
              <w:sz w:val="18"/>
            </w:rPr>
            <w:t>Presupuestos</w:t>
          </w:r>
        </w:p>
        <w:p w14:paraId="35600891" w14:textId="77777777" w:rsidR="00184590" w:rsidRPr="00A57E5E" w:rsidRDefault="00184590" w:rsidP="00184590">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14:paraId="403570D4" w14:textId="77777777" w:rsidR="00184590" w:rsidRPr="00A57E5E" w:rsidRDefault="00184590" w:rsidP="00184590">
          <w:pPr>
            <w:pStyle w:val="Encabezado"/>
            <w:ind w:left="-70"/>
            <w:rPr>
              <w:rFonts w:ascii="Arial" w:hAnsi="Arial" w:cs="Arial"/>
              <w:noProof/>
              <w:sz w:val="16"/>
            </w:rPr>
          </w:pPr>
          <w:r w:rsidRPr="00A57E5E">
            <w:rPr>
              <w:rFonts w:ascii="Arial" w:hAnsi="Arial" w:cs="Arial"/>
              <w:noProof/>
              <w:sz w:val="16"/>
            </w:rPr>
            <w:t>Servicio de Contabilidad</w:t>
          </w:r>
        </w:p>
        <w:p w14:paraId="5D3639CC" w14:textId="77777777" w:rsidR="00184590" w:rsidRDefault="00184590" w:rsidP="00184590">
          <w:pPr>
            <w:pStyle w:val="Encabezado"/>
            <w:ind w:left="-70"/>
            <w:rPr>
              <w:noProof/>
              <w:sz w:val="16"/>
            </w:rPr>
          </w:pPr>
        </w:p>
        <w:p w14:paraId="04543D93" w14:textId="77777777" w:rsidR="00184590" w:rsidRDefault="00184590" w:rsidP="00184590">
          <w:pPr>
            <w:pStyle w:val="Encabezado"/>
            <w:ind w:left="-70"/>
            <w:rPr>
              <w:noProof/>
              <w:sz w:val="18"/>
            </w:rPr>
          </w:pPr>
        </w:p>
      </w:tc>
    </w:tr>
  </w:tbl>
  <w:p w14:paraId="22670025" w14:textId="77777777" w:rsidR="00184590" w:rsidRPr="00184590" w:rsidRDefault="00184590">
    <w:pPr>
      <w:pStyle w:val="Encabezado"/>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0AD"/>
    <w:rsid w:val="00031E21"/>
    <w:rsid w:val="00095302"/>
    <w:rsid w:val="0011487F"/>
    <w:rsid w:val="00184590"/>
    <w:rsid w:val="001F7679"/>
    <w:rsid w:val="002546BD"/>
    <w:rsid w:val="002D6E4D"/>
    <w:rsid w:val="002F18AD"/>
    <w:rsid w:val="00450F1F"/>
    <w:rsid w:val="00535AFE"/>
    <w:rsid w:val="00544ECF"/>
    <w:rsid w:val="005C2AC6"/>
    <w:rsid w:val="005C7041"/>
    <w:rsid w:val="006C0BDB"/>
    <w:rsid w:val="0071379C"/>
    <w:rsid w:val="00757E9A"/>
    <w:rsid w:val="008050AD"/>
    <w:rsid w:val="00894ED3"/>
    <w:rsid w:val="008A536C"/>
    <w:rsid w:val="008B4FE0"/>
    <w:rsid w:val="009C28B4"/>
    <w:rsid w:val="00A563DE"/>
    <w:rsid w:val="00A87648"/>
    <w:rsid w:val="00AD68DE"/>
    <w:rsid w:val="00AE0CAD"/>
    <w:rsid w:val="00B2545E"/>
    <w:rsid w:val="00BB6FD3"/>
    <w:rsid w:val="00BB757C"/>
    <w:rsid w:val="00E761F7"/>
    <w:rsid w:val="00ED7A78"/>
    <w:rsid w:val="00F76B17"/>
    <w:rsid w:val="00FB27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7EF5660A"/>
  <w15:chartTrackingRefBased/>
  <w15:docId w15:val="{8F3C9B0D-F022-4A98-A5CD-25173228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050AD"/>
    <w:pPr>
      <w:spacing w:after="0" w:line="240" w:lineRule="auto"/>
      <w:jc w:val="both"/>
    </w:pPr>
    <w:rPr>
      <w:rFonts w:ascii="Arial" w:eastAsia="Times New Roman" w:hAnsi="Arial" w:cs="Times New Roman"/>
      <w:sz w:val="24"/>
      <w:szCs w:val="20"/>
      <w:lang w:eastAsia="es-ES"/>
    </w:rPr>
  </w:style>
  <w:style w:type="character" w:customStyle="1" w:styleId="TextoindependienteCar">
    <w:name w:val="Texto independiente Car"/>
    <w:basedOn w:val="Fuentedeprrafopredeter"/>
    <w:link w:val="Textoindependiente"/>
    <w:rsid w:val="008050AD"/>
    <w:rPr>
      <w:rFonts w:ascii="Arial" w:eastAsia="Times New Roman" w:hAnsi="Arial" w:cs="Times New Roman"/>
      <w:sz w:val="24"/>
      <w:szCs w:val="20"/>
      <w:lang w:eastAsia="es-ES"/>
    </w:rPr>
  </w:style>
  <w:style w:type="paragraph" w:styleId="Encabezado">
    <w:name w:val="header"/>
    <w:basedOn w:val="Normal"/>
    <w:link w:val="EncabezadoCar"/>
    <w:rsid w:val="008050AD"/>
    <w:pPr>
      <w:widowControl w:val="0"/>
      <w:tabs>
        <w:tab w:val="center" w:pos="4252"/>
        <w:tab w:val="right" w:pos="8504"/>
      </w:tabs>
      <w:spacing w:after="0" w:line="240" w:lineRule="auto"/>
    </w:pPr>
    <w:rPr>
      <w:rFonts w:ascii="Times New Roman" w:eastAsia="Times New Roman" w:hAnsi="Times New Roman" w:cs="Times New Roman"/>
      <w:sz w:val="20"/>
      <w:szCs w:val="20"/>
      <w:lang w:val="es-ES_tradnl" w:eastAsia="es-ES"/>
    </w:rPr>
  </w:style>
  <w:style w:type="character" w:customStyle="1" w:styleId="EncabezadoCar">
    <w:name w:val="Encabezado Car"/>
    <w:basedOn w:val="Fuentedeprrafopredeter"/>
    <w:link w:val="Encabezado"/>
    <w:rsid w:val="008050AD"/>
    <w:rPr>
      <w:rFonts w:ascii="Times New Roman" w:eastAsia="Times New Roman" w:hAnsi="Times New Roman" w:cs="Times New Roman"/>
      <w:sz w:val="20"/>
      <w:szCs w:val="20"/>
      <w:lang w:val="es-ES_tradnl" w:eastAsia="es-ES"/>
    </w:rPr>
  </w:style>
  <w:style w:type="paragraph" w:styleId="Textoindependiente2">
    <w:name w:val="Body Text 2"/>
    <w:basedOn w:val="Normal"/>
    <w:link w:val="Textoindependiente2Car"/>
    <w:rsid w:val="008050AD"/>
    <w:pPr>
      <w:widowControl w:val="0"/>
      <w:spacing w:after="0" w:line="240" w:lineRule="auto"/>
    </w:pPr>
    <w:rPr>
      <w:rFonts w:ascii="Arial" w:eastAsia="Times New Roman" w:hAnsi="Arial" w:cs="Times New Roman"/>
      <w:b/>
      <w:szCs w:val="20"/>
      <w:lang w:val="es-ES_tradnl" w:eastAsia="es-ES"/>
    </w:rPr>
  </w:style>
  <w:style w:type="character" w:customStyle="1" w:styleId="Textoindependiente2Car">
    <w:name w:val="Texto independiente 2 Car"/>
    <w:basedOn w:val="Fuentedeprrafopredeter"/>
    <w:link w:val="Textoindependiente2"/>
    <w:rsid w:val="008050AD"/>
    <w:rPr>
      <w:rFonts w:ascii="Arial" w:eastAsia="Times New Roman" w:hAnsi="Arial" w:cs="Times New Roman"/>
      <w:b/>
      <w:szCs w:val="20"/>
      <w:lang w:val="es-ES_tradnl" w:eastAsia="es-ES"/>
    </w:rPr>
  </w:style>
  <w:style w:type="table" w:styleId="Tablaconcuadrcula">
    <w:name w:val="Table Grid"/>
    <w:basedOn w:val="Tablanormal"/>
    <w:uiPriority w:val="39"/>
    <w:rsid w:val="008B4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1845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84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1255</Words>
  <Characters>6906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Diputación Foral de Alava Arabako foru aldundia</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Aguirre Arana, Roberto</dc:creator>
  <cp:keywords/>
  <dc:description/>
  <cp:lastModifiedBy>Rodriguez Fernandez, Eva</cp:lastModifiedBy>
  <cp:revision>2</cp:revision>
  <dcterms:created xsi:type="dcterms:W3CDTF">2021-06-23T07:51:00Z</dcterms:created>
  <dcterms:modified xsi:type="dcterms:W3CDTF">2021-06-23T07:51:00Z</dcterms:modified>
</cp:coreProperties>
</file>