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C9C25" w14:textId="77777777" w:rsidR="003B552A" w:rsidRPr="0043096D" w:rsidRDefault="003B552A" w:rsidP="006A6949">
      <w:pPr>
        <w:pStyle w:val="Textoindependiente"/>
        <w:rPr>
          <w:b w:val="0"/>
          <w:bCs/>
          <w:sz w:val="24"/>
        </w:rPr>
      </w:pPr>
      <w:r w:rsidRPr="0043096D">
        <w:rPr>
          <w:b w:val="0"/>
          <w:bCs/>
          <w:sz w:val="24"/>
        </w:rPr>
        <w:t>ANEXO</w:t>
      </w:r>
    </w:p>
    <w:p w14:paraId="444EEDFD" w14:textId="1B201DBF" w:rsidR="003B552A" w:rsidRPr="0043096D" w:rsidRDefault="003B552A" w:rsidP="006A6949">
      <w:pPr>
        <w:pStyle w:val="Textoindependiente"/>
        <w:rPr>
          <w:b w:val="0"/>
          <w:bCs/>
          <w:sz w:val="24"/>
        </w:rPr>
      </w:pPr>
      <w:r w:rsidRPr="0043096D">
        <w:rPr>
          <w:b w:val="0"/>
          <w:bCs/>
          <w:sz w:val="24"/>
        </w:rPr>
        <w:t xml:space="preserve">PROYECTO DE NORMA FORAL DE </w:t>
      </w:r>
      <w:r w:rsidR="00AF263C" w:rsidRPr="0043096D">
        <w:rPr>
          <w:b w:val="0"/>
          <w:bCs/>
          <w:sz w:val="24"/>
        </w:rPr>
        <w:t xml:space="preserve">MEDIDAS </w:t>
      </w:r>
      <w:r w:rsidR="0033393D" w:rsidRPr="0043096D">
        <w:rPr>
          <w:b w:val="0"/>
          <w:bCs/>
          <w:sz w:val="24"/>
        </w:rPr>
        <w:t>FISCALES RELACIONADAS CON EL MEDIO AMBIENTE</w:t>
      </w:r>
      <w:r w:rsidR="002F6510" w:rsidRPr="0043096D">
        <w:rPr>
          <w:b w:val="0"/>
          <w:bCs/>
          <w:sz w:val="24"/>
        </w:rPr>
        <w:t xml:space="preserve"> Y OTRAS MEDIDAS TRIBUTARIAS.</w:t>
      </w:r>
    </w:p>
    <w:p w14:paraId="3A21DB90" w14:textId="77777777" w:rsidR="00FC157F" w:rsidRPr="0043096D" w:rsidRDefault="00FC157F" w:rsidP="006A6949">
      <w:pPr>
        <w:pStyle w:val="Textoindependiente"/>
        <w:rPr>
          <w:b w:val="0"/>
          <w:bCs/>
          <w:sz w:val="24"/>
        </w:rPr>
      </w:pPr>
    </w:p>
    <w:p w14:paraId="230CE5BE" w14:textId="77777777" w:rsidR="003B552A" w:rsidRPr="0043096D" w:rsidRDefault="003B552A" w:rsidP="009D367C">
      <w:pPr>
        <w:pStyle w:val="Textoindependiente"/>
        <w:spacing w:after="360"/>
        <w:rPr>
          <w:b w:val="0"/>
          <w:bCs/>
        </w:rPr>
      </w:pPr>
      <w:r w:rsidRPr="0043096D">
        <w:rPr>
          <w:b w:val="0"/>
          <w:bCs/>
        </w:rPr>
        <w:t>EXPOSICIÓN DE MOTIVOS</w:t>
      </w:r>
    </w:p>
    <w:p w14:paraId="097D3036" w14:textId="77777777" w:rsidR="00147541" w:rsidRPr="0043096D" w:rsidRDefault="008F1674" w:rsidP="006A6949">
      <w:pPr>
        <w:rPr>
          <w:bCs/>
          <w:szCs w:val="22"/>
        </w:rPr>
      </w:pPr>
      <w:r w:rsidRPr="0043096D">
        <w:rPr>
          <w:bCs/>
          <w:szCs w:val="22"/>
        </w:rPr>
        <w:t xml:space="preserve">Esta Norma Foral </w:t>
      </w:r>
      <w:r w:rsidR="0033393D" w:rsidRPr="0043096D">
        <w:rPr>
          <w:bCs/>
          <w:szCs w:val="22"/>
        </w:rPr>
        <w:t xml:space="preserve">tiene por objeto adoptar medidas de </w:t>
      </w:r>
      <w:r w:rsidRPr="0043096D">
        <w:rPr>
          <w:bCs/>
          <w:szCs w:val="22"/>
        </w:rPr>
        <w:t xml:space="preserve">incentivación </w:t>
      </w:r>
      <w:r w:rsidR="0033393D" w:rsidRPr="0043096D">
        <w:rPr>
          <w:bCs/>
          <w:szCs w:val="22"/>
        </w:rPr>
        <w:t>fiscal de</w:t>
      </w:r>
      <w:r w:rsidRPr="0043096D">
        <w:rPr>
          <w:bCs/>
          <w:szCs w:val="22"/>
        </w:rPr>
        <w:t xml:space="preserve"> actividades relacionadas con el medio ambiente y el desarrollo sostenible</w:t>
      </w:r>
      <w:r w:rsidR="00147541" w:rsidRPr="0043096D">
        <w:rPr>
          <w:bCs/>
          <w:szCs w:val="22"/>
        </w:rPr>
        <w:t>, así como otras medidas tributarias.</w:t>
      </w:r>
    </w:p>
    <w:p w14:paraId="715987E8" w14:textId="6D04F2FE" w:rsidR="00047DC8" w:rsidRPr="0043096D" w:rsidRDefault="00147541" w:rsidP="006A6949">
      <w:pPr>
        <w:rPr>
          <w:bCs/>
          <w:szCs w:val="22"/>
        </w:rPr>
      </w:pPr>
      <w:r w:rsidRPr="0043096D">
        <w:rPr>
          <w:bCs/>
          <w:szCs w:val="22"/>
        </w:rPr>
        <w:t xml:space="preserve">Por lo que se refiere al medio ambiente, se fomenta el uso </w:t>
      </w:r>
      <w:r w:rsidR="00FB4631" w:rsidRPr="0043096D">
        <w:rPr>
          <w:bCs/>
          <w:szCs w:val="22"/>
        </w:rPr>
        <w:t>de las bicicletas urbanas, propiedad de la persona empleadora, para los</w:t>
      </w:r>
      <w:r w:rsidRPr="0043096D">
        <w:rPr>
          <w:bCs/>
          <w:szCs w:val="22"/>
        </w:rPr>
        <w:t xml:space="preserve"> desplazamientos de las personas empleadas entre su lugar de residencia</w:t>
      </w:r>
      <w:r w:rsidR="00FB4631" w:rsidRPr="0043096D">
        <w:rPr>
          <w:bCs/>
          <w:szCs w:val="22"/>
        </w:rPr>
        <w:t xml:space="preserve"> habitual</w:t>
      </w:r>
      <w:r w:rsidRPr="0043096D">
        <w:rPr>
          <w:bCs/>
          <w:szCs w:val="22"/>
        </w:rPr>
        <w:t xml:space="preserve"> y el </w:t>
      </w:r>
      <w:r w:rsidR="00FB4631" w:rsidRPr="0043096D">
        <w:rPr>
          <w:bCs/>
          <w:szCs w:val="22"/>
        </w:rPr>
        <w:t>centro de trabajo y viceversa de manera que</w:t>
      </w:r>
      <w:r w:rsidR="00152D8F" w:rsidRPr="0043096D">
        <w:rPr>
          <w:bCs/>
          <w:szCs w:val="22"/>
        </w:rPr>
        <w:t>,</w:t>
      </w:r>
      <w:r w:rsidR="00FB4631" w:rsidRPr="0043096D">
        <w:rPr>
          <w:bCs/>
          <w:szCs w:val="22"/>
        </w:rPr>
        <w:t xml:space="preserve"> cumpliendo determinadas condiciones</w:t>
      </w:r>
      <w:r w:rsidR="00152D8F" w:rsidRPr="0043096D">
        <w:rPr>
          <w:bCs/>
          <w:szCs w:val="22"/>
        </w:rPr>
        <w:t>,</w:t>
      </w:r>
      <w:r w:rsidR="00FB4631" w:rsidRPr="0043096D">
        <w:rPr>
          <w:bCs/>
          <w:szCs w:val="22"/>
        </w:rPr>
        <w:t xml:space="preserve"> su utilización no tendrá </w:t>
      </w:r>
      <w:r w:rsidR="00047DC8" w:rsidRPr="0043096D">
        <w:rPr>
          <w:bCs/>
          <w:szCs w:val="22"/>
        </w:rPr>
        <w:t>la consideración de rendimiento</w:t>
      </w:r>
      <w:r w:rsidR="002306CA" w:rsidRPr="0043096D">
        <w:rPr>
          <w:bCs/>
          <w:szCs w:val="22"/>
        </w:rPr>
        <w:t xml:space="preserve"> de trabajo</w:t>
      </w:r>
      <w:r w:rsidR="00047DC8" w:rsidRPr="0043096D">
        <w:rPr>
          <w:bCs/>
          <w:szCs w:val="22"/>
        </w:rPr>
        <w:t xml:space="preserve"> en especie</w:t>
      </w:r>
      <w:r w:rsidR="002306CA" w:rsidRPr="0043096D">
        <w:rPr>
          <w:bCs/>
          <w:szCs w:val="22"/>
        </w:rPr>
        <w:t xml:space="preserve"> en el Impuesto sobre la Renta de las Personas Físicas.</w:t>
      </w:r>
    </w:p>
    <w:p w14:paraId="68A70D3E" w14:textId="04D19732" w:rsidR="00147541" w:rsidRPr="0043096D" w:rsidRDefault="00047DC8" w:rsidP="006A6949">
      <w:pPr>
        <w:rPr>
          <w:bCs/>
          <w:szCs w:val="22"/>
        </w:rPr>
      </w:pPr>
      <w:r w:rsidRPr="0043096D">
        <w:rPr>
          <w:bCs/>
          <w:szCs w:val="22"/>
        </w:rPr>
        <w:t>S</w:t>
      </w:r>
      <w:r w:rsidR="008F1674" w:rsidRPr="0043096D">
        <w:rPr>
          <w:bCs/>
          <w:szCs w:val="22"/>
        </w:rPr>
        <w:t>e introducen reglas específicas en el Impuesto sobre la Renta de las Personas Físicas y en el Impuesto sobre Sociedades en materia</w:t>
      </w:r>
      <w:r w:rsidRPr="0043096D">
        <w:rPr>
          <w:bCs/>
          <w:szCs w:val="22"/>
        </w:rPr>
        <w:t xml:space="preserve"> de determinados</w:t>
      </w:r>
      <w:r w:rsidR="00147541" w:rsidRPr="0043096D">
        <w:rPr>
          <w:bCs/>
          <w:szCs w:val="22"/>
        </w:rPr>
        <w:t xml:space="preserve"> gastos </w:t>
      </w:r>
      <w:r w:rsidR="00852A2D" w:rsidRPr="0043096D">
        <w:rPr>
          <w:bCs/>
          <w:szCs w:val="22"/>
        </w:rPr>
        <w:t>relacionados</w:t>
      </w:r>
      <w:r w:rsidR="00147541" w:rsidRPr="0043096D">
        <w:rPr>
          <w:bCs/>
          <w:szCs w:val="22"/>
        </w:rPr>
        <w:t xml:space="preserve"> con </w:t>
      </w:r>
      <w:r w:rsidR="008F1674" w:rsidRPr="0043096D">
        <w:rPr>
          <w:bCs/>
          <w:szCs w:val="22"/>
        </w:rPr>
        <w:t xml:space="preserve">vehículos </w:t>
      </w:r>
      <w:r w:rsidR="00F86989" w:rsidRPr="0043096D">
        <w:rPr>
          <w:bCs/>
          <w:szCs w:val="22"/>
        </w:rPr>
        <w:t xml:space="preserve">eléctricos </w:t>
      </w:r>
      <w:r w:rsidR="008F1674" w:rsidRPr="0043096D">
        <w:rPr>
          <w:bCs/>
          <w:szCs w:val="22"/>
        </w:rPr>
        <w:t>de batería y vehículos eléctricos de batería extendida.</w:t>
      </w:r>
    </w:p>
    <w:p w14:paraId="58D6AFEE" w14:textId="183C9AAC" w:rsidR="00852A2D" w:rsidRPr="0043096D" w:rsidRDefault="008F1674" w:rsidP="00852A2D">
      <w:pPr>
        <w:rPr>
          <w:bCs/>
          <w:szCs w:val="22"/>
        </w:rPr>
      </w:pPr>
      <w:r w:rsidRPr="0043096D">
        <w:rPr>
          <w:bCs/>
          <w:szCs w:val="22"/>
        </w:rPr>
        <w:t xml:space="preserve">Por otra parte, se crean dos nuevas deducciones </w:t>
      </w:r>
      <w:r w:rsidR="00F86989" w:rsidRPr="0043096D">
        <w:rPr>
          <w:bCs/>
          <w:szCs w:val="22"/>
        </w:rPr>
        <w:t>en el Impuesto sobre Sociedades</w:t>
      </w:r>
      <w:r w:rsidRPr="0043096D">
        <w:rPr>
          <w:bCs/>
          <w:szCs w:val="22"/>
        </w:rPr>
        <w:t xml:space="preserve">, una referida a la adquisición de bicicletas para ser utilizadas por el personal trabajador para </w:t>
      </w:r>
      <w:r w:rsidR="00152D8F" w:rsidRPr="0043096D">
        <w:rPr>
          <w:bCs/>
          <w:szCs w:val="22"/>
        </w:rPr>
        <w:t>desplazarse</w:t>
      </w:r>
      <w:r w:rsidRPr="0043096D">
        <w:rPr>
          <w:bCs/>
          <w:szCs w:val="22"/>
        </w:rPr>
        <w:t xml:space="preserve"> desde su residencia</w:t>
      </w:r>
      <w:r w:rsidR="00FB4631" w:rsidRPr="0043096D">
        <w:rPr>
          <w:bCs/>
          <w:szCs w:val="22"/>
        </w:rPr>
        <w:t xml:space="preserve"> habitual</w:t>
      </w:r>
      <w:r w:rsidRPr="0043096D">
        <w:rPr>
          <w:bCs/>
          <w:szCs w:val="22"/>
        </w:rPr>
        <w:t xml:space="preserve"> al centro de trabajo</w:t>
      </w:r>
      <w:r w:rsidR="00152D8F" w:rsidRPr="0043096D">
        <w:rPr>
          <w:bCs/>
          <w:szCs w:val="22"/>
        </w:rPr>
        <w:t xml:space="preserve"> y viceversa</w:t>
      </w:r>
      <w:r w:rsidRPr="0043096D">
        <w:rPr>
          <w:bCs/>
          <w:szCs w:val="22"/>
        </w:rPr>
        <w:t xml:space="preserve"> y otra </w:t>
      </w:r>
      <w:r w:rsidR="00852A2D" w:rsidRPr="0043096D">
        <w:rPr>
          <w:bCs/>
          <w:szCs w:val="22"/>
        </w:rPr>
        <w:t xml:space="preserve">relacionada con la </w:t>
      </w:r>
      <w:r w:rsidRPr="0043096D">
        <w:rPr>
          <w:bCs/>
          <w:szCs w:val="22"/>
        </w:rPr>
        <w:t>inversión en</w:t>
      </w:r>
      <w:r w:rsidR="00147541" w:rsidRPr="0043096D">
        <w:rPr>
          <w:bCs/>
          <w:szCs w:val="22"/>
        </w:rPr>
        <w:t xml:space="preserve"> puntos de </w:t>
      </w:r>
      <w:r w:rsidRPr="0043096D">
        <w:rPr>
          <w:bCs/>
          <w:szCs w:val="22"/>
        </w:rPr>
        <w:t>recarga de vehículos eléctricos.</w:t>
      </w:r>
      <w:r w:rsidR="00852A2D" w:rsidRPr="0043096D">
        <w:rPr>
          <w:bCs/>
          <w:szCs w:val="22"/>
        </w:rPr>
        <w:t xml:space="preserve"> Por lo que respecta al Impuesto sobre la Renta de las Personas Físicas se crea una nueva deducción relacionada con la aportación a cooperativas para la adquisición de instalaciones de generación de energía eléctrica solar fotovoltaica para suministro de energía a la vivienda habitual.</w:t>
      </w:r>
    </w:p>
    <w:p w14:paraId="40D673E7" w14:textId="6D3EC55C" w:rsidR="008F1674" w:rsidRPr="0043096D" w:rsidRDefault="008F1674" w:rsidP="006A6949">
      <w:pPr>
        <w:rPr>
          <w:bCs/>
          <w:szCs w:val="22"/>
        </w:rPr>
      </w:pPr>
      <w:bookmarkStart w:id="0" w:name="_Hlk82588071"/>
      <w:r w:rsidRPr="0043096D">
        <w:rPr>
          <w:bCs/>
          <w:szCs w:val="22"/>
        </w:rPr>
        <w:t xml:space="preserve">Respecto a las inversiones en tecnologías limpias que redundan en beneficio del medio ambiente, se amplía el actual límite de deducción </w:t>
      </w:r>
      <w:r w:rsidR="00EC26B0" w:rsidRPr="0043096D">
        <w:rPr>
          <w:bCs/>
          <w:szCs w:val="22"/>
        </w:rPr>
        <w:t>pasando del 35 por ciento al 50 por ciento.</w:t>
      </w:r>
    </w:p>
    <w:bookmarkEnd w:id="0"/>
    <w:p w14:paraId="58BFA082" w14:textId="627BB0DE" w:rsidR="00347B8A" w:rsidRPr="0043096D" w:rsidRDefault="00347B8A" w:rsidP="006A6949">
      <w:pPr>
        <w:rPr>
          <w:bCs/>
          <w:szCs w:val="22"/>
        </w:rPr>
      </w:pPr>
      <w:r w:rsidRPr="0043096D">
        <w:rPr>
          <w:bCs/>
          <w:szCs w:val="22"/>
        </w:rPr>
        <w:t>Por lo que se refiere a otras medidas tributarias</w:t>
      </w:r>
      <w:r w:rsidR="001B222F" w:rsidRPr="0043096D">
        <w:rPr>
          <w:bCs/>
          <w:szCs w:val="22"/>
        </w:rPr>
        <w:t>,</w:t>
      </w:r>
      <w:r w:rsidRPr="0043096D">
        <w:rPr>
          <w:bCs/>
          <w:szCs w:val="22"/>
        </w:rPr>
        <w:t xml:space="preserve"> se introducen modificaciones </w:t>
      </w:r>
      <w:proofErr w:type="gramStart"/>
      <w:r w:rsidRPr="0043096D">
        <w:rPr>
          <w:bCs/>
          <w:szCs w:val="22"/>
        </w:rPr>
        <w:t>en relación a</w:t>
      </w:r>
      <w:proofErr w:type="gramEnd"/>
      <w:r w:rsidRPr="0043096D">
        <w:rPr>
          <w:bCs/>
          <w:szCs w:val="22"/>
        </w:rPr>
        <w:t xml:space="preserve"> la imputación temporal de cantidades relacionadas con la compensación de pérdidas de la producción agrícola derivada de la contratación de seguros agrarios, en relación a la granizada sobre cultivos </w:t>
      </w:r>
      <w:r w:rsidR="00E650DF" w:rsidRPr="0043096D">
        <w:rPr>
          <w:bCs/>
          <w:szCs w:val="22"/>
        </w:rPr>
        <w:t xml:space="preserve">producida </w:t>
      </w:r>
      <w:r w:rsidRPr="0043096D">
        <w:rPr>
          <w:bCs/>
          <w:szCs w:val="22"/>
        </w:rPr>
        <w:t>en junio de 2020.</w:t>
      </w:r>
    </w:p>
    <w:p w14:paraId="3E3D2B1C" w14:textId="16927AE0" w:rsidR="00782700" w:rsidRPr="0043096D" w:rsidRDefault="00782700" w:rsidP="009D367C">
      <w:pPr>
        <w:spacing w:after="360"/>
        <w:rPr>
          <w:bCs/>
          <w:szCs w:val="22"/>
        </w:rPr>
      </w:pPr>
      <w:r w:rsidRPr="0043096D">
        <w:rPr>
          <w:bCs/>
          <w:szCs w:val="22"/>
        </w:rPr>
        <w:t>Finalmente se establecen medidas relacionadas con la explotación de fincas forestales gestionadas de forma sostenible.</w:t>
      </w:r>
    </w:p>
    <w:p w14:paraId="61029823" w14:textId="36D22711" w:rsidR="002F6510" w:rsidRPr="0043096D" w:rsidRDefault="002F6510" w:rsidP="009D367C">
      <w:pPr>
        <w:spacing w:after="360"/>
        <w:rPr>
          <w:bCs/>
          <w:szCs w:val="22"/>
        </w:rPr>
      </w:pPr>
      <w:r w:rsidRPr="0043096D">
        <w:rPr>
          <w:bCs/>
          <w:szCs w:val="22"/>
        </w:rPr>
        <w:t>TÍTULO I. MEDIDAS FISCALES RELACIONADAS CON EL MEDIO AMBIENTE.</w:t>
      </w:r>
    </w:p>
    <w:p w14:paraId="7E294280" w14:textId="77777777" w:rsidR="00466F56" w:rsidRPr="0043096D" w:rsidRDefault="00683912" w:rsidP="006A6949">
      <w:pPr>
        <w:rPr>
          <w:bCs/>
          <w:szCs w:val="22"/>
        </w:rPr>
      </w:pPr>
      <w:r w:rsidRPr="0043096D">
        <w:rPr>
          <w:bCs/>
          <w:szCs w:val="22"/>
        </w:rPr>
        <w:t xml:space="preserve">Artículo </w:t>
      </w:r>
      <w:r w:rsidR="00DD3067" w:rsidRPr="0043096D">
        <w:rPr>
          <w:bCs/>
          <w:szCs w:val="22"/>
        </w:rPr>
        <w:t>1</w:t>
      </w:r>
      <w:r w:rsidRPr="0043096D">
        <w:rPr>
          <w:bCs/>
          <w:szCs w:val="22"/>
        </w:rPr>
        <w:t xml:space="preserve">. </w:t>
      </w:r>
      <w:bookmarkStart w:id="1" w:name="_Hlk64290438"/>
      <w:r w:rsidR="00466F56" w:rsidRPr="0043096D">
        <w:rPr>
          <w:bCs/>
          <w:szCs w:val="22"/>
        </w:rPr>
        <w:t>Impuesto sobre la Renta de las Personas Físicas.</w:t>
      </w:r>
      <w:bookmarkEnd w:id="1"/>
    </w:p>
    <w:p w14:paraId="0FE923AF" w14:textId="0761B0C8" w:rsidR="00133827" w:rsidRPr="0043096D" w:rsidRDefault="00133827" w:rsidP="006A6949">
      <w:pPr>
        <w:rPr>
          <w:bCs/>
          <w:szCs w:val="22"/>
        </w:rPr>
      </w:pPr>
      <w:r w:rsidRPr="0043096D">
        <w:rPr>
          <w:bCs/>
          <w:szCs w:val="22"/>
        </w:rPr>
        <w:t>Con efectos a partir del 1 de enero de 202</w:t>
      </w:r>
      <w:r w:rsidR="0033393D" w:rsidRPr="0043096D">
        <w:rPr>
          <w:bCs/>
          <w:szCs w:val="22"/>
        </w:rPr>
        <w:t>1</w:t>
      </w:r>
      <w:r w:rsidR="00552FC3" w:rsidRPr="0043096D">
        <w:rPr>
          <w:bCs/>
          <w:szCs w:val="22"/>
        </w:rPr>
        <w:t>,</w:t>
      </w:r>
      <w:r w:rsidRPr="0043096D">
        <w:rPr>
          <w:bCs/>
          <w:szCs w:val="22"/>
        </w:rPr>
        <w:t xml:space="preserve"> se introducen las siguientes modificaciones en la Norma Foral 33/2013, de 27 de noviembre, del Impuesto sobre la Renta de las Personas Físicas:</w:t>
      </w:r>
    </w:p>
    <w:p w14:paraId="40A3B6CC" w14:textId="4E0AFBF7" w:rsidR="00F17834" w:rsidRPr="0043096D" w:rsidRDefault="00152D8F" w:rsidP="006A6949">
      <w:pPr>
        <w:rPr>
          <w:bCs/>
          <w:szCs w:val="22"/>
        </w:rPr>
      </w:pPr>
      <w:r w:rsidRPr="0043096D">
        <w:rPr>
          <w:bCs/>
          <w:szCs w:val="22"/>
        </w:rPr>
        <w:lastRenderedPageBreak/>
        <w:t>Uno</w:t>
      </w:r>
      <w:r w:rsidR="002D7687" w:rsidRPr="0043096D">
        <w:rPr>
          <w:bCs/>
          <w:szCs w:val="22"/>
        </w:rPr>
        <w:t>.</w:t>
      </w:r>
      <w:r w:rsidR="00F17834" w:rsidRPr="0043096D">
        <w:rPr>
          <w:bCs/>
          <w:szCs w:val="22"/>
        </w:rPr>
        <w:t xml:space="preserve"> Se añade un segundo párrafo al número 19 del artículo 9 que tendrá la siguiente redacción:</w:t>
      </w:r>
    </w:p>
    <w:p w14:paraId="30259E5C" w14:textId="404CEF0E" w:rsidR="00782700" w:rsidRPr="0043096D" w:rsidRDefault="00F17834" w:rsidP="00782700">
      <w:pPr>
        <w:rPr>
          <w:bCs/>
          <w:szCs w:val="22"/>
        </w:rPr>
      </w:pPr>
      <w:r w:rsidRPr="0043096D">
        <w:rPr>
          <w:bCs/>
          <w:szCs w:val="22"/>
        </w:rPr>
        <w:t xml:space="preserve">“Las subvenciones concedidas a quienes exploten fincas forestales gestionadas </w:t>
      </w:r>
      <w:r w:rsidR="00782700" w:rsidRPr="0043096D">
        <w:rPr>
          <w:bCs/>
          <w:szCs w:val="22"/>
        </w:rPr>
        <w:t xml:space="preserve">de forma sostenible </w:t>
      </w:r>
      <w:r w:rsidRPr="0043096D">
        <w:rPr>
          <w:bCs/>
          <w:szCs w:val="22"/>
        </w:rPr>
        <w:t xml:space="preserve">de acuerdo con las normas establecidas por </w:t>
      </w:r>
      <w:r w:rsidR="00782700" w:rsidRPr="0043096D">
        <w:rPr>
          <w:bCs/>
          <w:szCs w:val="22"/>
        </w:rPr>
        <w:t xml:space="preserve">el Departamento de </w:t>
      </w:r>
      <w:r w:rsidRPr="0043096D">
        <w:rPr>
          <w:bCs/>
          <w:szCs w:val="22"/>
        </w:rPr>
        <w:t>la Diputación Foral de Álava</w:t>
      </w:r>
      <w:r w:rsidR="00782700" w:rsidRPr="0043096D">
        <w:rPr>
          <w:bCs/>
          <w:szCs w:val="22"/>
        </w:rPr>
        <w:t xml:space="preserve"> competente en materia forestal</w:t>
      </w:r>
      <w:r w:rsidRPr="0043096D">
        <w:rPr>
          <w:bCs/>
          <w:szCs w:val="22"/>
        </w:rPr>
        <w:t>.</w:t>
      </w:r>
      <w:r w:rsidR="00782700" w:rsidRPr="0043096D">
        <w:rPr>
          <w:bCs/>
          <w:szCs w:val="22"/>
        </w:rPr>
        <w:t xml:space="preserve"> Para la aplicación de lo establecido en este párrafo será necesario disponer de la correspondiente certificación extendida al respecto por el Departamento de la Diputación Foral de Álava competente en materia forestal.”</w:t>
      </w:r>
    </w:p>
    <w:p w14:paraId="7EA1E1A4" w14:textId="52E7EF54" w:rsidR="002D7687" w:rsidRPr="0043096D" w:rsidRDefault="00F17834" w:rsidP="006A6949">
      <w:pPr>
        <w:rPr>
          <w:bCs/>
          <w:szCs w:val="22"/>
        </w:rPr>
      </w:pPr>
      <w:r w:rsidRPr="0043096D">
        <w:rPr>
          <w:bCs/>
          <w:szCs w:val="22"/>
        </w:rPr>
        <w:t xml:space="preserve">Dos. </w:t>
      </w:r>
      <w:r w:rsidR="002D7687" w:rsidRPr="0043096D">
        <w:rPr>
          <w:bCs/>
          <w:szCs w:val="22"/>
        </w:rPr>
        <w:t>Se añade una letra i) al apartado 2 del artículo 17 con la siguiente redacción:</w:t>
      </w:r>
    </w:p>
    <w:p w14:paraId="235A42A9" w14:textId="74FB4519" w:rsidR="002D7687" w:rsidRPr="0043096D" w:rsidRDefault="002D7687" w:rsidP="006A6949">
      <w:pPr>
        <w:rPr>
          <w:bCs/>
          <w:szCs w:val="22"/>
        </w:rPr>
      </w:pPr>
      <w:r w:rsidRPr="0043096D">
        <w:rPr>
          <w:bCs/>
          <w:szCs w:val="22"/>
        </w:rPr>
        <w:t>“i) Utilización de bicicletas urbanas propiedad de</w:t>
      </w:r>
      <w:r w:rsidR="00181511" w:rsidRPr="0043096D">
        <w:rPr>
          <w:bCs/>
          <w:szCs w:val="22"/>
        </w:rPr>
        <w:t xml:space="preserve"> la persona empleadora</w:t>
      </w:r>
      <w:r w:rsidRPr="0043096D">
        <w:rPr>
          <w:bCs/>
          <w:szCs w:val="22"/>
        </w:rPr>
        <w:t xml:space="preserve"> para desplazamientos de </w:t>
      </w:r>
      <w:r w:rsidR="00181511" w:rsidRPr="0043096D">
        <w:rPr>
          <w:bCs/>
          <w:szCs w:val="22"/>
        </w:rPr>
        <w:t>las personas trabajadoras</w:t>
      </w:r>
      <w:r w:rsidRPr="0043096D">
        <w:rPr>
          <w:bCs/>
          <w:szCs w:val="22"/>
        </w:rPr>
        <w:t xml:space="preserve"> de la entidad desde el lugar de</w:t>
      </w:r>
      <w:r w:rsidR="005670CD" w:rsidRPr="0043096D">
        <w:rPr>
          <w:bCs/>
          <w:szCs w:val="22"/>
        </w:rPr>
        <w:t xml:space="preserve"> su </w:t>
      </w:r>
      <w:r w:rsidRPr="0043096D">
        <w:rPr>
          <w:bCs/>
          <w:szCs w:val="22"/>
        </w:rPr>
        <w:t xml:space="preserve">residencia habitual hasta el lugar de trabajo o viceversa. </w:t>
      </w:r>
      <w:r w:rsidR="005670CD" w:rsidRPr="0043096D">
        <w:rPr>
          <w:bCs/>
          <w:szCs w:val="22"/>
        </w:rPr>
        <w:t>A estos efectos, se</w:t>
      </w:r>
      <w:r w:rsidRPr="0043096D">
        <w:rPr>
          <w:bCs/>
          <w:szCs w:val="22"/>
        </w:rPr>
        <w:t xml:space="preserve"> incluyen las bicicletas de pedaleo asistido por motor eléctrico de acuerdo con la definición de </w:t>
      </w:r>
      <w:proofErr w:type="gramStart"/>
      <w:r w:rsidRPr="0043096D">
        <w:rPr>
          <w:bCs/>
          <w:szCs w:val="22"/>
        </w:rPr>
        <w:t>las mismas</w:t>
      </w:r>
      <w:proofErr w:type="gramEnd"/>
      <w:r w:rsidR="005670CD" w:rsidRPr="0043096D">
        <w:rPr>
          <w:bCs/>
          <w:szCs w:val="22"/>
        </w:rPr>
        <w:t xml:space="preserve"> contenida</w:t>
      </w:r>
      <w:r w:rsidRPr="0043096D">
        <w:rPr>
          <w:bCs/>
          <w:szCs w:val="22"/>
        </w:rPr>
        <w:t xml:space="preserve"> en el Reglamento (UE) 168/2013 del Parlamento y del Consejo, de 15 de enero de 2013.”</w:t>
      </w:r>
    </w:p>
    <w:p w14:paraId="6696BA2E" w14:textId="1EC6585E" w:rsidR="0094562E" w:rsidRPr="0043096D" w:rsidRDefault="00F17834" w:rsidP="006A6949">
      <w:pPr>
        <w:rPr>
          <w:bCs/>
          <w:szCs w:val="22"/>
        </w:rPr>
      </w:pPr>
      <w:r w:rsidRPr="0043096D">
        <w:rPr>
          <w:bCs/>
          <w:szCs w:val="22"/>
        </w:rPr>
        <w:t>Tres</w:t>
      </w:r>
      <w:r w:rsidR="0094562E" w:rsidRPr="0043096D">
        <w:rPr>
          <w:bCs/>
          <w:szCs w:val="22"/>
        </w:rPr>
        <w:t xml:space="preserve">. El apartado </w:t>
      </w:r>
      <w:r w:rsidRPr="0043096D">
        <w:rPr>
          <w:bCs/>
          <w:szCs w:val="22"/>
        </w:rPr>
        <w:t>6</w:t>
      </w:r>
      <w:r w:rsidR="0094562E" w:rsidRPr="0043096D">
        <w:rPr>
          <w:bCs/>
          <w:szCs w:val="22"/>
        </w:rPr>
        <w:t xml:space="preserve"> del artículo 25 pasa a ser el apartado </w:t>
      </w:r>
      <w:r w:rsidRPr="0043096D">
        <w:rPr>
          <w:bCs/>
          <w:szCs w:val="22"/>
        </w:rPr>
        <w:t>7</w:t>
      </w:r>
      <w:r w:rsidR="0094562E" w:rsidRPr="0043096D">
        <w:rPr>
          <w:bCs/>
          <w:szCs w:val="22"/>
        </w:rPr>
        <w:t xml:space="preserve"> y se añade un nuevo apartado </w:t>
      </w:r>
      <w:r w:rsidRPr="0043096D">
        <w:rPr>
          <w:bCs/>
          <w:szCs w:val="22"/>
        </w:rPr>
        <w:t>6</w:t>
      </w:r>
      <w:r w:rsidR="0094562E" w:rsidRPr="0043096D">
        <w:rPr>
          <w:bCs/>
          <w:szCs w:val="22"/>
        </w:rPr>
        <w:t xml:space="preserve"> al artículo 25 con la siguiente redacción:</w:t>
      </w:r>
    </w:p>
    <w:p w14:paraId="7C267E2C" w14:textId="0F7D6B29" w:rsidR="00E82084" w:rsidRPr="0043096D" w:rsidRDefault="0094562E" w:rsidP="00E82084">
      <w:pPr>
        <w:rPr>
          <w:bCs/>
          <w:szCs w:val="22"/>
        </w:rPr>
      </w:pPr>
      <w:r w:rsidRPr="0043096D">
        <w:rPr>
          <w:bCs/>
          <w:szCs w:val="22"/>
        </w:rPr>
        <w:t>“</w:t>
      </w:r>
      <w:r w:rsidR="009B6681" w:rsidRPr="0043096D">
        <w:rPr>
          <w:bCs/>
          <w:szCs w:val="22"/>
        </w:rPr>
        <w:t>6</w:t>
      </w:r>
      <w:r w:rsidR="00E82084" w:rsidRPr="0043096D">
        <w:rPr>
          <w:bCs/>
          <w:szCs w:val="22"/>
        </w:rPr>
        <w:t xml:space="preserve">. Las y los contribuyentes que desarrollen una actividad económica forestal podrán reducir en un 10 por ciento el rendimiento neto positivo de la misma, una vez aplicado, en su caso, lo dispuesto en el apartado 4 </w:t>
      </w:r>
      <w:r w:rsidR="00F17834" w:rsidRPr="0043096D">
        <w:rPr>
          <w:bCs/>
          <w:szCs w:val="22"/>
        </w:rPr>
        <w:t xml:space="preserve">y 5 </w:t>
      </w:r>
      <w:r w:rsidR="00E82084" w:rsidRPr="0043096D">
        <w:rPr>
          <w:bCs/>
          <w:szCs w:val="22"/>
        </w:rPr>
        <w:t>de este art</w:t>
      </w:r>
      <w:r w:rsidRPr="0043096D">
        <w:rPr>
          <w:bCs/>
          <w:szCs w:val="22"/>
        </w:rPr>
        <w:t>í</w:t>
      </w:r>
      <w:r w:rsidR="00E82084" w:rsidRPr="0043096D">
        <w:rPr>
          <w:bCs/>
          <w:szCs w:val="22"/>
        </w:rPr>
        <w:t xml:space="preserve">culo. </w:t>
      </w:r>
    </w:p>
    <w:p w14:paraId="31412DA6" w14:textId="7F80D154" w:rsidR="00E82084" w:rsidRPr="0043096D" w:rsidRDefault="00E82084" w:rsidP="006A6949">
      <w:pPr>
        <w:rPr>
          <w:bCs/>
          <w:szCs w:val="22"/>
        </w:rPr>
      </w:pPr>
      <w:r w:rsidRPr="0043096D">
        <w:rPr>
          <w:bCs/>
          <w:szCs w:val="22"/>
        </w:rPr>
        <w:t xml:space="preserve">Para </w:t>
      </w:r>
      <w:r w:rsidR="00782700" w:rsidRPr="0043096D">
        <w:rPr>
          <w:bCs/>
          <w:szCs w:val="22"/>
        </w:rPr>
        <w:t>la aplicación de lo establecido en el párrafo anterior</w:t>
      </w:r>
      <w:r w:rsidRPr="0043096D">
        <w:rPr>
          <w:bCs/>
          <w:szCs w:val="22"/>
        </w:rPr>
        <w:t xml:space="preserve"> será necesario que </w:t>
      </w:r>
      <w:r w:rsidR="00782700" w:rsidRPr="0043096D">
        <w:rPr>
          <w:bCs/>
          <w:szCs w:val="22"/>
        </w:rPr>
        <w:t xml:space="preserve">se </w:t>
      </w:r>
      <w:r w:rsidRPr="0043096D">
        <w:rPr>
          <w:bCs/>
          <w:szCs w:val="22"/>
        </w:rPr>
        <w:t>cumplan los compromisos de gestión forestal sostenible que se establezcan reglamentariamente por parte de</w:t>
      </w:r>
      <w:r w:rsidR="00782700" w:rsidRPr="0043096D">
        <w:rPr>
          <w:bCs/>
          <w:szCs w:val="22"/>
        </w:rPr>
        <w:t>l Departamento de la Diputación Foral de Álava competente en materia forestal</w:t>
      </w:r>
      <w:r w:rsidRPr="0043096D">
        <w:rPr>
          <w:bCs/>
          <w:szCs w:val="22"/>
        </w:rPr>
        <w:t xml:space="preserve">. El cumplimiento de dichos compromisos se acreditará mediante certificación extendida al respecto por parte del Departamento </w:t>
      </w:r>
      <w:r w:rsidR="00782700" w:rsidRPr="0043096D">
        <w:rPr>
          <w:bCs/>
          <w:szCs w:val="22"/>
        </w:rPr>
        <w:t xml:space="preserve">de la Diputación Foral de Álava </w:t>
      </w:r>
      <w:r w:rsidRPr="0043096D">
        <w:rPr>
          <w:bCs/>
          <w:szCs w:val="22"/>
        </w:rPr>
        <w:t>competente en materia forestal.</w:t>
      </w:r>
      <w:r w:rsidR="0094562E" w:rsidRPr="0043096D">
        <w:rPr>
          <w:bCs/>
          <w:szCs w:val="22"/>
        </w:rPr>
        <w:t>”</w:t>
      </w:r>
    </w:p>
    <w:p w14:paraId="58BC02D1" w14:textId="15BB30CB" w:rsidR="001A68C5" w:rsidRPr="0043096D" w:rsidRDefault="00F17834" w:rsidP="006A6949">
      <w:pPr>
        <w:rPr>
          <w:bCs/>
          <w:szCs w:val="22"/>
        </w:rPr>
      </w:pPr>
      <w:r w:rsidRPr="0043096D">
        <w:rPr>
          <w:bCs/>
          <w:szCs w:val="22"/>
        </w:rPr>
        <w:t>Cuatro</w:t>
      </w:r>
      <w:r w:rsidR="001A68C5" w:rsidRPr="0043096D">
        <w:rPr>
          <w:bCs/>
          <w:szCs w:val="22"/>
        </w:rPr>
        <w:t xml:space="preserve">. Se modifican las letras a) y b) del </w:t>
      </w:r>
      <w:r w:rsidR="00050699" w:rsidRPr="0043096D">
        <w:rPr>
          <w:bCs/>
          <w:szCs w:val="22"/>
        </w:rPr>
        <w:t>apartado Tres</w:t>
      </w:r>
      <w:r w:rsidR="00303771" w:rsidRPr="0043096D">
        <w:rPr>
          <w:bCs/>
          <w:szCs w:val="22"/>
        </w:rPr>
        <w:t xml:space="preserve"> de la regla 5ª del artículo</w:t>
      </w:r>
      <w:r w:rsidR="00607513" w:rsidRPr="0043096D">
        <w:rPr>
          <w:bCs/>
          <w:szCs w:val="22"/>
        </w:rPr>
        <w:t xml:space="preserve"> 27 que quedan redactadas </w:t>
      </w:r>
      <w:r w:rsidR="00817344" w:rsidRPr="0043096D">
        <w:rPr>
          <w:bCs/>
          <w:szCs w:val="22"/>
        </w:rPr>
        <w:t>de la siguiente manera</w:t>
      </w:r>
      <w:r w:rsidR="00607513" w:rsidRPr="0043096D">
        <w:rPr>
          <w:bCs/>
          <w:szCs w:val="22"/>
        </w:rPr>
        <w:t>:</w:t>
      </w:r>
    </w:p>
    <w:p w14:paraId="3FC4F952" w14:textId="77777777" w:rsidR="00912F5E" w:rsidRPr="0043096D" w:rsidRDefault="00F91C40" w:rsidP="006A6949">
      <w:pPr>
        <w:rPr>
          <w:bCs/>
          <w:szCs w:val="22"/>
        </w:rPr>
      </w:pPr>
      <w:r w:rsidRPr="0043096D">
        <w:rPr>
          <w:bCs/>
          <w:szCs w:val="22"/>
        </w:rPr>
        <w:t xml:space="preserve">“a) </w:t>
      </w:r>
      <w:r w:rsidR="00050699" w:rsidRPr="0043096D">
        <w:rPr>
          <w:bCs/>
          <w:szCs w:val="22"/>
        </w:rPr>
        <w:t>E</w:t>
      </w:r>
      <w:r w:rsidR="00912F5E" w:rsidRPr="0043096D">
        <w:rPr>
          <w:bCs/>
          <w:szCs w:val="22"/>
        </w:rPr>
        <w:t>n concepto de arrendamiento, cesión o depreciación:</w:t>
      </w:r>
    </w:p>
    <w:p w14:paraId="029DA020" w14:textId="77777777" w:rsidR="00F91C40" w:rsidRPr="0043096D" w:rsidRDefault="00912F5E" w:rsidP="006A6949">
      <w:pPr>
        <w:rPr>
          <w:bCs/>
          <w:szCs w:val="22"/>
        </w:rPr>
      </w:pPr>
      <w:r w:rsidRPr="0043096D">
        <w:rPr>
          <w:bCs/>
          <w:szCs w:val="22"/>
        </w:rPr>
        <w:t>-</w:t>
      </w:r>
      <w:r w:rsidR="00050699" w:rsidRPr="0043096D">
        <w:rPr>
          <w:bCs/>
          <w:szCs w:val="22"/>
        </w:rPr>
        <w:t xml:space="preserve"> L</w:t>
      </w:r>
      <w:r w:rsidR="00F91C40" w:rsidRPr="0043096D">
        <w:rPr>
          <w:bCs/>
          <w:szCs w:val="22"/>
        </w:rPr>
        <w:t>a cantidad menor entre 5.000 euros o el importe resultante de multiplicar el porcentaje de amortización utilizado por el contribuyente por 25.000 euros, si es un importe menor y el elemento patrim</w:t>
      </w:r>
      <w:r w:rsidRPr="0043096D">
        <w:rPr>
          <w:bCs/>
          <w:szCs w:val="22"/>
        </w:rPr>
        <w:t>onial es objeto de amortización</w:t>
      </w:r>
      <w:r w:rsidR="00817344" w:rsidRPr="0043096D">
        <w:rPr>
          <w:bCs/>
          <w:szCs w:val="22"/>
        </w:rPr>
        <w:t>.</w:t>
      </w:r>
    </w:p>
    <w:p w14:paraId="74149D3A" w14:textId="4A37486D" w:rsidR="00912F5E" w:rsidRPr="0043096D" w:rsidRDefault="00050699" w:rsidP="006A6949">
      <w:pPr>
        <w:rPr>
          <w:bCs/>
          <w:szCs w:val="22"/>
        </w:rPr>
      </w:pPr>
      <w:r w:rsidRPr="0043096D">
        <w:rPr>
          <w:bCs/>
          <w:szCs w:val="22"/>
        </w:rPr>
        <w:t>- S</w:t>
      </w:r>
      <w:r w:rsidR="004F6100" w:rsidRPr="0043096D">
        <w:rPr>
          <w:bCs/>
          <w:szCs w:val="22"/>
        </w:rPr>
        <w:t>i se trata de vehículos eléctricos</w:t>
      </w:r>
      <w:r w:rsidR="00817344" w:rsidRPr="0043096D">
        <w:rPr>
          <w:bCs/>
          <w:szCs w:val="22"/>
        </w:rPr>
        <w:t xml:space="preserve"> de batería (</w:t>
      </w:r>
      <w:r w:rsidR="00CC0DE5" w:rsidRPr="0043096D">
        <w:rPr>
          <w:bCs/>
          <w:szCs w:val="22"/>
        </w:rPr>
        <w:t>BEV) o vehículos eléctricos de batería extendida</w:t>
      </w:r>
      <w:r w:rsidR="00125FB1" w:rsidRPr="0043096D">
        <w:rPr>
          <w:bCs/>
          <w:szCs w:val="22"/>
        </w:rPr>
        <w:t xml:space="preserve"> (E-REV)</w:t>
      </w:r>
      <w:r w:rsidR="002F6510" w:rsidRPr="0043096D">
        <w:rPr>
          <w:bCs/>
          <w:szCs w:val="22"/>
        </w:rPr>
        <w:t xml:space="preserve"> en lugar de lo señalado anteriormente</w:t>
      </w:r>
      <w:r w:rsidR="00532C9D" w:rsidRPr="0043096D">
        <w:rPr>
          <w:bCs/>
          <w:szCs w:val="22"/>
        </w:rPr>
        <w:t>,</w:t>
      </w:r>
      <w:r w:rsidR="002F6510" w:rsidRPr="0043096D">
        <w:rPr>
          <w:bCs/>
          <w:szCs w:val="22"/>
        </w:rPr>
        <w:t xml:space="preserve"> se aplicará</w:t>
      </w:r>
      <w:r w:rsidR="004F6100" w:rsidRPr="0043096D">
        <w:rPr>
          <w:bCs/>
          <w:szCs w:val="22"/>
        </w:rPr>
        <w:t xml:space="preserve"> </w:t>
      </w:r>
      <w:r w:rsidR="00CC0DE5" w:rsidRPr="0043096D">
        <w:rPr>
          <w:bCs/>
          <w:szCs w:val="22"/>
        </w:rPr>
        <w:t>la cantidad menor entre 7.000</w:t>
      </w:r>
      <w:r w:rsidR="00AB5F01" w:rsidRPr="0043096D">
        <w:rPr>
          <w:bCs/>
          <w:szCs w:val="22"/>
        </w:rPr>
        <w:t xml:space="preserve"> euros o el importe resultante de multiplicar el porcentaje de amortización utili</w:t>
      </w:r>
      <w:r w:rsidR="00CC0DE5" w:rsidRPr="0043096D">
        <w:rPr>
          <w:bCs/>
          <w:szCs w:val="22"/>
        </w:rPr>
        <w:t>zado por el contribuyente por 35</w:t>
      </w:r>
      <w:r w:rsidR="00AB5F01" w:rsidRPr="0043096D">
        <w:rPr>
          <w:bCs/>
          <w:szCs w:val="22"/>
        </w:rPr>
        <w:t>.000 euros, si es un importe menor y el elemento patrim</w:t>
      </w:r>
      <w:r w:rsidR="00912F5E" w:rsidRPr="0043096D">
        <w:rPr>
          <w:bCs/>
          <w:szCs w:val="22"/>
        </w:rPr>
        <w:t>onial es objeto de amortización.</w:t>
      </w:r>
    </w:p>
    <w:p w14:paraId="55E09D5A" w14:textId="77777777" w:rsidR="00912F5E" w:rsidRPr="0043096D" w:rsidRDefault="00F91C40" w:rsidP="006A6949">
      <w:pPr>
        <w:rPr>
          <w:bCs/>
          <w:szCs w:val="22"/>
        </w:rPr>
      </w:pPr>
      <w:r w:rsidRPr="0043096D">
        <w:rPr>
          <w:bCs/>
          <w:szCs w:val="22"/>
        </w:rPr>
        <w:t xml:space="preserve">b) </w:t>
      </w:r>
      <w:r w:rsidR="00050699" w:rsidRPr="0043096D">
        <w:rPr>
          <w:bCs/>
          <w:szCs w:val="22"/>
        </w:rPr>
        <w:t>E</w:t>
      </w:r>
      <w:r w:rsidR="00912F5E" w:rsidRPr="0043096D">
        <w:rPr>
          <w:bCs/>
          <w:szCs w:val="22"/>
        </w:rPr>
        <w:t>n relación con los gastos financieros derivados de la adquisición de los mencionados vehículos:</w:t>
      </w:r>
    </w:p>
    <w:p w14:paraId="25016A07" w14:textId="77777777" w:rsidR="00912F5E" w:rsidRPr="0043096D" w:rsidRDefault="00F91C40" w:rsidP="006A6949">
      <w:pPr>
        <w:rPr>
          <w:bCs/>
          <w:szCs w:val="22"/>
        </w:rPr>
      </w:pPr>
      <w:r w:rsidRPr="0043096D">
        <w:rPr>
          <w:bCs/>
          <w:szCs w:val="22"/>
        </w:rPr>
        <w:t xml:space="preserve"> </w:t>
      </w:r>
      <w:r w:rsidR="00050699" w:rsidRPr="0043096D">
        <w:rPr>
          <w:bCs/>
          <w:szCs w:val="22"/>
        </w:rPr>
        <w:t>- L</w:t>
      </w:r>
      <w:r w:rsidRPr="0043096D">
        <w:rPr>
          <w:bCs/>
          <w:szCs w:val="22"/>
        </w:rPr>
        <w:t xml:space="preserve">a parte proporcional </w:t>
      </w:r>
      <w:r w:rsidR="003D77B8" w:rsidRPr="0043096D">
        <w:rPr>
          <w:bCs/>
          <w:szCs w:val="22"/>
        </w:rPr>
        <w:t xml:space="preserve">que represente la cantidad de </w:t>
      </w:r>
      <w:r w:rsidR="00912F5E" w:rsidRPr="0043096D">
        <w:rPr>
          <w:bCs/>
          <w:szCs w:val="22"/>
        </w:rPr>
        <w:t>25.000</w:t>
      </w:r>
      <w:r w:rsidRPr="0043096D">
        <w:rPr>
          <w:bCs/>
          <w:szCs w:val="22"/>
        </w:rPr>
        <w:t xml:space="preserve"> euros respecto al precio de adquisición del vehí</w:t>
      </w:r>
      <w:r w:rsidR="00912F5E" w:rsidRPr="0043096D">
        <w:rPr>
          <w:bCs/>
          <w:szCs w:val="22"/>
        </w:rPr>
        <w:t>culo, cuando éste sea superior.</w:t>
      </w:r>
    </w:p>
    <w:p w14:paraId="424D4A56" w14:textId="2C6487F9" w:rsidR="00912F5E" w:rsidRPr="0043096D" w:rsidRDefault="00050699" w:rsidP="006A6949">
      <w:pPr>
        <w:rPr>
          <w:bCs/>
          <w:szCs w:val="22"/>
        </w:rPr>
      </w:pPr>
      <w:r w:rsidRPr="0043096D">
        <w:rPr>
          <w:bCs/>
          <w:szCs w:val="22"/>
        </w:rPr>
        <w:lastRenderedPageBreak/>
        <w:t>- S</w:t>
      </w:r>
      <w:r w:rsidR="00912F5E" w:rsidRPr="0043096D">
        <w:rPr>
          <w:bCs/>
          <w:szCs w:val="22"/>
        </w:rPr>
        <w:t>i se trata de vehículos eléctricos</w:t>
      </w:r>
      <w:r w:rsidRPr="0043096D">
        <w:rPr>
          <w:bCs/>
          <w:szCs w:val="22"/>
        </w:rPr>
        <w:t xml:space="preserve"> de batería</w:t>
      </w:r>
      <w:r w:rsidR="00817344" w:rsidRPr="0043096D">
        <w:rPr>
          <w:bCs/>
          <w:szCs w:val="22"/>
        </w:rPr>
        <w:t xml:space="preserve"> (</w:t>
      </w:r>
      <w:r w:rsidRPr="0043096D">
        <w:rPr>
          <w:bCs/>
          <w:szCs w:val="22"/>
        </w:rPr>
        <w:t>BEV) o vehículos eléctricos de batería extendida (E-REV)</w:t>
      </w:r>
      <w:r w:rsidR="00912F5E" w:rsidRPr="0043096D">
        <w:rPr>
          <w:bCs/>
          <w:szCs w:val="22"/>
        </w:rPr>
        <w:t xml:space="preserve"> </w:t>
      </w:r>
      <w:r w:rsidR="002F6510" w:rsidRPr="0043096D">
        <w:rPr>
          <w:bCs/>
          <w:szCs w:val="22"/>
        </w:rPr>
        <w:t>en lugar de lo señalado anteriormente</w:t>
      </w:r>
      <w:r w:rsidR="00D3438D" w:rsidRPr="0043096D">
        <w:rPr>
          <w:bCs/>
          <w:szCs w:val="22"/>
        </w:rPr>
        <w:t>,</w:t>
      </w:r>
      <w:r w:rsidR="002F6510" w:rsidRPr="0043096D">
        <w:rPr>
          <w:bCs/>
          <w:szCs w:val="22"/>
        </w:rPr>
        <w:t xml:space="preserve"> se aplicará l</w:t>
      </w:r>
      <w:r w:rsidR="00912F5E" w:rsidRPr="0043096D">
        <w:rPr>
          <w:bCs/>
          <w:szCs w:val="22"/>
        </w:rPr>
        <w:t xml:space="preserve">a parte proporcional que represente la cantidad de </w:t>
      </w:r>
      <w:r w:rsidR="00A950B0" w:rsidRPr="0043096D">
        <w:rPr>
          <w:bCs/>
          <w:szCs w:val="22"/>
        </w:rPr>
        <w:t>35</w:t>
      </w:r>
      <w:r w:rsidR="00912F5E" w:rsidRPr="0043096D">
        <w:rPr>
          <w:bCs/>
          <w:szCs w:val="22"/>
        </w:rPr>
        <w:t>.000 euros respecto al precio de adquisición del vehículo, cuando éste sea superior</w:t>
      </w:r>
      <w:r w:rsidR="00916FD1" w:rsidRPr="0043096D">
        <w:rPr>
          <w:bCs/>
          <w:szCs w:val="22"/>
        </w:rPr>
        <w:t>.</w:t>
      </w:r>
      <w:r w:rsidR="004147DD" w:rsidRPr="0043096D">
        <w:rPr>
          <w:bCs/>
          <w:szCs w:val="22"/>
        </w:rPr>
        <w:t>”</w:t>
      </w:r>
    </w:p>
    <w:p w14:paraId="552CA81E" w14:textId="12716784" w:rsidR="00F72409" w:rsidRPr="0043096D" w:rsidRDefault="00F17834" w:rsidP="00F72409">
      <w:pPr>
        <w:rPr>
          <w:bCs/>
          <w:szCs w:val="22"/>
        </w:rPr>
      </w:pPr>
      <w:r w:rsidRPr="0043096D">
        <w:rPr>
          <w:bCs/>
          <w:szCs w:val="22"/>
        </w:rPr>
        <w:t>Cinco</w:t>
      </w:r>
      <w:r w:rsidR="00152D8F" w:rsidRPr="0043096D">
        <w:rPr>
          <w:bCs/>
          <w:szCs w:val="22"/>
        </w:rPr>
        <w:t>. Se añade un artículo</w:t>
      </w:r>
      <w:r w:rsidR="008A536C" w:rsidRPr="0043096D">
        <w:rPr>
          <w:bCs/>
          <w:szCs w:val="22"/>
        </w:rPr>
        <w:t xml:space="preserve"> 93 bis con la</w:t>
      </w:r>
      <w:r w:rsidR="00152D8F" w:rsidRPr="0043096D">
        <w:rPr>
          <w:bCs/>
          <w:szCs w:val="22"/>
        </w:rPr>
        <w:t xml:space="preserve"> </w:t>
      </w:r>
      <w:r w:rsidR="00F72409" w:rsidRPr="0043096D">
        <w:rPr>
          <w:bCs/>
          <w:szCs w:val="22"/>
        </w:rPr>
        <w:t>siguiente redacción:</w:t>
      </w:r>
    </w:p>
    <w:p w14:paraId="2D3A5799" w14:textId="77777777" w:rsidR="00F72409" w:rsidRPr="0043096D" w:rsidRDefault="00F72409" w:rsidP="008A536C">
      <w:pPr>
        <w:rPr>
          <w:bCs/>
          <w:szCs w:val="22"/>
        </w:rPr>
      </w:pPr>
      <w:r w:rsidRPr="0043096D">
        <w:rPr>
          <w:bCs/>
          <w:szCs w:val="22"/>
        </w:rPr>
        <w:t>“Artículo 93 bis. Deducción por aportación a cooperativas para la adquisición de instalaciones de generación de energía eléctrica solar fotovoltaica para suministro de energía a la vivienda habitual.</w:t>
      </w:r>
    </w:p>
    <w:p w14:paraId="428A939C" w14:textId="664137DA" w:rsidR="00F72409" w:rsidRPr="0043096D" w:rsidRDefault="00F72409" w:rsidP="008A536C">
      <w:pPr>
        <w:rPr>
          <w:bCs/>
          <w:szCs w:val="22"/>
        </w:rPr>
      </w:pPr>
      <w:r w:rsidRPr="0043096D">
        <w:rPr>
          <w:bCs/>
          <w:szCs w:val="22"/>
        </w:rPr>
        <w:t>1.</w:t>
      </w:r>
      <w:r w:rsidR="00852A2D" w:rsidRPr="0043096D">
        <w:rPr>
          <w:bCs/>
          <w:szCs w:val="22"/>
        </w:rPr>
        <w:t xml:space="preserve"> </w:t>
      </w:r>
      <w:r w:rsidRPr="0043096D">
        <w:rPr>
          <w:bCs/>
          <w:szCs w:val="22"/>
        </w:rPr>
        <w:t>Las y los contribuyentes con residencia habitual en un término municipal de Álava que cuente con menos de 4.000 habitantes podrán deducir el 10 por ciento del importe de las cantidades aportadas a cooperativas de generación de energía sostenible en los términos a que se refiere este artículo.</w:t>
      </w:r>
    </w:p>
    <w:p w14:paraId="594D8E8E" w14:textId="77777777" w:rsidR="00F72409" w:rsidRPr="0043096D" w:rsidRDefault="00F72409" w:rsidP="008A536C">
      <w:pPr>
        <w:rPr>
          <w:bCs/>
          <w:szCs w:val="22"/>
        </w:rPr>
      </w:pPr>
      <w:r w:rsidRPr="0043096D">
        <w:rPr>
          <w:bCs/>
          <w:szCs w:val="22"/>
        </w:rPr>
        <w:t>A estos efectos se precisará que la unidad familiar ubique en dicho término municipal su principal centro de intereses, entendiendo por tal la ubicación en el mismo de, entre otras, sus relaciones personales, sociales, sanitarias y educativas.</w:t>
      </w:r>
    </w:p>
    <w:p w14:paraId="0F62B0FC" w14:textId="58F29E08" w:rsidR="00F72409" w:rsidRPr="0043096D" w:rsidRDefault="00F72409" w:rsidP="00F72409">
      <w:pPr>
        <w:rPr>
          <w:bCs/>
          <w:szCs w:val="22"/>
        </w:rPr>
      </w:pPr>
      <w:r w:rsidRPr="0043096D">
        <w:rPr>
          <w:bCs/>
          <w:szCs w:val="22"/>
        </w:rPr>
        <w:t xml:space="preserve">2.La base de esta deducción </w:t>
      </w:r>
      <w:r w:rsidR="00852A2D" w:rsidRPr="0043096D">
        <w:rPr>
          <w:bCs/>
          <w:szCs w:val="22"/>
        </w:rPr>
        <w:t>estará formada por</w:t>
      </w:r>
      <w:r w:rsidRPr="0043096D">
        <w:rPr>
          <w:bCs/>
          <w:szCs w:val="22"/>
        </w:rPr>
        <w:t xml:space="preserve"> las cantidades aportadas a las citadas cooperativas para la </w:t>
      </w:r>
      <w:bookmarkStart w:id="2" w:name="_Hlk65139724"/>
      <w:r w:rsidRPr="0043096D">
        <w:rPr>
          <w:bCs/>
          <w:szCs w:val="22"/>
        </w:rPr>
        <w:t xml:space="preserve">adquisición de instalaciones de producción de energía eléctrica solar fotovoltaica </w:t>
      </w:r>
      <w:bookmarkEnd w:id="2"/>
      <w:r w:rsidRPr="0043096D">
        <w:rPr>
          <w:bCs/>
          <w:szCs w:val="22"/>
        </w:rPr>
        <w:t>para suministro de energía a su vivienda habitual.</w:t>
      </w:r>
    </w:p>
    <w:p w14:paraId="582C6D64" w14:textId="30224CE0" w:rsidR="00F72409" w:rsidRPr="0043096D" w:rsidRDefault="00F72409" w:rsidP="00F72409">
      <w:pPr>
        <w:rPr>
          <w:bCs/>
          <w:szCs w:val="22"/>
        </w:rPr>
      </w:pPr>
      <w:r w:rsidRPr="0043096D">
        <w:rPr>
          <w:bCs/>
          <w:szCs w:val="22"/>
        </w:rPr>
        <w:t>En el caso de viviendas en régimen de propiedad horizontal en las que se lleven a cabo estas instalaciones de forma compartida, siempre que las mismas cumplan los requisitos legales establecidos, la presente deducción podrá aplicarla cada uno de l</w:t>
      </w:r>
      <w:r w:rsidR="002346FF" w:rsidRPr="0043096D">
        <w:rPr>
          <w:bCs/>
          <w:szCs w:val="22"/>
        </w:rPr>
        <w:t>o</w:t>
      </w:r>
      <w:r w:rsidRPr="0043096D">
        <w:rPr>
          <w:bCs/>
          <w:szCs w:val="22"/>
        </w:rPr>
        <w:t>s propietari</w:t>
      </w:r>
      <w:r w:rsidR="002346FF" w:rsidRPr="0043096D">
        <w:rPr>
          <w:bCs/>
          <w:szCs w:val="22"/>
        </w:rPr>
        <w:t>o</w:t>
      </w:r>
      <w:r w:rsidRPr="0043096D">
        <w:rPr>
          <w:bCs/>
          <w:szCs w:val="22"/>
        </w:rPr>
        <w:t>s o propietari</w:t>
      </w:r>
      <w:r w:rsidR="002346FF" w:rsidRPr="0043096D">
        <w:rPr>
          <w:bCs/>
          <w:szCs w:val="22"/>
        </w:rPr>
        <w:t>a</w:t>
      </w:r>
      <w:r w:rsidRPr="0043096D">
        <w:rPr>
          <w:bCs/>
          <w:szCs w:val="22"/>
        </w:rPr>
        <w:t xml:space="preserve">s individualmente según el coeficiente de participación que le corresponda en la comunidad, siempre que cumplan con el resto de </w:t>
      </w:r>
      <w:r w:rsidR="00852A2D" w:rsidRPr="0043096D">
        <w:rPr>
          <w:bCs/>
          <w:szCs w:val="22"/>
        </w:rPr>
        <w:t xml:space="preserve">los </w:t>
      </w:r>
      <w:r w:rsidRPr="0043096D">
        <w:rPr>
          <w:bCs/>
          <w:szCs w:val="22"/>
        </w:rPr>
        <w:t>requis</w:t>
      </w:r>
      <w:r w:rsidR="008A536C" w:rsidRPr="0043096D">
        <w:rPr>
          <w:bCs/>
          <w:szCs w:val="22"/>
        </w:rPr>
        <w:t>i</w:t>
      </w:r>
      <w:r w:rsidRPr="0043096D">
        <w:rPr>
          <w:bCs/>
          <w:szCs w:val="22"/>
        </w:rPr>
        <w:t>tos establecidos.</w:t>
      </w:r>
    </w:p>
    <w:p w14:paraId="3B6D77DC" w14:textId="77777777" w:rsidR="00F72409" w:rsidRPr="0043096D" w:rsidRDefault="00F72409" w:rsidP="00F72409">
      <w:pPr>
        <w:rPr>
          <w:bCs/>
          <w:szCs w:val="22"/>
        </w:rPr>
      </w:pPr>
      <w:r w:rsidRPr="0043096D">
        <w:rPr>
          <w:bCs/>
          <w:szCs w:val="22"/>
        </w:rPr>
        <w:t xml:space="preserve">La base de la deducción se minorará en el importe de las subvenciones que </w:t>
      </w:r>
      <w:proofErr w:type="spellStart"/>
      <w:r w:rsidRPr="0043096D">
        <w:rPr>
          <w:bCs/>
          <w:szCs w:val="22"/>
        </w:rPr>
        <w:t>el</w:t>
      </w:r>
      <w:proofErr w:type="spellEnd"/>
      <w:r w:rsidRPr="0043096D">
        <w:rPr>
          <w:bCs/>
          <w:szCs w:val="22"/>
        </w:rPr>
        <w:t xml:space="preserve"> o la contribuyente hubiere, en su caso, recibido, de forma directa o indirecta, para la adquisición de dichas instalaciones de producción de energía eléctrica solar fotovoltaica.</w:t>
      </w:r>
    </w:p>
    <w:p w14:paraId="719C074A" w14:textId="77777777" w:rsidR="00F72409" w:rsidRPr="0043096D" w:rsidRDefault="00F72409" w:rsidP="00F72409">
      <w:pPr>
        <w:rPr>
          <w:bCs/>
          <w:szCs w:val="22"/>
        </w:rPr>
      </w:pPr>
      <w:r w:rsidRPr="0043096D">
        <w:rPr>
          <w:bCs/>
          <w:szCs w:val="22"/>
        </w:rPr>
        <w:t>En ningún caso la presente deducción alcanzará a los gastos derivados del consumo de energía de la vivienda habitual o del conjunto de viviendas en régimen de propiedad horizontal.</w:t>
      </w:r>
    </w:p>
    <w:p w14:paraId="09D08FF5" w14:textId="0638EF01" w:rsidR="00F72409" w:rsidRPr="0043096D" w:rsidRDefault="00F72409" w:rsidP="00F72409">
      <w:pPr>
        <w:rPr>
          <w:bCs/>
          <w:szCs w:val="22"/>
        </w:rPr>
      </w:pPr>
      <w:r w:rsidRPr="0043096D">
        <w:rPr>
          <w:bCs/>
          <w:szCs w:val="22"/>
        </w:rPr>
        <w:t>3.</w:t>
      </w:r>
      <w:r w:rsidR="00852A2D" w:rsidRPr="0043096D">
        <w:rPr>
          <w:bCs/>
          <w:szCs w:val="22"/>
        </w:rPr>
        <w:t xml:space="preserve"> </w:t>
      </w:r>
      <w:r w:rsidRPr="0043096D">
        <w:rPr>
          <w:bCs/>
          <w:szCs w:val="22"/>
        </w:rPr>
        <w:t>La base máxima de esta deducción se establece en 3.000 euros. Esta misma base tendrá igualmente la consideración de límite máximo de aportación deducible para cada vivienda.</w:t>
      </w:r>
    </w:p>
    <w:p w14:paraId="212F570A" w14:textId="77777777" w:rsidR="00F72409" w:rsidRPr="0043096D" w:rsidRDefault="00F72409" w:rsidP="00F72409">
      <w:pPr>
        <w:rPr>
          <w:bCs/>
          <w:szCs w:val="22"/>
        </w:rPr>
      </w:pPr>
      <w:r w:rsidRPr="0043096D">
        <w:rPr>
          <w:bCs/>
          <w:szCs w:val="22"/>
        </w:rPr>
        <w:t>4. El límite de base de deducción de 3.000 euros por vivienda a que se refiere el apartado anterior se aplica para el conjunto de contribuyentes respecto a una misma vivienda.</w:t>
      </w:r>
    </w:p>
    <w:p w14:paraId="302AD47B" w14:textId="77777777" w:rsidR="00F72409" w:rsidRPr="0043096D" w:rsidRDefault="00F72409" w:rsidP="00F72409">
      <w:pPr>
        <w:rPr>
          <w:bCs/>
          <w:szCs w:val="22"/>
        </w:rPr>
      </w:pPr>
      <w:r w:rsidRPr="0043096D">
        <w:rPr>
          <w:bCs/>
          <w:szCs w:val="22"/>
        </w:rPr>
        <w:t>En el caso de que, respecto a la misma vivienda habitual, existan varios contribuyentes con derecho a aplicar la presente deducción, el citado límite de 3.000 euros se distribuirá entre ellos según el porcentaje de propiedad que les corresponda sobre la vivienda.</w:t>
      </w:r>
    </w:p>
    <w:p w14:paraId="76262ED9" w14:textId="77777777" w:rsidR="00F72409" w:rsidRPr="0043096D" w:rsidRDefault="00F72409" w:rsidP="00F72409">
      <w:pPr>
        <w:rPr>
          <w:bCs/>
          <w:szCs w:val="22"/>
        </w:rPr>
      </w:pPr>
      <w:r w:rsidRPr="0043096D">
        <w:rPr>
          <w:bCs/>
          <w:szCs w:val="22"/>
        </w:rPr>
        <w:t>5. Las cantidades no deducidas por insuficiencia de cuota íntegra podrán aplicarse, respetando los citados límites, en los cuatro períodos impositivos inmediatos y sucesivos.</w:t>
      </w:r>
    </w:p>
    <w:p w14:paraId="27C1282F" w14:textId="4EB7BBC7" w:rsidR="00152D8F" w:rsidRPr="0043096D" w:rsidRDefault="00F72409" w:rsidP="006A6949">
      <w:pPr>
        <w:rPr>
          <w:bCs/>
          <w:szCs w:val="22"/>
        </w:rPr>
      </w:pPr>
      <w:r w:rsidRPr="0043096D">
        <w:rPr>
          <w:bCs/>
          <w:szCs w:val="22"/>
        </w:rPr>
        <w:lastRenderedPageBreak/>
        <w:t>6.Para la aplicación de la presente deducción es necesario que las instalaciones de producción de energía eléctrica solar fotovoltaica cumplan con todos los requerimientos legales.”</w:t>
      </w:r>
    </w:p>
    <w:p w14:paraId="2A299D22" w14:textId="77777777" w:rsidR="00A81946" w:rsidRPr="0043096D" w:rsidRDefault="00E07FD7" w:rsidP="006A6949">
      <w:pPr>
        <w:rPr>
          <w:bCs/>
          <w:szCs w:val="22"/>
        </w:rPr>
      </w:pPr>
      <w:r w:rsidRPr="0043096D">
        <w:rPr>
          <w:bCs/>
          <w:szCs w:val="22"/>
        </w:rPr>
        <w:t>Artículo</w:t>
      </w:r>
      <w:r w:rsidR="002D7687" w:rsidRPr="0043096D">
        <w:rPr>
          <w:bCs/>
          <w:szCs w:val="22"/>
        </w:rPr>
        <w:t xml:space="preserve"> </w:t>
      </w:r>
      <w:r w:rsidR="00DD3067" w:rsidRPr="0043096D">
        <w:rPr>
          <w:bCs/>
          <w:szCs w:val="22"/>
        </w:rPr>
        <w:t>2</w:t>
      </w:r>
      <w:r w:rsidR="000B59AD" w:rsidRPr="0043096D">
        <w:rPr>
          <w:bCs/>
          <w:szCs w:val="22"/>
        </w:rPr>
        <w:t xml:space="preserve">. </w:t>
      </w:r>
      <w:bookmarkStart w:id="3" w:name="_Hlk64290461"/>
      <w:r w:rsidR="000B59AD" w:rsidRPr="0043096D">
        <w:rPr>
          <w:bCs/>
          <w:szCs w:val="22"/>
        </w:rPr>
        <w:t>Impuesto sobre Sociedades.</w:t>
      </w:r>
      <w:bookmarkEnd w:id="3"/>
    </w:p>
    <w:p w14:paraId="197DFDAA" w14:textId="08A6F069" w:rsidR="00E0400A" w:rsidRPr="0043096D" w:rsidRDefault="00FB0877" w:rsidP="006A6949">
      <w:pPr>
        <w:rPr>
          <w:bCs/>
          <w:szCs w:val="22"/>
        </w:rPr>
      </w:pPr>
      <w:r w:rsidRPr="0043096D">
        <w:rPr>
          <w:bCs/>
          <w:szCs w:val="22"/>
        </w:rPr>
        <w:t xml:space="preserve">Con efectos para los periodos impositivos </w:t>
      </w:r>
      <w:r w:rsidR="00A81946" w:rsidRPr="0043096D">
        <w:rPr>
          <w:bCs/>
          <w:szCs w:val="22"/>
        </w:rPr>
        <w:t>que se inicie</w:t>
      </w:r>
      <w:r w:rsidR="00406559" w:rsidRPr="0043096D">
        <w:rPr>
          <w:bCs/>
          <w:szCs w:val="22"/>
        </w:rPr>
        <w:t>n a partir de</w:t>
      </w:r>
      <w:r w:rsidR="002F6510" w:rsidRPr="0043096D">
        <w:rPr>
          <w:bCs/>
          <w:szCs w:val="22"/>
        </w:rPr>
        <w:t>l</w:t>
      </w:r>
      <w:r w:rsidR="00406559" w:rsidRPr="0043096D">
        <w:rPr>
          <w:bCs/>
          <w:szCs w:val="22"/>
        </w:rPr>
        <w:t xml:space="preserve"> 1 de enero de 2021</w:t>
      </w:r>
      <w:r w:rsidR="00552FC3" w:rsidRPr="0043096D">
        <w:rPr>
          <w:bCs/>
          <w:szCs w:val="22"/>
        </w:rPr>
        <w:t>,</w:t>
      </w:r>
      <w:r w:rsidR="00E0400A" w:rsidRPr="0043096D">
        <w:rPr>
          <w:bCs/>
          <w:szCs w:val="22"/>
        </w:rPr>
        <w:t xml:space="preserve"> se introducen las siguientes modificaciones en la Norma Foral 37/2013, de 13 de diciembre, del Impuesto sobre Sociedades:</w:t>
      </w:r>
    </w:p>
    <w:p w14:paraId="11793435" w14:textId="77777777" w:rsidR="00FC0B3A" w:rsidRPr="0043096D" w:rsidRDefault="0033393D" w:rsidP="006A6949">
      <w:pPr>
        <w:rPr>
          <w:bCs/>
          <w:szCs w:val="22"/>
        </w:rPr>
      </w:pPr>
      <w:r w:rsidRPr="0043096D">
        <w:rPr>
          <w:bCs/>
          <w:szCs w:val="22"/>
        </w:rPr>
        <w:t>Uno.</w:t>
      </w:r>
      <w:r w:rsidR="00FC0B3A" w:rsidRPr="0043096D">
        <w:rPr>
          <w:bCs/>
          <w:szCs w:val="22"/>
        </w:rPr>
        <w:t xml:space="preserve"> Se añaden dos nuevos párrafos, sexto y séptimo</w:t>
      </w:r>
      <w:r w:rsidR="000A1B70" w:rsidRPr="0043096D">
        <w:rPr>
          <w:bCs/>
          <w:szCs w:val="22"/>
        </w:rPr>
        <w:t>,</w:t>
      </w:r>
      <w:r w:rsidR="00FC0B3A" w:rsidRPr="0043096D">
        <w:rPr>
          <w:bCs/>
          <w:szCs w:val="22"/>
        </w:rPr>
        <w:t xml:space="preserve"> a la letra a) del apartado 3 del artículo 31 </w:t>
      </w:r>
      <w:r w:rsidR="007246BB" w:rsidRPr="0043096D">
        <w:rPr>
          <w:bCs/>
          <w:szCs w:val="22"/>
        </w:rPr>
        <w:t>que tendrán la siguiente redacción</w:t>
      </w:r>
      <w:r w:rsidR="00FC0B3A" w:rsidRPr="0043096D">
        <w:rPr>
          <w:bCs/>
          <w:szCs w:val="22"/>
        </w:rPr>
        <w:t>:</w:t>
      </w:r>
    </w:p>
    <w:p w14:paraId="71D499BC" w14:textId="5C980BFD" w:rsidR="00FC0B3A" w:rsidRPr="0043096D" w:rsidRDefault="00FC0B3A" w:rsidP="006A6949">
      <w:pPr>
        <w:rPr>
          <w:bCs/>
          <w:szCs w:val="22"/>
        </w:rPr>
      </w:pPr>
      <w:r w:rsidRPr="0043096D">
        <w:rPr>
          <w:bCs/>
          <w:szCs w:val="22"/>
        </w:rPr>
        <w:t xml:space="preserve">“En el caso de se trate de vehículos eléctricos </w:t>
      </w:r>
      <w:r w:rsidR="00125FB1" w:rsidRPr="0043096D">
        <w:rPr>
          <w:bCs/>
          <w:szCs w:val="22"/>
        </w:rPr>
        <w:t>de batería</w:t>
      </w:r>
      <w:r w:rsidR="007246BB" w:rsidRPr="0043096D">
        <w:rPr>
          <w:bCs/>
          <w:szCs w:val="22"/>
        </w:rPr>
        <w:t xml:space="preserve"> (</w:t>
      </w:r>
      <w:r w:rsidR="00125FB1" w:rsidRPr="0043096D">
        <w:rPr>
          <w:bCs/>
          <w:szCs w:val="22"/>
        </w:rPr>
        <w:t>BEV) o vehículos eléctricos de batería extendida (E-REV)</w:t>
      </w:r>
      <w:r w:rsidR="002F6510" w:rsidRPr="0043096D">
        <w:rPr>
          <w:bCs/>
          <w:szCs w:val="22"/>
        </w:rPr>
        <w:t xml:space="preserve">, en lugar de lo señalado anteriormente, </w:t>
      </w:r>
      <w:r w:rsidRPr="0043096D">
        <w:rPr>
          <w:bCs/>
          <w:szCs w:val="22"/>
        </w:rPr>
        <w:t xml:space="preserve">y siempre y cuando el contribuyente pruebe </w:t>
      </w:r>
      <w:r w:rsidR="002F6510" w:rsidRPr="0043096D">
        <w:rPr>
          <w:bCs/>
          <w:szCs w:val="22"/>
        </w:rPr>
        <w:t xml:space="preserve">fehacientemente </w:t>
      </w:r>
      <w:r w:rsidRPr="0043096D">
        <w:rPr>
          <w:bCs/>
          <w:szCs w:val="22"/>
        </w:rPr>
        <w:t>su afectación exclusiva al desarrollo de una actividad económica, los gastos señalados en esta letra serán deducibles en su totalidad, hasta el límite</w:t>
      </w:r>
      <w:r w:rsidR="00125FB1" w:rsidRPr="0043096D">
        <w:rPr>
          <w:bCs/>
          <w:szCs w:val="22"/>
        </w:rPr>
        <w:t xml:space="preserve"> máximo, por una parte, de 7.000</w:t>
      </w:r>
      <w:r w:rsidRPr="0043096D">
        <w:rPr>
          <w:bCs/>
          <w:szCs w:val="22"/>
        </w:rPr>
        <w:t xml:space="preserve"> euros o el importe resultante de multiplicar el porcentaje de amortización utili</w:t>
      </w:r>
      <w:r w:rsidR="00125FB1" w:rsidRPr="0043096D">
        <w:rPr>
          <w:bCs/>
          <w:szCs w:val="22"/>
        </w:rPr>
        <w:t>zado por el contribuyente por 35</w:t>
      </w:r>
      <w:r w:rsidRPr="0043096D">
        <w:rPr>
          <w:bCs/>
          <w:szCs w:val="22"/>
        </w:rPr>
        <w:t>.000 euros, si es un importe menor y el elemento patrimonial es objeto de amortización, en concepto de arrendamiento, cesión o depreciación y, por otra parte, con el límite máximo de 6.000 euros por los demás conceptos relacionados con su utilización.</w:t>
      </w:r>
    </w:p>
    <w:p w14:paraId="041AC241" w14:textId="110A356A" w:rsidR="00FC0B3A" w:rsidRPr="0043096D" w:rsidRDefault="00FC0B3A" w:rsidP="006A6949">
      <w:pPr>
        <w:rPr>
          <w:bCs/>
          <w:szCs w:val="22"/>
        </w:rPr>
      </w:pPr>
      <w:r w:rsidRPr="0043096D">
        <w:rPr>
          <w:bCs/>
          <w:szCs w:val="22"/>
        </w:rPr>
        <w:t xml:space="preserve">En los supuestos a los que se refiere el párrafo anterior, la deducción de los gastos financieros relacionados con la adquisición de los mencionados vehículos estará limitada a la parte proporcional </w:t>
      </w:r>
      <w:r w:rsidR="00125FB1" w:rsidRPr="0043096D">
        <w:rPr>
          <w:bCs/>
          <w:szCs w:val="22"/>
        </w:rPr>
        <w:t>que represente la cantidad de 35</w:t>
      </w:r>
      <w:r w:rsidRPr="0043096D">
        <w:rPr>
          <w:bCs/>
          <w:szCs w:val="22"/>
        </w:rPr>
        <w:t>.000 euros respecto al precio de adquisición del vehículo, cuando éste sea superior.”</w:t>
      </w:r>
    </w:p>
    <w:p w14:paraId="4FAFECF0" w14:textId="008A50B8" w:rsidR="00413576" w:rsidRPr="0043096D" w:rsidRDefault="00413576" w:rsidP="006A6949">
      <w:pPr>
        <w:rPr>
          <w:bCs/>
          <w:szCs w:val="22"/>
        </w:rPr>
      </w:pPr>
      <w:r w:rsidRPr="0043096D">
        <w:rPr>
          <w:bCs/>
          <w:szCs w:val="22"/>
        </w:rPr>
        <w:t>Dos. Se modifica el párrafo primero del apartado 3 del artículo 59 que queda redactado como sigue:</w:t>
      </w:r>
    </w:p>
    <w:p w14:paraId="3C65EBB9" w14:textId="4EA07599" w:rsidR="00413576" w:rsidRPr="0043096D" w:rsidRDefault="00413576" w:rsidP="006A6949">
      <w:pPr>
        <w:rPr>
          <w:bCs/>
          <w:szCs w:val="22"/>
        </w:rPr>
      </w:pPr>
      <w:r w:rsidRPr="0043096D">
        <w:rPr>
          <w:bCs/>
          <w:szCs w:val="22"/>
        </w:rPr>
        <w:t xml:space="preserve">“3. La aplicación de deducciones sobre la cuota líquida para determinar la cuota efectiva de los contribuyentes que obtengan bases imponibles positivas, con excepción de las deducciones a que se refieren los artículos 62 a 64 y el apartado 1 del artículo 65 de esta Norma Foral, no puede dar lugar a que la cuota efectiva sea inferior, con carácter general, al 17 por ciento del importe de la base imponible. En el caso de las entidades a que se refiere la letra c) del apartado 1 del artículo 56 de esta </w:t>
      </w:r>
      <w:r w:rsidR="00EC26B0" w:rsidRPr="0043096D">
        <w:rPr>
          <w:bCs/>
          <w:szCs w:val="22"/>
        </w:rPr>
        <w:t>N</w:t>
      </w:r>
      <w:r w:rsidRPr="0043096D">
        <w:rPr>
          <w:bCs/>
          <w:szCs w:val="22"/>
        </w:rPr>
        <w:t xml:space="preserve">orma </w:t>
      </w:r>
      <w:r w:rsidR="00EC26B0" w:rsidRPr="0043096D">
        <w:rPr>
          <w:bCs/>
          <w:szCs w:val="22"/>
        </w:rPr>
        <w:t>F</w:t>
      </w:r>
      <w:r w:rsidRPr="0043096D">
        <w:rPr>
          <w:bCs/>
          <w:szCs w:val="22"/>
        </w:rPr>
        <w:t>oral, este porcentaje será del 13 por ciento.”</w:t>
      </w:r>
    </w:p>
    <w:p w14:paraId="119ADBF5" w14:textId="4828810A" w:rsidR="002D7687" w:rsidRPr="0043096D" w:rsidRDefault="00413576" w:rsidP="006A6949">
      <w:pPr>
        <w:rPr>
          <w:bCs/>
          <w:szCs w:val="22"/>
        </w:rPr>
      </w:pPr>
      <w:r w:rsidRPr="0043096D">
        <w:rPr>
          <w:bCs/>
          <w:szCs w:val="22"/>
        </w:rPr>
        <w:t>Tres</w:t>
      </w:r>
      <w:r w:rsidR="00F7598A" w:rsidRPr="0043096D">
        <w:rPr>
          <w:bCs/>
          <w:szCs w:val="22"/>
        </w:rPr>
        <w:t xml:space="preserve">. </w:t>
      </w:r>
      <w:r w:rsidR="002D7687" w:rsidRPr="0043096D">
        <w:rPr>
          <w:bCs/>
          <w:szCs w:val="22"/>
        </w:rPr>
        <w:t>Se introduce un nuevo artículo 61 bis con la siguiente redacción:</w:t>
      </w:r>
    </w:p>
    <w:p w14:paraId="7CF4FD26" w14:textId="77777777" w:rsidR="002D7687" w:rsidRPr="0043096D" w:rsidRDefault="002D7687" w:rsidP="006A6949">
      <w:pPr>
        <w:rPr>
          <w:bCs/>
          <w:szCs w:val="22"/>
        </w:rPr>
      </w:pPr>
      <w:r w:rsidRPr="0043096D">
        <w:rPr>
          <w:bCs/>
          <w:szCs w:val="22"/>
        </w:rPr>
        <w:t>“Artículo 61 bis. Deducción por inversión en bicicletas urbanas.</w:t>
      </w:r>
    </w:p>
    <w:p w14:paraId="5DA08F04" w14:textId="77777777" w:rsidR="002D7687" w:rsidRPr="0043096D" w:rsidRDefault="007246BB" w:rsidP="006A6949">
      <w:pPr>
        <w:rPr>
          <w:bCs/>
          <w:szCs w:val="22"/>
        </w:rPr>
      </w:pPr>
      <w:r w:rsidRPr="0043096D">
        <w:rPr>
          <w:bCs/>
          <w:szCs w:val="22"/>
        </w:rPr>
        <w:t xml:space="preserve">Uno. </w:t>
      </w:r>
      <w:r w:rsidR="002D7687" w:rsidRPr="0043096D">
        <w:rPr>
          <w:bCs/>
          <w:szCs w:val="22"/>
        </w:rPr>
        <w:t>Las inversiones en bicicletas ur</w:t>
      </w:r>
      <w:r w:rsidR="000A1B70" w:rsidRPr="0043096D">
        <w:rPr>
          <w:bCs/>
          <w:szCs w:val="22"/>
        </w:rPr>
        <w:t>banas para desplazamientos de las personas trabajadora</w:t>
      </w:r>
      <w:r w:rsidR="002D7687" w:rsidRPr="0043096D">
        <w:rPr>
          <w:bCs/>
          <w:szCs w:val="22"/>
        </w:rPr>
        <w:t>s de la entidad</w:t>
      </w:r>
      <w:r w:rsidR="000A1B70" w:rsidRPr="0043096D">
        <w:rPr>
          <w:bCs/>
          <w:szCs w:val="22"/>
        </w:rPr>
        <w:t xml:space="preserve">, desde su </w:t>
      </w:r>
      <w:r w:rsidR="002D7687" w:rsidRPr="0043096D">
        <w:rPr>
          <w:bCs/>
          <w:szCs w:val="22"/>
        </w:rPr>
        <w:t>lugar de residencia habitual hasta el lugar de trabajo</w:t>
      </w:r>
      <w:r w:rsidR="000A1B70" w:rsidRPr="0043096D">
        <w:rPr>
          <w:bCs/>
          <w:szCs w:val="22"/>
        </w:rPr>
        <w:t>,</w:t>
      </w:r>
      <w:r w:rsidR="002D7687" w:rsidRPr="0043096D">
        <w:rPr>
          <w:bCs/>
          <w:szCs w:val="22"/>
        </w:rPr>
        <w:t xml:space="preserve"> o viceversa</w:t>
      </w:r>
      <w:r w:rsidR="000A1B70" w:rsidRPr="0043096D">
        <w:rPr>
          <w:bCs/>
          <w:szCs w:val="22"/>
        </w:rPr>
        <w:t>,</w:t>
      </w:r>
      <w:r w:rsidR="002D7687" w:rsidRPr="0043096D">
        <w:rPr>
          <w:bCs/>
          <w:szCs w:val="22"/>
        </w:rPr>
        <w:t xml:space="preserve"> darán derecho a practicar una deducción del 1</w:t>
      </w:r>
      <w:r w:rsidR="0024090A" w:rsidRPr="0043096D">
        <w:rPr>
          <w:bCs/>
          <w:szCs w:val="22"/>
        </w:rPr>
        <w:t>0</w:t>
      </w:r>
      <w:r w:rsidR="002D7687" w:rsidRPr="0043096D">
        <w:rPr>
          <w:bCs/>
          <w:szCs w:val="22"/>
        </w:rPr>
        <w:t xml:space="preserve"> por ciento.</w:t>
      </w:r>
    </w:p>
    <w:p w14:paraId="739B822A" w14:textId="585AC63B" w:rsidR="002D7687" w:rsidRPr="0043096D" w:rsidRDefault="000A1B70" w:rsidP="006A6949">
      <w:pPr>
        <w:rPr>
          <w:bCs/>
          <w:szCs w:val="22"/>
        </w:rPr>
      </w:pPr>
      <w:r w:rsidRPr="0043096D">
        <w:rPr>
          <w:bCs/>
          <w:szCs w:val="22"/>
        </w:rPr>
        <w:t>A efectos de lo dispuesto en el párrafo anterior, se</w:t>
      </w:r>
      <w:r w:rsidR="002D7687" w:rsidRPr="0043096D">
        <w:rPr>
          <w:bCs/>
          <w:szCs w:val="22"/>
        </w:rPr>
        <w:t xml:space="preserve"> incluyen las bicicletas </w:t>
      </w:r>
      <w:r w:rsidR="009665B2" w:rsidRPr="0043096D">
        <w:rPr>
          <w:bCs/>
          <w:szCs w:val="22"/>
        </w:rPr>
        <w:t>de pedales con</w:t>
      </w:r>
      <w:r w:rsidR="002D7687" w:rsidRPr="0043096D">
        <w:rPr>
          <w:bCs/>
          <w:szCs w:val="22"/>
        </w:rPr>
        <w:t xml:space="preserve"> pedaleo asistido</w:t>
      </w:r>
      <w:r w:rsidR="004849C4" w:rsidRPr="0043096D">
        <w:rPr>
          <w:bCs/>
          <w:szCs w:val="22"/>
        </w:rPr>
        <w:t>,</w:t>
      </w:r>
      <w:r w:rsidR="002D7687" w:rsidRPr="0043096D">
        <w:rPr>
          <w:bCs/>
          <w:szCs w:val="22"/>
        </w:rPr>
        <w:t xml:space="preserve"> </w:t>
      </w:r>
      <w:r w:rsidR="009665B2" w:rsidRPr="0043096D">
        <w:rPr>
          <w:bCs/>
          <w:szCs w:val="22"/>
        </w:rPr>
        <w:t>con</w:t>
      </w:r>
      <w:r w:rsidR="002D7687" w:rsidRPr="0043096D">
        <w:rPr>
          <w:bCs/>
          <w:szCs w:val="22"/>
        </w:rPr>
        <w:t xml:space="preserve"> motor eléctrico</w:t>
      </w:r>
      <w:r w:rsidR="004849C4" w:rsidRPr="0043096D">
        <w:rPr>
          <w:bCs/>
          <w:szCs w:val="22"/>
        </w:rPr>
        <w:t xml:space="preserve"> </w:t>
      </w:r>
      <w:r w:rsidR="009665B2" w:rsidRPr="0043096D">
        <w:rPr>
          <w:bCs/>
          <w:szCs w:val="22"/>
        </w:rPr>
        <w:t>auxiliar</w:t>
      </w:r>
      <w:r w:rsidR="004849C4" w:rsidRPr="0043096D">
        <w:rPr>
          <w:bCs/>
          <w:szCs w:val="22"/>
        </w:rPr>
        <w:t>,</w:t>
      </w:r>
      <w:r w:rsidR="002D7687" w:rsidRPr="0043096D">
        <w:rPr>
          <w:bCs/>
          <w:szCs w:val="22"/>
        </w:rPr>
        <w:t xml:space="preserve"> de acuerdo con la definición </w:t>
      </w:r>
      <w:r w:rsidR="004849C4" w:rsidRPr="0043096D">
        <w:rPr>
          <w:bCs/>
          <w:szCs w:val="22"/>
        </w:rPr>
        <w:t xml:space="preserve">y las características </w:t>
      </w:r>
      <w:r w:rsidR="002D7687" w:rsidRPr="0043096D">
        <w:rPr>
          <w:bCs/>
          <w:szCs w:val="22"/>
        </w:rPr>
        <w:t xml:space="preserve">de </w:t>
      </w:r>
      <w:proofErr w:type="gramStart"/>
      <w:r w:rsidR="002D7687" w:rsidRPr="0043096D">
        <w:rPr>
          <w:bCs/>
          <w:szCs w:val="22"/>
        </w:rPr>
        <w:t xml:space="preserve">las </w:t>
      </w:r>
      <w:r w:rsidR="003C06EB" w:rsidRPr="0043096D">
        <w:rPr>
          <w:bCs/>
          <w:szCs w:val="22"/>
        </w:rPr>
        <w:t>mismas</w:t>
      </w:r>
      <w:proofErr w:type="gramEnd"/>
      <w:r w:rsidR="003C06EB" w:rsidRPr="0043096D">
        <w:rPr>
          <w:bCs/>
          <w:szCs w:val="22"/>
        </w:rPr>
        <w:t xml:space="preserve"> contenida</w:t>
      </w:r>
      <w:r w:rsidRPr="0043096D">
        <w:rPr>
          <w:bCs/>
          <w:szCs w:val="22"/>
        </w:rPr>
        <w:t xml:space="preserve"> </w:t>
      </w:r>
      <w:r w:rsidR="002D7687" w:rsidRPr="0043096D">
        <w:rPr>
          <w:bCs/>
          <w:szCs w:val="22"/>
        </w:rPr>
        <w:t xml:space="preserve">en </w:t>
      </w:r>
      <w:r w:rsidR="003C06EB" w:rsidRPr="0043096D">
        <w:rPr>
          <w:bCs/>
          <w:szCs w:val="22"/>
        </w:rPr>
        <w:t>el Reglamento</w:t>
      </w:r>
      <w:r w:rsidR="002D7687" w:rsidRPr="0043096D">
        <w:rPr>
          <w:bCs/>
          <w:szCs w:val="22"/>
        </w:rPr>
        <w:t xml:space="preserve"> (UE) 168/2013 del Parlamento y del Consejo, de 15 de enero de 2013.</w:t>
      </w:r>
    </w:p>
    <w:p w14:paraId="2FDD6CCF" w14:textId="19D998BB" w:rsidR="00F142A4" w:rsidRPr="0043096D" w:rsidRDefault="00F142A4" w:rsidP="006A6949">
      <w:pPr>
        <w:rPr>
          <w:bCs/>
          <w:szCs w:val="22"/>
        </w:rPr>
      </w:pPr>
      <w:r w:rsidRPr="0043096D">
        <w:rPr>
          <w:bCs/>
          <w:szCs w:val="22"/>
        </w:rPr>
        <w:lastRenderedPageBreak/>
        <w:t>Dos. La base máxima de deducción por cada bicicleta</w:t>
      </w:r>
      <w:r w:rsidR="00853B84" w:rsidRPr="0043096D">
        <w:rPr>
          <w:bCs/>
          <w:szCs w:val="22"/>
        </w:rPr>
        <w:t>, de las señaladas en el apartado anterior,</w:t>
      </w:r>
      <w:r w:rsidRPr="0043096D">
        <w:rPr>
          <w:bCs/>
          <w:szCs w:val="22"/>
        </w:rPr>
        <w:t xml:space="preserve"> será la siguiente:</w:t>
      </w:r>
    </w:p>
    <w:p w14:paraId="5CA41C3C" w14:textId="5E009B83" w:rsidR="00F142A4" w:rsidRPr="0043096D" w:rsidRDefault="00F142A4" w:rsidP="006A6949">
      <w:pPr>
        <w:rPr>
          <w:bCs/>
          <w:szCs w:val="22"/>
        </w:rPr>
      </w:pPr>
      <w:r w:rsidRPr="0043096D">
        <w:rPr>
          <w:bCs/>
          <w:szCs w:val="22"/>
        </w:rPr>
        <w:t>-Bicicleta de</w:t>
      </w:r>
      <w:r w:rsidR="00853B84" w:rsidRPr="0043096D">
        <w:rPr>
          <w:bCs/>
          <w:szCs w:val="22"/>
        </w:rPr>
        <w:t xml:space="preserve"> pedales con</w:t>
      </w:r>
      <w:r w:rsidRPr="0043096D">
        <w:rPr>
          <w:bCs/>
          <w:szCs w:val="22"/>
        </w:rPr>
        <w:t xml:space="preserve"> pedaleo asistid</w:t>
      </w:r>
      <w:r w:rsidR="00853B84" w:rsidRPr="0043096D">
        <w:rPr>
          <w:bCs/>
          <w:szCs w:val="22"/>
        </w:rPr>
        <w:t>o con</w:t>
      </w:r>
      <w:r w:rsidRPr="0043096D">
        <w:rPr>
          <w:bCs/>
          <w:szCs w:val="22"/>
        </w:rPr>
        <w:t xml:space="preserve"> motor eléctrico</w:t>
      </w:r>
      <w:r w:rsidR="00853B84" w:rsidRPr="0043096D">
        <w:rPr>
          <w:bCs/>
          <w:szCs w:val="22"/>
        </w:rPr>
        <w:t xml:space="preserve"> auxiliar</w:t>
      </w:r>
      <w:r w:rsidRPr="0043096D">
        <w:rPr>
          <w:bCs/>
          <w:szCs w:val="22"/>
        </w:rPr>
        <w:t>: 1.500 euros.</w:t>
      </w:r>
    </w:p>
    <w:p w14:paraId="1EDC1E3D" w14:textId="77777777" w:rsidR="00F142A4" w:rsidRPr="0043096D" w:rsidRDefault="00F142A4" w:rsidP="006A6949">
      <w:pPr>
        <w:rPr>
          <w:bCs/>
          <w:szCs w:val="22"/>
        </w:rPr>
      </w:pPr>
      <w:r w:rsidRPr="0043096D">
        <w:rPr>
          <w:bCs/>
          <w:szCs w:val="22"/>
        </w:rPr>
        <w:t>-Otro tipo de bicicleta urbana: 500 euros.</w:t>
      </w:r>
    </w:p>
    <w:p w14:paraId="7D80C7F9" w14:textId="77777777" w:rsidR="002D7687" w:rsidRPr="0043096D" w:rsidRDefault="00F142A4" w:rsidP="006A6949">
      <w:pPr>
        <w:rPr>
          <w:bCs/>
          <w:szCs w:val="22"/>
        </w:rPr>
      </w:pPr>
      <w:r w:rsidRPr="0043096D">
        <w:rPr>
          <w:bCs/>
          <w:szCs w:val="22"/>
        </w:rPr>
        <w:t>Tres</w:t>
      </w:r>
      <w:r w:rsidR="007246BB" w:rsidRPr="0043096D">
        <w:rPr>
          <w:bCs/>
          <w:szCs w:val="22"/>
        </w:rPr>
        <w:t xml:space="preserve">. La base </w:t>
      </w:r>
      <w:r w:rsidRPr="0043096D">
        <w:rPr>
          <w:bCs/>
          <w:szCs w:val="22"/>
        </w:rPr>
        <w:t xml:space="preserve">total </w:t>
      </w:r>
      <w:r w:rsidR="007246BB" w:rsidRPr="0043096D">
        <w:rPr>
          <w:bCs/>
          <w:szCs w:val="22"/>
        </w:rPr>
        <w:t>de est</w:t>
      </w:r>
      <w:r w:rsidR="002D7687" w:rsidRPr="0043096D">
        <w:rPr>
          <w:bCs/>
          <w:szCs w:val="22"/>
        </w:rPr>
        <w:t xml:space="preserve">a deducción </w:t>
      </w:r>
      <w:r w:rsidR="000A1B70" w:rsidRPr="0043096D">
        <w:rPr>
          <w:bCs/>
          <w:szCs w:val="22"/>
        </w:rPr>
        <w:t>no podrá superar el límite de 1</w:t>
      </w:r>
      <w:r w:rsidR="002D7687" w:rsidRPr="0043096D">
        <w:rPr>
          <w:bCs/>
          <w:szCs w:val="22"/>
        </w:rPr>
        <w:t>5</w:t>
      </w:r>
      <w:r w:rsidR="000A1B70" w:rsidRPr="0043096D">
        <w:rPr>
          <w:bCs/>
          <w:szCs w:val="22"/>
        </w:rPr>
        <w:t>.</w:t>
      </w:r>
      <w:r w:rsidR="002D7687" w:rsidRPr="0043096D">
        <w:rPr>
          <w:bCs/>
          <w:szCs w:val="22"/>
        </w:rPr>
        <w:t>00</w:t>
      </w:r>
      <w:r w:rsidR="000A1B70" w:rsidRPr="0043096D">
        <w:rPr>
          <w:bCs/>
          <w:szCs w:val="22"/>
        </w:rPr>
        <w:t>0 euros anuales</w:t>
      </w:r>
      <w:r w:rsidR="004E7525" w:rsidRPr="0043096D">
        <w:rPr>
          <w:bCs/>
          <w:szCs w:val="22"/>
        </w:rPr>
        <w:t xml:space="preserve"> para las empresas que tengan la condición de microempresas y pequeñas empresas </w:t>
      </w:r>
      <w:r w:rsidR="00633CFB" w:rsidRPr="0043096D">
        <w:rPr>
          <w:bCs/>
          <w:szCs w:val="22"/>
        </w:rPr>
        <w:t xml:space="preserve">conforme a lo dispuesto en el artículo 13 de esta Norma Foral </w:t>
      </w:r>
      <w:r w:rsidR="004E7525" w:rsidRPr="0043096D">
        <w:rPr>
          <w:bCs/>
          <w:szCs w:val="22"/>
        </w:rPr>
        <w:t xml:space="preserve">y de 20.000 euros para el resto de </w:t>
      </w:r>
      <w:proofErr w:type="gramStart"/>
      <w:r w:rsidR="004E7525" w:rsidRPr="0043096D">
        <w:rPr>
          <w:bCs/>
          <w:szCs w:val="22"/>
        </w:rPr>
        <w:t>entidades</w:t>
      </w:r>
      <w:proofErr w:type="gramEnd"/>
      <w:r w:rsidR="004E7525" w:rsidRPr="0043096D">
        <w:rPr>
          <w:bCs/>
          <w:szCs w:val="22"/>
        </w:rPr>
        <w:t>.</w:t>
      </w:r>
    </w:p>
    <w:p w14:paraId="5084960A" w14:textId="77777777" w:rsidR="000A1B70" w:rsidRPr="0043096D" w:rsidRDefault="004E7525" w:rsidP="006A6949">
      <w:pPr>
        <w:rPr>
          <w:bCs/>
          <w:szCs w:val="22"/>
        </w:rPr>
      </w:pPr>
      <w:r w:rsidRPr="0043096D">
        <w:rPr>
          <w:bCs/>
          <w:szCs w:val="22"/>
        </w:rPr>
        <w:t>Cuatro</w:t>
      </w:r>
      <w:r w:rsidR="007246BB" w:rsidRPr="0043096D">
        <w:rPr>
          <w:bCs/>
          <w:szCs w:val="22"/>
        </w:rPr>
        <w:t xml:space="preserve">. </w:t>
      </w:r>
      <w:r w:rsidR="002D7687" w:rsidRPr="0043096D">
        <w:rPr>
          <w:bCs/>
          <w:szCs w:val="22"/>
        </w:rPr>
        <w:t>El disfrute de la deducción prevista en este artículo exigirá la contabilización dentro del inmovilizado de las inversiones realiz</w:t>
      </w:r>
      <w:r w:rsidR="007246BB" w:rsidRPr="0043096D">
        <w:rPr>
          <w:bCs/>
          <w:szCs w:val="22"/>
        </w:rPr>
        <w:t>adas, separada</w:t>
      </w:r>
      <w:r w:rsidR="002D7687" w:rsidRPr="0043096D">
        <w:rPr>
          <w:bCs/>
          <w:szCs w:val="22"/>
        </w:rPr>
        <w:t xml:space="preserve"> de los restantes elementos patrimoniales y bajo un epígrafe</w:t>
      </w:r>
      <w:r w:rsidR="007246BB" w:rsidRPr="0043096D">
        <w:rPr>
          <w:bCs/>
          <w:szCs w:val="22"/>
        </w:rPr>
        <w:t xml:space="preserve"> que permita su identificación.”</w:t>
      </w:r>
    </w:p>
    <w:p w14:paraId="097CDDC5" w14:textId="41669BCC" w:rsidR="004A2F4C" w:rsidRPr="0043096D" w:rsidRDefault="00413576" w:rsidP="006A6949">
      <w:pPr>
        <w:rPr>
          <w:bCs/>
          <w:szCs w:val="22"/>
        </w:rPr>
      </w:pPr>
      <w:r w:rsidRPr="0043096D">
        <w:rPr>
          <w:bCs/>
          <w:szCs w:val="22"/>
        </w:rPr>
        <w:t>Cuatro</w:t>
      </w:r>
      <w:r w:rsidR="004A2F4C" w:rsidRPr="0043096D">
        <w:rPr>
          <w:bCs/>
          <w:szCs w:val="22"/>
        </w:rPr>
        <w:t>. Se añade un nuevo artículo 61 ter con la siguiente redacción:</w:t>
      </w:r>
    </w:p>
    <w:p w14:paraId="165483C5" w14:textId="77777777" w:rsidR="004A2F4C" w:rsidRPr="0043096D" w:rsidRDefault="004A2F4C" w:rsidP="006A6949">
      <w:pPr>
        <w:rPr>
          <w:bCs/>
          <w:szCs w:val="22"/>
        </w:rPr>
      </w:pPr>
      <w:r w:rsidRPr="0043096D">
        <w:rPr>
          <w:bCs/>
          <w:szCs w:val="22"/>
        </w:rPr>
        <w:t>“Artículo 61 ter. Deducción por i</w:t>
      </w:r>
      <w:r w:rsidR="00112C20" w:rsidRPr="0043096D">
        <w:rPr>
          <w:bCs/>
          <w:szCs w:val="22"/>
        </w:rPr>
        <w:t xml:space="preserve">nversión en puntos </w:t>
      </w:r>
      <w:r w:rsidR="002B3383" w:rsidRPr="0043096D">
        <w:rPr>
          <w:bCs/>
          <w:szCs w:val="22"/>
        </w:rPr>
        <w:t>de recarga de vehículos eléctricos.</w:t>
      </w:r>
    </w:p>
    <w:p w14:paraId="434FCEB2" w14:textId="77777777" w:rsidR="003144E8" w:rsidRPr="0043096D" w:rsidRDefault="007246BB" w:rsidP="006A6949">
      <w:pPr>
        <w:rPr>
          <w:bCs/>
          <w:szCs w:val="22"/>
        </w:rPr>
      </w:pPr>
      <w:r w:rsidRPr="0043096D">
        <w:rPr>
          <w:bCs/>
          <w:szCs w:val="22"/>
        </w:rPr>
        <w:t xml:space="preserve">Uno. </w:t>
      </w:r>
      <w:r w:rsidR="00A03B24" w:rsidRPr="0043096D">
        <w:rPr>
          <w:bCs/>
          <w:szCs w:val="22"/>
        </w:rPr>
        <w:t>La puesta en servicio de un punto de recarga</w:t>
      </w:r>
      <w:r w:rsidR="004A2F4C" w:rsidRPr="0043096D">
        <w:rPr>
          <w:bCs/>
          <w:szCs w:val="22"/>
        </w:rPr>
        <w:t xml:space="preserve"> de potencia normal o de alta potencia</w:t>
      </w:r>
      <w:r w:rsidR="00B9697F" w:rsidRPr="0043096D">
        <w:rPr>
          <w:bCs/>
          <w:szCs w:val="22"/>
        </w:rPr>
        <w:t xml:space="preserve">, </w:t>
      </w:r>
      <w:r w:rsidR="004A2F4C" w:rsidRPr="0043096D">
        <w:rPr>
          <w:bCs/>
          <w:szCs w:val="22"/>
        </w:rPr>
        <w:t>según la definición e</w:t>
      </w:r>
      <w:r w:rsidRPr="0043096D">
        <w:rPr>
          <w:bCs/>
          <w:szCs w:val="22"/>
        </w:rPr>
        <w:t>stablecida en</w:t>
      </w:r>
      <w:r w:rsidR="004E5E02" w:rsidRPr="0043096D">
        <w:rPr>
          <w:bCs/>
          <w:szCs w:val="22"/>
        </w:rPr>
        <w:t xml:space="preserve"> la </w:t>
      </w:r>
      <w:r w:rsidR="004A2F4C" w:rsidRPr="0043096D">
        <w:rPr>
          <w:bCs/>
          <w:szCs w:val="22"/>
        </w:rPr>
        <w:t>Directiv</w:t>
      </w:r>
      <w:r w:rsidR="004E5E02" w:rsidRPr="0043096D">
        <w:rPr>
          <w:bCs/>
          <w:szCs w:val="22"/>
        </w:rPr>
        <w:t>a 2014/94/ UE</w:t>
      </w:r>
      <w:r w:rsidR="004A2F4C" w:rsidRPr="0043096D">
        <w:rPr>
          <w:bCs/>
          <w:szCs w:val="22"/>
        </w:rPr>
        <w:t xml:space="preserve"> del Parlamento Europeo y del Co</w:t>
      </w:r>
      <w:r w:rsidR="00B9697F" w:rsidRPr="0043096D">
        <w:rPr>
          <w:bCs/>
          <w:szCs w:val="22"/>
        </w:rPr>
        <w:t>nsejo, de 22 de octubre de 2014, que permita la transferencia de electricidad a un vehículo eléctrico</w:t>
      </w:r>
      <w:r w:rsidRPr="0043096D">
        <w:rPr>
          <w:bCs/>
          <w:szCs w:val="22"/>
        </w:rPr>
        <w:t>,</w:t>
      </w:r>
      <w:r w:rsidR="00A03B24" w:rsidRPr="0043096D">
        <w:rPr>
          <w:bCs/>
          <w:szCs w:val="22"/>
        </w:rPr>
        <w:t xml:space="preserve"> dará derecho a practicar una deducción </w:t>
      </w:r>
      <w:r w:rsidR="004E7525" w:rsidRPr="0043096D">
        <w:rPr>
          <w:bCs/>
          <w:szCs w:val="22"/>
        </w:rPr>
        <w:t xml:space="preserve">de la cuota líquida </w:t>
      </w:r>
      <w:r w:rsidR="00886BA5" w:rsidRPr="0043096D">
        <w:rPr>
          <w:bCs/>
          <w:szCs w:val="22"/>
        </w:rPr>
        <w:t>de un 15 por ciento</w:t>
      </w:r>
      <w:r w:rsidR="004E7525" w:rsidRPr="0043096D">
        <w:rPr>
          <w:bCs/>
          <w:szCs w:val="22"/>
        </w:rPr>
        <w:t xml:space="preserve">, </w:t>
      </w:r>
      <w:r w:rsidR="00A03B24" w:rsidRPr="0043096D">
        <w:rPr>
          <w:bCs/>
          <w:szCs w:val="22"/>
        </w:rPr>
        <w:t>en las condiciones establ</w:t>
      </w:r>
      <w:r w:rsidR="00952699" w:rsidRPr="0043096D">
        <w:rPr>
          <w:bCs/>
          <w:szCs w:val="22"/>
        </w:rPr>
        <w:t xml:space="preserve">ecidas en </w:t>
      </w:r>
      <w:r w:rsidRPr="0043096D">
        <w:rPr>
          <w:bCs/>
          <w:szCs w:val="22"/>
        </w:rPr>
        <w:t>el presente</w:t>
      </w:r>
      <w:r w:rsidR="00952699" w:rsidRPr="0043096D">
        <w:rPr>
          <w:bCs/>
          <w:szCs w:val="22"/>
        </w:rPr>
        <w:t xml:space="preserve"> artículo.</w:t>
      </w:r>
    </w:p>
    <w:p w14:paraId="67B949FE" w14:textId="77777777" w:rsidR="007246BB" w:rsidRPr="0043096D" w:rsidRDefault="007246BB" w:rsidP="006A6949">
      <w:pPr>
        <w:rPr>
          <w:bCs/>
          <w:szCs w:val="22"/>
        </w:rPr>
      </w:pPr>
      <w:r w:rsidRPr="0043096D">
        <w:rPr>
          <w:bCs/>
          <w:szCs w:val="22"/>
        </w:rPr>
        <w:t>Dos. Sin perjuicio de lo establecido en el apartado cinco siguiente, la base de est</w:t>
      </w:r>
      <w:r w:rsidR="004064D1" w:rsidRPr="0043096D">
        <w:rPr>
          <w:bCs/>
          <w:szCs w:val="22"/>
        </w:rPr>
        <w:t xml:space="preserve">a deducción será </w:t>
      </w:r>
      <w:r w:rsidR="004A2F4C" w:rsidRPr="0043096D">
        <w:rPr>
          <w:bCs/>
          <w:szCs w:val="22"/>
        </w:rPr>
        <w:t>el importe de la inversión realizada en la obra civil, instalaciones, cableados y punto de conexión necesarios para la puesta en servicio</w:t>
      </w:r>
      <w:r w:rsidRPr="0043096D">
        <w:rPr>
          <w:bCs/>
          <w:szCs w:val="22"/>
        </w:rPr>
        <w:t>.</w:t>
      </w:r>
    </w:p>
    <w:p w14:paraId="4A58927A" w14:textId="42EE19E4" w:rsidR="004A2F4C" w:rsidRPr="0043096D" w:rsidRDefault="007246BB" w:rsidP="006A6949">
      <w:pPr>
        <w:rPr>
          <w:bCs/>
          <w:szCs w:val="22"/>
        </w:rPr>
      </w:pPr>
      <w:r w:rsidRPr="0043096D">
        <w:rPr>
          <w:bCs/>
          <w:szCs w:val="22"/>
        </w:rPr>
        <w:t xml:space="preserve">Tres. </w:t>
      </w:r>
      <w:r w:rsidR="004A2F4C" w:rsidRPr="0043096D">
        <w:rPr>
          <w:bCs/>
          <w:szCs w:val="22"/>
        </w:rPr>
        <w:t>Las instalaciones deberán cumplir lo establecido en el Real Decreto 1053/2014, de 1</w:t>
      </w:r>
      <w:r w:rsidR="004E5E02" w:rsidRPr="0043096D">
        <w:rPr>
          <w:bCs/>
          <w:szCs w:val="22"/>
        </w:rPr>
        <w:t>2 de diciembre</w:t>
      </w:r>
      <w:r w:rsidR="004A2F4C" w:rsidRPr="0043096D">
        <w:rPr>
          <w:bCs/>
          <w:szCs w:val="22"/>
        </w:rPr>
        <w:t>, por el que se aprueba la Instrucción Técnica Complementar</w:t>
      </w:r>
      <w:r w:rsidR="00434DC3" w:rsidRPr="0043096D">
        <w:rPr>
          <w:bCs/>
          <w:szCs w:val="22"/>
        </w:rPr>
        <w:t>i</w:t>
      </w:r>
      <w:r w:rsidR="004A2F4C" w:rsidRPr="0043096D">
        <w:rPr>
          <w:bCs/>
          <w:szCs w:val="22"/>
        </w:rPr>
        <w:t xml:space="preserve">a </w:t>
      </w:r>
      <w:r w:rsidR="00434DC3" w:rsidRPr="0043096D">
        <w:rPr>
          <w:bCs/>
          <w:szCs w:val="22"/>
        </w:rPr>
        <w:t>(</w:t>
      </w:r>
      <w:r w:rsidR="004A2F4C" w:rsidRPr="0043096D">
        <w:rPr>
          <w:bCs/>
          <w:szCs w:val="22"/>
        </w:rPr>
        <w:t>ITC</w:t>
      </w:r>
      <w:r w:rsidR="00434DC3" w:rsidRPr="0043096D">
        <w:rPr>
          <w:bCs/>
          <w:szCs w:val="22"/>
        </w:rPr>
        <w:t>)</w:t>
      </w:r>
      <w:r w:rsidR="004A2F4C" w:rsidRPr="0043096D">
        <w:rPr>
          <w:bCs/>
          <w:szCs w:val="22"/>
        </w:rPr>
        <w:t xml:space="preserve"> BT-52.</w:t>
      </w:r>
    </w:p>
    <w:p w14:paraId="42F8402A" w14:textId="03F3C4D2" w:rsidR="004A2F4C" w:rsidRPr="0043096D" w:rsidRDefault="007246BB" w:rsidP="006A6949">
      <w:pPr>
        <w:rPr>
          <w:bCs/>
          <w:szCs w:val="22"/>
        </w:rPr>
      </w:pPr>
      <w:r w:rsidRPr="0043096D">
        <w:rPr>
          <w:bCs/>
          <w:szCs w:val="22"/>
        </w:rPr>
        <w:t xml:space="preserve">Cuatro. </w:t>
      </w:r>
      <w:r w:rsidR="00886BA5" w:rsidRPr="0043096D">
        <w:rPr>
          <w:bCs/>
          <w:szCs w:val="22"/>
        </w:rPr>
        <w:t>E</w:t>
      </w:r>
      <w:r w:rsidR="004A2F4C" w:rsidRPr="0043096D">
        <w:rPr>
          <w:bCs/>
          <w:szCs w:val="22"/>
        </w:rPr>
        <w:t xml:space="preserve">l porcentaje de deducción </w:t>
      </w:r>
      <w:r w:rsidR="00886BA5" w:rsidRPr="0043096D">
        <w:rPr>
          <w:bCs/>
          <w:szCs w:val="22"/>
        </w:rPr>
        <w:t xml:space="preserve">establecido en </w:t>
      </w:r>
      <w:r w:rsidR="00434DC3" w:rsidRPr="0043096D">
        <w:rPr>
          <w:bCs/>
          <w:szCs w:val="22"/>
        </w:rPr>
        <w:t>el</w:t>
      </w:r>
      <w:r w:rsidRPr="0043096D">
        <w:rPr>
          <w:bCs/>
          <w:szCs w:val="22"/>
        </w:rPr>
        <w:t xml:space="preserve"> apartado </w:t>
      </w:r>
      <w:r w:rsidR="00627384" w:rsidRPr="0043096D">
        <w:rPr>
          <w:bCs/>
          <w:szCs w:val="22"/>
        </w:rPr>
        <w:t>U</w:t>
      </w:r>
      <w:r w:rsidRPr="0043096D">
        <w:rPr>
          <w:bCs/>
          <w:szCs w:val="22"/>
        </w:rPr>
        <w:t>no</w:t>
      </w:r>
      <w:r w:rsidR="00886BA5" w:rsidRPr="0043096D">
        <w:rPr>
          <w:bCs/>
          <w:szCs w:val="22"/>
        </w:rPr>
        <w:t xml:space="preserve"> </w:t>
      </w:r>
      <w:r w:rsidR="004A2F4C" w:rsidRPr="0043096D">
        <w:rPr>
          <w:bCs/>
          <w:szCs w:val="22"/>
        </w:rPr>
        <w:t>podrá incrementarse en los siguientes supuestos:</w:t>
      </w:r>
    </w:p>
    <w:p w14:paraId="48C27009" w14:textId="77777777" w:rsidR="004A2F4C" w:rsidRPr="0043096D" w:rsidRDefault="007246BB" w:rsidP="006A6949">
      <w:pPr>
        <w:rPr>
          <w:bCs/>
          <w:szCs w:val="22"/>
        </w:rPr>
      </w:pPr>
      <w:r w:rsidRPr="0043096D">
        <w:rPr>
          <w:bCs/>
          <w:szCs w:val="22"/>
        </w:rPr>
        <w:t>1</w:t>
      </w:r>
      <w:r w:rsidR="004A2F4C" w:rsidRPr="0043096D">
        <w:rPr>
          <w:bCs/>
          <w:szCs w:val="22"/>
        </w:rPr>
        <w:t>° Si el punto de recarga está colocado en un lugar de acceso público el porcentaje de deducción se incrementará 5 puntos.</w:t>
      </w:r>
    </w:p>
    <w:p w14:paraId="6650EEDF" w14:textId="640B57A4" w:rsidR="004A2F4C" w:rsidRPr="0043096D" w:rsidRDefault="007246BB" w:rsidP="006A6949">
      <w:pPr>
        <w:rPr>
          <w:bCs/>
          <w:szCs w:val="22"/>
        </w:rPr>
      </w:pPr>
      <w:r w:rsidRPr="0043096D">
        <w:rPr>
          <w:bCs/>
          <w:szCs w:val="22"/>
        </w:rPr>
        <w:t>2</w:t>
      </w:r>
      <w:r w:rsidR="004A2F4C" w:rsidRPr="0043096D">
        <w:rPr>
          <w:bCs/>
          <w:szCs w:val="22"/>
        </w:rPr>
        <w:t>° Si la potencia del punto de recarga es igual o superior a 7,4 kW e igual o inferior</w:t>
      </w:r>
      <w:r w:rsidR="00EB72F3" w:rsidRPr="0043096D">
        <w:rPr>
          <w:bCs/>
          <w:szCs w:val="22"/>
        </w:rPr>
        <w:t xml:space="preserve"> a</w:t>
      </w:r>
      <w:r w:rsidR="004A2F4C" w:rsidRPr="0043096D">
        <w:rPr>
          <w:bCs/>
          <w:szCs w:val="22"/>
        </w:rPr>
        <w:t xml:space="preserve"> 22 kW, el porcentaje de deducción se incrementará 2 puntos.</w:t>
      </w:r>
    </w:p>
    <w:p w14:paraId="49E8C68A" w14:textId="77777777" w:rsidR="004A2F4C" w:rsidRPr="0043096D" w:rsidRDefault="007246BB" w:rsidP="006A6949">
      <w:pPr>
        <w:rPr>
          <w:bCs/>
          <w:szCs w:val="22"/>
        </w:rPr>
      </w:pPr>
      <w:r w:rsidRPr="0043096D">
        <w:rPr>
          <w:bCs/>
          <w:szCs w:val="22"/>
        </w:rPr>
        <w:t>3</w:t>
      </w:r>
      <w:r w:rsidR="004A2F4C" w:rsidRPr="0043096D">
        <w:rPr>
          <w:bCs/>
          <w:szCs w:val="22"/>
        </w:rPr>
        <w:t>° Si la potencia del punto de recarga es superior a 22 kW e inferior a 50 kW, el porcentaje de deducción se incrementará 5 puntos.</w:t>
      </w:r>
    </w:p>
    <w:p w14:paraId="02157AB2" w14:textId="77777777" w:rsidR="005125AC" w:rsidRPr="0043096D" w:rsidRDefault="005125AC" w:rsidP="006A6949">
      <w:pPr>
        <w:rPr>
          <w:bCs/>
          <w:szCs w:val="22"/>
        </w:rPr>
      </w:pPr>
      <w:r w:rsidRPr="0043096D">
        <w:rPr>
          <w:bCs/>
          <w:szCs w:val="22"/>
        </w:rPr>
        <w:t>Se podrá acumular el incr</w:t>
      </w:r>
      <w:r w:rsidR="007246BB" w:rsidRPr="0043096D">
        <w:rPr>
          <w:bCs/>
          <w:szCs w:val="22"/>
        </w:rPr>
        <w:t>emento dispuesto en el n</w:t>
      </w:r>
      <w:r w:rsidR="004E7525" w:rsidRPr="0043096D">
        <w:rPr>
          <w:bCs/>
          <w:szCs w:val="22"/>
        </w:rPr>
        <w:t>ú</w:t>
      </w:r>
      <w:r w:rsidR="007246BB" w:rsidRPr="0043096D">
        <w:rPr>
          <w:bCs/>
          <w:szCs w:val="22"/>
        </w:rPr>
        <w:t>mero 1</w:t>
      </w:r>
      <w:r w:rsidRPr="0043096D">
        <w:rPr>
          <w:bCs/>
          <w:szCs w:val="22"/>
        </w:rPr>
        <w:t xml:space="preserve">º </w:t>
      </w:r>
      <w:r w:rsidR="007246BB" w:rsidRPr="0043096D">
        <w:rPr>
          <w:bCs/>
          <w:szCs w:val="22"/>
        </w:rPr>
        <w:t>anterior al dispuesto en el número 2</w:t>
      </w:r>
      <w:r w:rsidRPr="0043096D">
        <w:rPr>
          <w:bCs/>
          <w:szCs w:val="22"/>
        </w:rPr>
        <w:t>º o al dispuesto en</w:t>
      </w:r>
      <w:r w:rsidR="007246BB" w:rsidRPr="0043096D">
        <w:rPr>
          <w:bCs/>
          <w:szCs w:val="22"/>
        </w:rPr>
        <w:t xml:space="preserve"> el número 3</w:t>
      </w:r>
      <w:r w:rsidR="00496A67" w:rsidRPr="0043096D">
        <w:rPr>
          <w:bCs/>
          <w:szCs w:val="22"/>
        </w:rPr>
        <w:t>º dependiendo de la potencia del punto de recarga.</w:t>
      </w:r>
    </w:p>
    <w:p w14:paraId="0D10BAFC" w14:textId="77777777" w:rsidR="004A2F4C" w:rsidRPr="0043096D" w:rsidRDefault="007246BB" w:rsidP="006A6949">
      <w:pPr>
        <w:rPr>
          <w:bCs/>
          <w:szCs w:val="22"/>
        </w:rPr>
      </w:pPr>
      <w:r w:rsidRPr="0043096D">
        <w:rPr>
          <w:bCs/>
          <w:szCs w:val="22"/>
        </w:rPr>
        <w:t xml:space="preserve">Cinco. </w:t>
      </w:r>
      <w:r w:rsidR="00496A67" w:rsidRPr="0043096D">
        <w:rPr>
          <w:bCs/>
          <w:szCs w:val="22"/>
        </w:rPr>
        <w:t>En todo caso, la</w:t>
      </w:r>
      <w:r w:rsidRPr="0043096D">
        <w:rPr>
          <w:bCs/>
          <w:szCs w:val="22"/>
        </w:rPr>
        <w:t xml:space="preserve"> base de est</w:t>
      </w:r>
      <w:r w:rsidR="004A2F4C" w:rsidRPr="0043096D">
        <w:rPr>
          <w:bCs/>
          <w:szCs w:val="22"/>
        </w:rPr>
        <w:t>a deducción no podrá superar los siguientes límites:</w:t>
      </w:r>
    </w:p>
    <w:p w14:paraId="55E2117E" w14:textId="77777777" w:rsidR="004A2F4C" w:rsidRPr="0043096D" w:rsidRDefault="007246BB" w:rsidP="006A6949">
      <w:pPr>
        <w:rPr>
          <w:bCs/>
          <w:szCs w:val="22"/>
        </w:rPr>
      </w:pPr>
      <w:r w:rsidRPr="0043096D">
        <w:rPr>
          <w:bCs/>
          <w:szCs w:val="22"/>
        </w:rPr>
        <w:lastRenderedPageBreak/>
        <w:t>1</w:t>
      </w:r>
      <w:r w:rsidR="004A2F4C" w:rsidRPr="0043096D">
        <w:rPr>
          <w:bCs/>
          <w:szCs w:val="22"/>
        </w:rPr>
        <w:t xml:space="preserve">° Para los puntos de recarga </w:t>
      </w:r>
      <w:r w:rsidR="00BD0EA9" w:rsidRPr="0043096D">
        <w:rPr>
          <w:bCs/>
          <w:szCs w:val="22"/>
        </w:rPr>
        <w:t>de potencia normal: 5.000 euros por cada punto de recarga.</w:t>
      </w:r>
    </w:p>
    <w:p w14:paraId="5CC5E53B" w14:textId="33B5187D" w:rsidR="00524833" w:rsidRPr="0043096D" w:rsidRDefault="007246BB" w:rsidP="006A6949">
      <w:pPr>
        <w:rPr>
          <w:bCs/>
          <w:szCs w:val="22"/>
        </w:rPr>
      </w:pPr>
      <w:r w:rsidRPr="0043096D">
        <w:rPr>
          <w:bCs/>
          <w:szCs w:val="22"/>
        </w:rPr>
        <w:t>2</w:t>
      </w:r>
      <w:r w:rsidR="004A2F4C" w:rsidRPr="0043096D">
        <w:rPr>
          <w:bCs/>
          <w:szCs w:val="22"/>
        </w:rPr>
        <w:t>° Para los puntos de recarga</w:t>
      </w:r>
      <w:r w:rsidR="00BD0EA9" w:rsidRPr="0043096D">
        <w:rPr>
          <w:bCs/>
          <w:szCs w:val="22"/>
        </w:rPr>
        <w:t xml:space="preserve"> de alta potencia: </w:t>
      </w:r>
      <w:r w:rsidR="003C06EB" w:rsidRPr="0043096D">
        <w:rPr>
          <w:bCs/>
          <w:szCs w:val="22"/>
        </w:rPr>
        <w:t>25. 000 euros</w:t>
      </w:r>
      <w:r w:rsidR="00496A67" w:rsidRPr="0043096D">
        <w:rPr>
          <w:bCs/>
          <w:szCs w:val="22"/>
        </w:rPr>
        <w:t xml:space="preserve"> por cada punto de recarga</w:t>
      </w:r>
      <w:r w:rsidR="005125AC" w:rsidRPr="0043096D">
        <w:rPr>
          <w:bCs/>
          <w:szCs w:val="22"/>
        </w:rPr>
        <w:t>.</w:t>
      </w:r>
    </w:p>
    <w:p w14:paraId="2EF7EA84" w14:textId="77777777" w:rsidR="00890B27" w:rsidRPr="0043096D" w:rsidRDefault="00890B27" w:rsidP="006A6949">
      <w:pPr>
        <w:rPr>
          <w:bCs/>
          <w:szCs w:val="22"/>
        </w:rPr>
      </w:pPr>
      <w:r w:rsidRPr="0043096D">
        <w:rPr>
          <w:bCs/>
          <w:szCs w:val="22"/>
        </w:rPr>
        <w:t>Seis. La deducción regulada en el presente artículo no podrá superar la cantidad anual de 10.000 euros.”</w:t>
      </w:r>
    </w:p>
    <w:p w14:paraId="77EC9ADF" w14:textId="4FDD2C67" w:rsidR="006B4B71" w:rsidRPr="0043096D" w:rsidRDefault="0033393D" w:rsidP="006A6949">
      <w:pPr>
        <w:rPr>
          <w:bCs/>
          <w:szCs w:val="22"/>
        </w:rPr>
      </w:pPr>
      <w:bookmarkStart w:id="4" w:name="_Hlk82588162"/>
      <w:r w:rsidRPr="0043096D">
        <w:rPr>
          <w:bCs/>
          <w:szCs w:val="22"/>
        </w:rPr>
        <w:t>C</w:t>
      </w:r>
      <w:r w:rsidR="00413576" w:rsidRPr="0043096D">
        <w:rPr>
          <w:bCs/>
          <w:szCs w:val="22"/>
        </w:rPr>
        <w:t>inco</w:t>
      </w:r>
      <w:r w:rsidR="004E7525" w:rsidRPr="0043096D">
        <w:rPr>
          <w:bCs/>
          <w:szCs w:val="22"/>
        </w:rPr>
        <w:t>.</w:t>
      </w:r>
      <w:r w:rsidR="00406559" w:rsidRPr="0043096D">
        <w:rPr>
          <w:bCs/>
          <w:szCs w:val="22"/>
        </w:rPr>
        <w:t xml:space="preserve"> Se modifica el apartado 1 del artículo 67 </w:t>
      </w:r>
      <w:r w:rsidR="007D56F8" w:rsidRPr="0043096D">
        <w:rPr>
          <w:bCs/>
          <w:szCs w:val="22"/>
        </w:rPr>
        <w:t xml:space="preserve">que </w:t>
      </w:r>
      <w:r w:rsidR="00406559" w:rsidRPr="0043096D">
        <w:rPr>
          <w:bCs/>
          <w:szCs w:val="22"/>
        </w:rPr>
        <w:t>queda redactado de la siguiente forma:</w:t>
      </w:r>
    </w:p>
    <w:bookmarkEnd w:id="4"/>
    <w:p w14:paraId="3F5BCD95" w14:textId="16853D68" w:rsidR="00434DC3" w:rsidRPr="0043096D" w:rsidRDefault="006B4B71" w:rsidP="003E4A22">
      <w:pPr>
        <w:spacing w:after="360"/>
        <w:rPr>
          <w:bCs/>
          <w:szCs w:val="22"/>
        </w:rPr>
      </w:pPr>
      <w:r w:rsidRPr="0043096D">
        <w:rPr>
          <w:bCs/>
          <w:szCs w:val="22"/>
        </w:rPr>
        <w:t>“1. La suma de las</w:t>
      </w:r>
      <w:r w:rsidR="00890B27" w:rsidRPr="0043096D">
        <w:rPr>
          <w:bCs/>
          <w:szCs w:val="22"/>
        </w:rPr>
        <w:t xml:space="preserve"> deducciones previstas en este C</w:t>
      </w:r>
      <w:r w:rsidRPr="0043096D">
        <w:rPr>
          <w:bCs/>
          <w:szCs w:val="22"/>
        </w:rPr>
        <w:t>apítulo no</w:t>
      </w:r>
      <w:r w:rsidR="00D252BC" w:rsidRPr="0043096D">
        <w:rPr>
          <w:bCs/>
          <w:szCs w:val="22"/>
        </w:rPr>
        <w:t xml:space="preserve"> </w:t>
      </w:r>
      <w:r w:rsidRPr="0043096D">
        <w:rPr>
          <w:bCs/>
          <w:szCs w:val="22"/>
        </w:rPr>
        <w:t xml:space="preserve">podrá exceder conjuntamente del </w:t>
      </w:r>
      <w:r w:rsidR="005C4A0F" w:rsidRPr="0043096D">
        <w:rPr>
          <w:bCs/>
          <w:szCs w:val="22"/>
        </w:rPr>
        <w:t>35</w:t>
      </w:r>
      <w:r w:rsidRPr="0043096D">
        <w:rPr>
          <w:bCs/>
          <w:szCs w:val="22"/>
        </w:rPr>
        <w:t xml:space="preserve"> por ciento de la cuota líquida, excepto las deducciones contempladas en </w:t>
      </w:r>
      <w:r w:rsidR="00142447" w:rsidRPr="0043096D">
        <w:rPr>
          <w:bCs/>
          <w:szCs w:val="22"/>
        </w:rPr>
        <w:t xml:space="preserve">los artículos 62 a 64 </w:t>
      </w:r>
      <w:r w:rsidR="005C4A0F" w:rsidRPr="0043096D">
        <w:rPr>
          <w:bCs/>
          <w:szCs w:val="22"/>
        </w:rPr>
        <w:t xml:space="preserve">de esta Norma Foral cuyo límite será el 70 por ciento </w:t>
      </w:r>
      <w:r w:rsidR="002E390B" w:rsidRPr="0043096D">
        <w:rPr>
          <w:bCs/>
          <w:szCs w:val="22"/>
        </w:rPr>
        <w:t xml:space="preserve">de la cuota líquida </w:t>
      </w:r>
      <w:r w:rsidR="00142447" w:rsidRPr="0043096D">
        <w:rPr>
          <w:bCs/>
          <w:szCs w:val="22"/>
        </w:rPr>
        <w:t>y la regulada en el apartado 1 del artículo 65 de esta Norma Foral</w:t>
      </w:r>
      <w:r w:rsidRPr="0043096D">
        <w:rPr>
          <w:bCs/>
          <w:szCs w:val="22"/>
        </w:rPr>
        <w:t xml:space="preserve"> cuyo límite será el </w:t>
      </w:r>
      <w:r w:rsidR="005C4A0F" w:rsidRPr="0043096D">
        <w:rPr>
          <w:bCs/>
          <w:szCs w:val="22"/>
        </w:rPr>
        <w:t>50</w:t>
      </w:r>
      <w:r w:rsidR="00142447" w:rsidRPr="0043096D">
        <w:rPr>
          <w:bCs/>
          <w:szCs w:val="22"/>
        </w:rPr>
        <w:t xml:space="preserve"> por ciento de la cuota líquida</w:t>
      </w:r>
      <w:r w:rsidRPr="0043096D">
        <w:rPr>
          <w:bCs/>
          <w:szCs w:val="22"/>
        </w:rPr>
        <w:t>.</w:t>
      </w:r>
    </w:p>
    <w:p w14:paraId="37B1C556" w14:textId="657F8B56" w:rsidR="002145E8" w:rsidRPr="0043096D" w:rsidRDefault="002145E8" w:rsidP="003E4A22">
      <w:pPr>
        <w:spacing w:after="360"/>
        <w:rPr>
          <w:bCs/>
          <w:szCs w:val="22"/>
        </w:rPr>
      </w:pPr>
      <w:r w:rsidRPr="0043096D">
        <w:rPr>
          <w:bCs/>
          <w:szCs w:val="22"/>
        </w:rPr>
        <w:t>Reglamentariamente se determinará el orden de aplicación de los límites a que se refiere el párrafo anterior.”</w:t>
      </w:r>
      <w:bookmarkStart w:id="5" w:name="_Hlk82588399"/>
    </w:p>
    <w:bookmarkEnd w:id="5"/>
    <w:p w14:paraId="11DC9A73" w14:textId="51101981" w:rsidR="00434DC3" w:rsidRPr="0043096D" w:rsidRDefault="00434DC3" w:rsidP="003E4A22">
      <w:pPr>
        <w:spacing w:after="360"/>
        <w:rPr>
          <w:bCs/>
          <w:szCs w:val="22"/>
        </w:rPr>
      </w:pPr>
      <w:r w:rsidRPr="0043096D">
        <w:rPr>
          <w:bCs/>
          <w:szCs w:val="22"/>
        </w:rPr>
        <w:t>TÍTULO II. OTRAS MEDIDAS TRIBUTARIAS.</w:t>
      </w:r>
    </w:p>
    <w:p w14:paraId="255BFE85" w14:textId="03E06578" w:rsidR="007D56F8" w:rsidRPr="0043096D" w:rsidRDefault="00F22BD6" w:rsidP="00F22BD6">
      <w:pPr>
        <w:rPr>
          <w:bCs/>
          <w:szCs w:val="22"/>
        </w:rPr>
      </w:pPr>
      <w:r w:rsidRPr="0043096D">
        <w:rPr>
          <w:bCs/>
          <w:szCs w:val="22"/>
        </w:rPr>
        <w:t xml:space="preserve">Artículo </w:t>
      </w:r>
      <w:r w:rsidR="00E650DF" w:rsidRPr="0043096D">
        <w:rPr>
          <w:bCs/>
          <w:szCs w:val="22"/>
        </w:rPr>
        <w:t>3</w:t>
      </w:r>
      <w:r w:rsidRPr="0043096D">
        <w:rPr>
          <w:bCs/>
          <w:szCs w:val="22"/>
        </w:rPr>
        <w:t>.</w:t>
      </w:r>
      <w:r w:rsidR="00982990" w:rsidRPr="0043096D">
        <w:rPr>
          <w:bCs/>
          <w:szCs w:val="22"/>
        </w:rPr>
        <w:t xml:space="preserve"> </w:t>
      </w:r>
      <w:r w:rsidR="00CF6434" w:rsidRPr="0043096D">
        <w:rPr>
          <w:bCs/>
          <w:szCs w:val="22"/>
        </w:rPr>
        <w:t>Impuesto sobre Transmisiones Patrimoniales y Actos Jurídicos Documentados.</w:t>
      </w:r>
    </w:p>
    <w:p w14:paraId="52A15162" w14:textId="32F067D6" w:rsidR="00CF6434" w:rsidRPr="0043096D" w:rsidRDefault="00CF6434" w:rsidP="00F22BD6">
      <w:pPr>
        <w:rPr>
          <w:bCs/>
          <w:szCs w:val="22"/>
        </w:rPr>
      </w:pPr>
      <w:r w:rsidRPr="0043096D">
        <w:rPr>
          <w:bCs/>
          <w:szCs w:val="22"/>
        </w:rPr>
        <w:t>Se modifica el apartado 3 del artículo 4 de la Norma For</w:t>
      </w:r>
      <w:r w:rsidR="00085F00" w:rsidRPr="0043096D">
        <w:rPr>
          <w:bCs/>
          <w:szCs w:val="22"/>
        </w:rPr>
        <w:t>a</w:t>
      </w:r>
      <w:r w:rsidRPr="0043096D">
        <w:rPr>
          <w:bCs/>
          <w:szCs w:val="22"/>
        </w:rPr>
        <w:t>l 17/1997, de 9 de junio, sobre medidas fiscales relacionadas con la Agricultura, que queda redactado de l</w:t>
      </w:r>
      <w:r w:rsidR="00E75227" w:rsidRPr="0043096D">
        <w:rPr>
          <w:bCs/>
          <w:szCs w:val="22"/>
        </w:rPr>
        <w:t>a</w:t>
      </w:r>
      <w:r w:rsidRPr="0043096D">
        <w:rPr>
          <w:bCs/>
          <w:szCs w:val="22"/>
        </w:rPr>
        <w:t xml:space="preserve"> siguiente forma:</w:t>
      </w:r>
    </w:p>
    <w:p w14:paraId="7411110A" w14:textId="59FD2E77" w:rsidR="00CF6434" w:rsidRPr="0043096D" w:rsidRDefault="00CF6434" w:rsidP="00F22BD6">
      <w:pPr>
        <w:rPr>
          <w:bCs/>
          <w:szCs w:val="22"/>
        </w:rPr>
      </w:pPr>
      <w:r w:rsidRPr="0043096D">
        <w:rPr>
          <w:bCs/>
          <w:szCs w:val="22"/>
        </w:rPr>
        <w:t>“3. No obstante lo establecido en los apartados anteriores de este artículo, estarán exentas de las modalidades de gravamen a que se refiere el artículo 1 de la Norma Foral 11/</w:t>
      </w:r>
      <w:proofErr w:type="gramStart"/>
      <w:r w:rsidRPr="0043096D">
        <w:rPr>
          <w:bCs/>
          <w:szCs w:val="22"/>
        </w:rPr>
        <w:t>2003,  de</w:t>
      </w:r>
      <w:proofErr w:type="gramEnd"/>
      <w:r w:rsidRPr="0043096D">
        <w:rPr>
          <w:bCs/>
          <w:szCs w:val="22"/>
        </w:rPr>
        <w:t xml:space="preserve"> 31 de marzo, del  Impuesto sobre Transmisiones </w:t>
      </w:r>
      <w:r w:rsidR="00E75227" w:rsidRPr="0043096D">
        <w:rPr>
          <w:bCs/>
          <w:szCs w:val="22"/>
        </w:rPr>
        <w:t xml:space="preserve">Patrimoniales </w:t>
      </w:r>
      <w:r w:rsidRPr="0043096D">
        <w:rPr>
          <w:bCs/>
          <w:szCs w:val="22"/>
        </w:rPr>
        <w:t>y Actos Jurídicos Documentados, las adquisiciones de fincas rústicas, cuando tengan lugar por el dueño de otra colindante para su agrupación.</w:t>
      </w:r>
    </w:p>
    <w:p w14:paraId="38EB01B6" w14:textId="43DCB8B1" w:rsidR="00CF6434" w:rsidRPr="0043096D" w:rsidRDefault="00CF6434" w:rsidP="00F22BD6">
      <w:pPr>
        <w:rPr>
          <w:bCs/>
          <w:szCs w:val="22"/>
        </w:rPr>
      </w:pPr>
      <w:r w:rsidRPr="0043096D">
        <w:rPr>
          <w:bCs/>
          <w:szCs w:val="22"/>
        </w:rPr>
        <w:t xml:space="preserve">Para la aplicación de esta exención se exigirá que la adquisición y la operación de </w:t>
      </w:r>
      <w:proofErr w:type="gramStart"/>
      <w:r w:rsidRPr="0043096D">
        <w:rPr>
          <w:bCs/>
          <w:szCs w:val="22"/>
        </w:rPr>
        <w:t>agrupación  se</w:t>
      </w:r>
      <w:proofErr w:type="gramEnd"/>
      <w:r w:rsidRPr="0043096D">
        <w:rPr>
          <w:bCs/>
          <w:szCs w:val="22"/>
        </w:rPr>
        <w:t xml:space="preserve"> formalice en escritura pública, en la cual deberá </w:t>
      </w:r>
      <w:r w:rsidR="00E75227" w:rsidRPr="0043096D">
        <w:rPr>
          <w:bCs/>
          <w:szCs w:val="22"/>
        </w:rPr>
        <w:t xml:space="preserve">hacerse </w:t>
      </w:r>
      <w:r w:rsidRPr="0043096D">
        <w:rPr>
          <w:bCs/>
          <w:szCs w:val="22"/>
        </w:rPr>
        <w:t>constar la indivisibilidad de la finca resultante durante un plazo de cinco años, salvo supuestos de fuerza mayor.</w:t>
      </w:r>
    </w:p>
    <w:p w14:paraId="45464E0F" w14:textId="0BBD435C" w:rsidR="00CF6434" w:rsidRPr="0043096D" w:rsidRDefault="00CF6434" w:rsidP="00F22BD6">
      <w:pPr>
        <w:rPr>
          <w:bCs/>
          <w:szCs w:val="22"/>
        </w:rPr>
      </w:pPr>
      <w:r w:rsidRPr="0043096D">
        <w:rPr>
          <w:bCs/>
          <w:szCs w:val="22"/>
        </w:rPr>
        <w:t xml:space="preserve">En el caso de fincas forestales se exigirá, además de lo establecido en el párrafo anterior, que la agrupación de las fincas responda a criterios de gestión sostenible de acuerdo con las normas establecidas </w:t>
      </w:r>
      <w:r w:rsidR="00E75227" w:rsidRPr="0043096D">
        <w:rPr>
          <w:bCs/>
          <w:szCs w:val="22"/>
        </w:rPr>
        <w:t>por</w:t>
      </w:r>
      <w:r w:rsidRPr="0043096D">
        <w:rPr>
          <w:bCs/>
          <w:szCs w:val="22"/>
        </w:rPr>
        <w:t xml:space="preserve"> el departamento de la Diputación Foral de Álava competente en materia forestal. En estos casos, para la aplicación de la exención será necesario disponer de la correspondiente certificación extendida por el referido Departamento.”</w:t>
      </w:r>
    </w:p>
    <w:p w14:paraId="685E3AA0" w14:textId="4037A38B" w:rsidR="00F22BD6" w:rsidRPr="0043096D" w:rsidRDefault="007D56F8" w:rsidP="00F22BD6">
      <w:pPr>
        <w:rPr>
          <w:bCs/>
          <w:szCs w:val="22"/>
        </w:rPr>
      </w:pPr>
      <w:r w:rsidRPr="0043096D">
        <w:rPr>
          <w:bCs/>
          <w:szCs w:val="22"/>
        </w:rPr>
        <w:t>Artículo 4.</w:t>
      </w:r>
      <w:r w:rsidR="001968E4" w:rsidRPr="0043096D">
        <w:rPr>
          <w:bCs/>
          <w:szCs w:val="22"/>
        </w:rPr>
        <w:t xml:space="preserve"> </w:t>
      </w:r>
      <w:r w:rsidR="00850F22" w:rsidRPr="0043096D">
        <w:rPr>
          <w:bCs/>
          <w:szCs w:val="22"/>
        </w:rPr>
        <w:t>Imputación temporal de compensaciones por pérdidas en viñedos, procedentes de seguros agrarios, debidas a la granizada de junio de 2020.</w:t>
      </w:r>
    </w:p>
    <w:p w14:paraId="4D91DAE2" w14:textId="6083DC5F" w:rsidR="00F22BD6" w:rsidRPr="0043096D" w:rsidRDefault="00F22BD6" w:rsidP="00F22BD6">
      <w:pPr>
        <w:rPr>
          <w:bCs/>
          <w:szCs w:val="22"/>
        </w:rPr>
      </w:pPr>
      <w:r w:rsidRPr="0043096D">
        <w:rPr>
          <w:bCs/>
          <w:szCs w:val="22"/>
        </w:rPr>
        <w:t>L</w:t>
      </w:r>
      <w:r w:rsidR="00850F22" w:rsidRPr="0043096D">
        <w:rPr>
          <w:bCs/>
          <w:szCs w:val="22"/>
        </w:rPr>
        <w:t>as y los</w:t>
      </w:r>
      <w:r w:rsidRPr="0043096D">
        <w:rPr>
          <w:bCs/>
          <w:szCs w:val="22"/>
        </w:rPr>
        <w:t xml:space="preserve"> contribuyentes del Impuesto sobre la Renta de las Personas Físicas que, como consecuencia de la granizada producida en el mes de junio de 2020, perciban cantidades relacionadas con la compensación de pérdidas </w:t>
      </w:r>
      <w:r w:rsidR="00471FA2" w:rsidRPr="0043096D">
        <w:rPr>
          <w:bCs/>
          <w:szCs w:val="22"/>
        </w:rPr>
        <w:t>en viñedos</w:t>
      </w:r>
      <w:r w:rsidRPr="0043096D">
        <w:rPr>
          <w:bCs/>
          <w:szCs w:val="22"/>
        </w:rPr>
        <w:t xml:space="preserve"> derivada</w:t>
      </w:r>
      <w:r w:rsidR="00850F22" w:rsidRPr="0043096D">
        <w:rPr>
          <w:bCs/>
          <w:szCs w:val="22"/>
        </w:rPr>
        <w:t>s</w:t>
      </w:r>
      <w:r w:rsidRPr="0043096D">
        <w:rPr>
          <w:bCs/>
          <w:szCs w:val="22"/>
        </w:rPr>
        <w:t xml:space="preserve"> de la contratación de seguros agrarios, podrán optar, independientemente del criterio de imputación temporal de ingresos y gastos que apliquen o vengan aplicando, por imputar la totalidad de dichas cantidades recibidas al período impositivo 2020 o 2021.</w:t>
      </w:r>
    </w:p>
    <w:p w14:paraId="7997B254" w14:textId="15F9CA74" w:rsidR="009D367C" w:rsidRPr="0043096D" w:rsidRDefault="00F22BD6" w:rsidP="006A6949">
      <w:pPr>
        <w:rPr>
          <w:bCs/>
          <w:szCs w:val="22"/>
        </w:rPr>
      </w:pPr>
      <w:r w:rsidRPr="0043096D">
        <w:rPr>
          <w:bCs/>
          <w:szCs w:val="22"/>
        </w:rPr>
        <w:lastRenderedPageBreak/>
        <w:t>La aplicación de lo dispuesto en el párrafo anterior precisará comunicación expresa del Departamento de Agricultura de la Diputación Foral, que adoptará las medidas y procedimientos que estime oportunos, al Departamento de Hacienda, Finanzas y Presupuestos.</w:t>
      </w:r>
    </w:p>
    <w:p w14:paraId="3289FD4E" w14:textId="77777777" w:rsidR="003B552A" w:rsidRPr="0043096D" w:rsidRDefault="003B552A" w:rsidP="006A6949">
      <w:pPr>
        <w:rPr>
          <w:bCs/>
          <w:snapToGrid w:val="0"/>
        </w:rPr>
      </w:pPr>
      <w:r w:rsidRPr="0043096D">
        <w:rPr>
          <w:bCs/>
          <w:snapToGrid w:val="0"/>
        </w:rPr>
        <w:t>DISPOSICIONES FINALES</w:t>
      </w:r>
    </w:p>
    <w:p w14:paraId="72C77725" w14:textId="77777777" w:rsidR="003B552A" w:rsidRPr="0043096D" w:rsidRDefault="003B552A" w:rsidP="006A6949">
      <w:pPr>
        <w:rPr>
          <w:bCs/>
          <w:snapToGrid w:val="0"/>
        </w:rPr>
      </w:pPr>
      <w:r w:rsidRPr="0043096D">
        <w:rPr>
          <w:bCs/>
          <w:snapToGrid w:val="0"/>
        </w:rPr>
        <w:t>Primera. Entrada en vigor.</w:t>
      </w:r>
    </w:p>
    <w:p w14:paraId="6932B02A" w14:textId="74205FB1" w:rsidR="003B552A" w:rsidRPr="0043096D" w:rsidRDefault="003B552A" w:rsidP="006A6949">
      <w:pPr>
        <w:rPr>
          <w:bCs/>
          <w:snapToGrid w:val="0"/>
          <w:szCs w:val="22"/>
        </w:rPr>
      </w:pPr>
      <w:r w:rsidRPr="0043096D">
        <w:rPr>
          <w:bCs/>
          <w:snapToGrid w:val="0"/>
        </w:rPr>
        <w:t xml:space="preserve">La presente </w:t>
      </w:r>
      <w:r w:rsidR="00341B4D" w:rsidRPr="0043096D">
        <w:rPr>
          <w:bCs/>
          <w:snapToGrid w:val="0"/>
        </w:rPr>
        <w:t>Norma Foral</w:t>
      </w:r>
      <w:r w:rsidR="006727DA" w:rsidRPr="0043096D">
        <w:rPr>
          <w:bCs/>
          <w:snapToGrid w:val="0"/>
        </w:rPr>
        <w:t xml:space="preserve"> entrará en vigor</w:t>
      </w:r>
      <w:r w:rsidR="006727DA" w:rsidRPr="0043096D">
        <w:rPr>
          <w:bCs/>
          <w:snapToGrid w:val="0"/>
          <w:szCs w:val="22"/>
        </w:rPr>
        <w:t xml:space="preserve"> el día siguiente al de su publicación en el BOTHA, salvo los preceptos que tengan asignada una determinada </w:t>
      </w:r>
      <w:r w:rsidR="009C0D78" w:rsidRPr="0043096D">
        <w:rPr>
          <w:bCs/>
          <w:snapToGrid w:val="0"/>
          <w:szCs w:val="22"/>
        </w:rPr>
        <w:t>fecha de producción de efectos.</w:t>
      </w:r>
    </w:p>
    <w:p w14:paraId="589D207C" w14:textId="77777777" w:rsidR="003B552A" w:rsidRPr="0043096D" w:rsidRDefault="003B552A" w:rsidP="006A6949">
      <w:pPr>
        <w:pStyle w:val="Textoindependiente3"/>
        <w:rPr>
          <w:b w:val="0"/>
          <w:bCs/>
          <w:snapToGrid w:val="0"/>
        </w:rPr>
      </w:pPr>
      <w:r w:rsidRPr="0043096D">
        <w:rPr>
          <w:b w:val="0"/>
          <w:bCs/>
          <w:snapToGrid w:val="0"/>
        </w:rPr>
        <w:t>Segunda. Habilitación.</w:t>
      </w:r>
    </w:p>
    <w:p w14:paraId="1EF41E19" w14:textId="039B6C23" w:rsidR="003B552A" w:rsidRPr="0043096D" w:rsidRDefault="003B552A" w:rsidP="006A6949">
      <w:pPr>
        <w:rPr>
          <w:bCs/>
        </w:rPr>
      </w:pPr>
      <w:r w:rsidRPr="0043096D">
        <w:rPr>
          <w:bCs/>
          <w:snapToGrid w:val="0"/>
        </w:rPr>
        <w:t xml:space="preserve">Se autoriza a la Diputación Foral de Álava para dictar cuantas disposiciones sean necesarias para el desarrollo y aplicación de la presente </w:t>
      </w:r>
      <w:r w:rsidR="00341B4D" w:rsidRPr="0043096D">
        <w:rPr>
          <w:bCs/>
          <w:snapToGrid w:val="0"/>
        </w:rPr>
        <w:t>Norma Foral</w:t>
      </w:r>
      <w:r w:rsidRPr="0043096D">
        <w:rPr>
          <w:bCs/>
          <w:snapToGrid w:val="0"/>
        </w:rPr>
        <w:t>.</w:t>
      </w:r>
    </w:p>
    <w:sectPr w:rsidR="003B552A" w:rsidRPr="0043096D" w:rsidSect="0039711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8D700" w14:textId="77777777" w:rsidR="007E28FA" w:rsidRDefault="007E28FA">
      <w:pPr>
        <w:spacing w:after="0"/>
      </w:pPr>
      <w:r>
        <w:separator/>
      </w:r>
    </w:p>
  </w:endnote>
  <w:endnote w:type="continuationSeparator" w:id="0">
    <w:p w14:paraId="2EADC279" w14:textId="77777777" w:rsidR="007E28FA" w:rsidRDefault="007E28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9D023" w14:textId="77777777" w:rsidR="00E9659B" w:rsidRDefault="00E9659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527839" w14:textId="77777777" w:rsidR="00E9659B" w:rsidRDefault="00E9659B">
    <w:pPr>
      <w:pStyle w:val="Piedepgina"/>
      <w:ind w:right="360"/>
    </w:pPr>
  </w:p>
  <w:p w14:paraId="0FDB14AD" w14:textId="77777777" w:rsidR="00E9659B" w:rsidRDefault="00E965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4676273"/>
      <w:docPartObj>
        <w:docPartGallery w:val="Page Numbers (Bottom of Page)"/>
        <w:docPartUnique/>
      </w:docPartObj>
    </w:sdtPr>
    <w:sdtEndPr>
      <w:rPr>
        <w:sz w:val="22"/>
        <w:szCs w:val="22"/>
      </w:rPr>
    </w:sdtEndPr>
    <w:sdtContent>
      <w:p w14:paraId="083757AA" w14:textId="57DDD3A9" w:rsidR="00BA3EFF" w:rsidRPr="00BA3EFF" w:rsidRDefault="00BA3EFF">
        <w:pPr>
          <w:pStyle w:val="Piedepgina"/>
          <w:jc w:val="right"/>
          <w:rPr>
            <w:sz w:val="22"/>
            <w:szCs w:val="22"/>
          </w:rPr>
        </w:pPr>
        <w:r w:rsidRPr="00BA3EFF">
          <w:rPr>
            <w:sz w:val="22"/>
            <w:szCs w:val="22"/>
          </w:rPr>
          <w:fldChar w:fldCharType="begin"/>
        </w:r>
        <w:r w:rsidRPr="00BA3EFF">
          <w:rPr>
            <w:sz w:val="22"/>
            <w:szCs w:val="22"/>
          </w:rPr>
          <w:instrText>PAGE   \* MERGEFORMAT</w:instrText>
        </w:r>
        <w:r w:rsidRPr="00BA3EFF">
          <w:rPr>
            <w:sz w:val="22"/>
            <w:szCs w:val="22"/>
          </w:rPr>
          <w:fldChar w:fldCharType="separate"/>
        </w:r>
        <w:r w:rsidRPr="00BA3EFF">
          <w:rPr>
            <w:sz w:val="22"/>
            <w:szCs w:val="22"/>
          </w:rPr>
          <w:t>2</w:t>
        </w:r>
        <w:r w:rsidRPr="00BA3EFF">
          <w:rPr>
            <w:sz w:val="22"/>
            <w:szCs w:val="22"/>
          </w:rPr>
          <w:fldChar w:fldCharType="end"/>
        </w:r>
      </w:p>
    </w:sdtContent>
  </w:sdt>
  <w:p w14:paraId="33D2C953" w14:textId="77777777" w:rsidR="00BA3EFF" w:rsidRDefault="00BA3EF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34039" w14:textId="45431FF1" w:rsidR="00E9659B" w:rsidRDefault="00E9659B">
    <w:pPr>
      <w:pStyle w:val="Piedepgina"/>
      <w:tabs>
        <w:tab w:val="clear" w:pos="8789"/>
        <w:tab w:val="right" w:pos="9072"/>
      </w:tabs>
      <w:spacing w:after="0"/>
      <w:rPr>
        <w:rStyle w:val="Nmerodepgina"/>
      </w:rPr>
    </w:pPr>
    <w:r>
      <w:tab/>
    </w:r>
  </w:p>
  <w:p w14:paraId="0103CD3C" w14:textId="77777777" w:rsidR="00E9659B" w:rsidRDefault="00E965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21D34" w14:textId="77777777" w:rsidR="007E28FA" w:rsidRDefault="007E28FA">
      <w:pPr>
        <w:spacing w:after="0"/>
      </w:pPr>
      <w:r>
        <w:separator/>
      </w:r>
    </w:p>
  </w:footnote>
  <w:footnote w:type="continuationSeparator" w:id="0">
    <w:p w14:paraId="3B1AC5D1" w14:textId="77777777" w:rsidR="007E28FA" w:rsidRDefault="007E28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88486" w14:textId="77777777" w:rsidR="00BA3EFF" w:rsidRDefault="00BA3EF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9511E" w14:textId="77777777" w:rsidR="00BA3EFF" w:rsidRDefault="00BA3EFF" w:rsidP="00BA3EFF"/>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BA3EFF" w14:paraId="17B9EB27" w14:textId="77777777" w:rsidTr="00467102">
      <w:tblPrEx>
        <w:tblCellMar>
          <w:top w:w="0" w:type="dxa"/>
          <w:bottom w:w="0" w:type="dxa"/>
        </w:tblCellMar>
      </w:tblPrEx>
      <w:trPr>
        <w:cantSplit/>
        <w:trHeight w:val="338"/>
      </w:trPr>
      <w:tc>
        <w:tcPr>
          <w:tcW w:w="4139" w:type="dxa"/>
          <w:tcBorders>
            <w:top w:val="nil"/>
            <w:left w:val="nil"/>
            <w:bottom w:val="single" w:sz="4" w:space="0" w:color="auto"/>
          </w:tcBorders>
        </w:tcPr>
        <w:p w14:paraId="55C9AC30" w14:textId="77777777" w:rsidR="00BA3EFF" w:rsidRDefault="00BA3EFF" w:rsidP="00BA3EFF">
          <w:pPr>
            <w:pStyle w:val="Encabezado"/>
          </w:pPr>
        </w:p>
      </w:tc>
      <w:tc>
        <w:tcPr>
          <w:tcW w:w="1361" w:type="dxa"/>
          <w:vMerge w:val="restart"/>
        </w:tcPr>
        <w:p w14:paraId="34DF816F" w14:textId="09F90752" w:rsidR="00BA3EFF" w:rsidRDefault="00BA3EFF" w:rsidP="00BA3EFF">
          <w:pPr>
            <w:pStyle w:val="Encabezado"/>
            <w:jc w:val="center"/>
          </w:pPr>
          <w:r>
            <w:rPr>
              <w:noProof/>
            </w:rPr>
            <w:drawing>
              <wp:inline distT="0" distB="0" distL="0" distR="0" wp14:anchorId="27CB1960" wp14:editId="23C65008">
                <wp:extent cx="428625" cy="428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7D754A8C" w14:textId="77777777" w:rsidR="00BA3EFF" w:rsidRDefault="00BA3EFF" w:rsidP="00BA3EFF">
          <w:pPr>
            <w:pStyle w:val="Encabezado"/>
          </w:pPr>
        </w:p>
      </w:tc>
    </w:tr>
    <w:tr w:rsidR="00BA3EFF" w14:paraId="526DB255" w14:textId="77777777" w:rsidTr="00467102">
      <w:tblPrEx>
        <w:tblCellMar>
          <w:top w:w="0" w:type="dxa"/>
          <w:bottom w:w="0" w:type="dxa"/>
        </w:tblCellMar>
      </w:tblPrEx>
      <w:trPr>
        <w:cantSplit/>
        <w:trHeight w:val="337"/>
      </w:trPr>
      <w:tc>
        <w:tcPr>
          <w:tcW w:w="4139" w:type="dxa"/>
          <w:tcBorders>
            <w:top w:val="single" w:sz="4" w:space="0" w:color="auto"/>
            <w:left w:val="nil"/>
            <w:bottom w:val="nil"/>
          </w:tcBorders>
        </w:tcPr>
        <w:p w14:paraId="527EE83F" w14:textId="77777777" w:rsidR="00BA3EFF" w:rsidRDefault="00BA3EFF" w:rsidP="00BA3EFF">
          <w:pPr>
            <w:pStyle w:val="Encabezado"/>
          </w:pPr>
        </w:p>
      </w:tc>
      <w:tc>
        <w:tcPr>
          <w:tcW w:w="1361" w:type="dxa"/>
          <w:vMerge/>
        </w:tcPr>
        <w:p w14:paraId="69A091C0" w14:textId="77777777" w:rsidR="00BA3EFF" w:rsidRDefault="00BA3EFF" w:rsidP="00BA3EFF">
          <w:pPr>
            <w:pStyle w:val="Encabezado"/>
            <w:jc w:val="center"/>
          </w:pPr>
        </w:p>
      </w:tc>
      <w:tc>
        <w:tcPr>
          <w:tcW w:w="4139" w:type="dxa"/>
          <w:tcBorders>
            <w:top w:val="single" w:sz="4" w:space="0" w:color="auto"/>
            <w:bottom w:val="nil"/>
            <w:right w:val="nil"/>
          </w:tcBorders>
        </w:tcPr>
        <w:p w14:paraId="50045CEC" w14:textId="77777777" w:rsidR="00BA3EFF" w:rsidRDefault="00BA3EFF" w:rsidP="00BA3EFF">
          <w:pPr>
            <w:pStyle w:val="Encabezado"/>
          </w:pPr>
        </w:p>
      </w:tc>
    </w:tr>
  </w:tbl>
  <w:p w14:paraId="0CDC218D" w14:textId="77777777" w:rsidR="00E9659B" w:rsidRDefault="00E9659B">
    <w:pPr>
      <w:pStyle w:val="Encabezado"/>
    </w:pPr>
  </w:p>
  <w:p w14:paraId="73FFCA5A" w14:textId="77777777" w:rsidR="00E9659B" w:rsidRDefault="00E9659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9DD39" w14:textId="77777777" w:rsidR="00BA3EFF" w:rsidRDefault="00BA3EFF" w:rsidP="00BA3EFF"/>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BA3EFF" w14:paraId="3BE26084" w14:textId="77777777" w:rsidTr="00467102">
      <w:tblPrEx>
        <w:tblCellMar>
          <w:top w:w="0" w:type="dxa"/>
          <w:bottom w:w="0" w:type="dxa"/>
        </w:tblCellMar>
      </w:tblPrEx>
      <w:trPr>
        <w:cantSplit/>
        <w:trHeight w:val="338"/>
      </w:trPr>
      <w:tc>
        <w:tcPr>
          <w:tcW w:w="4139" w:type="dxa"/>
          <w:tcBorders>
            <w:top w:val="nil"/>
            <w:left w:val="nil"/>
            <w:bottom w:val="single" w:sz="4" w:space="0" w:color="auto"/>
          </w:tcBorders>
        </w:tcPr>
        <w:p w14:paraId="4B68A228" w14:textId="77777777" w:rsidR="00BA3EFF" w:rsidRDefault="00BA3EFF" w:rsidP="00BA3EFF">
          <w:pPr>
            <w:pStyle w:val="Encabezado"/>
          </w:pPr>
        </w:p>
      </w:tc>
      <w:tc>
        <w:tcPr>
          <w:tcW w:w="1361" w:type="dxa"/>
          <w:vMerge w:val="restart"/>
        </w:tcPr>
        <w:p w14:paraId="0821B931" w14:textId="6DB73076" w:rsidR="00BA3EFF" w:rsidRDefault="00BA3EFF" w:rsidP="00BA3EFF">
          <w:pPr>
            <w:pStyle w:val="Encabezado"/>
            <w:jc w:val="center"/>
          </w:pPr>
          <w:r>
            <w:rPr>
              <w:noProof/>
            </w:rPr>
            <w:drawing>
              <wp:inline distT="0" distB="0" distL="0" distR="0" wp14:anchorId="27965EA6" wp14:editId="6E813410">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10CA4C6B" w14:textId="77777777" w:rsidR="00BA3EFF" w:rsidRDefault="00BA3EFF" w:rsidP="00BA3EFF">
          <w:pPr>
            <w:pStyle w:val="Encabezado"/>
          </w:pPr>
        </w:p>
      </w:tc>
    </w:tr>
    <w:tr w:rsidR="00BA3EFF" w14:paraId="77CBB151" w14:textId="77777777" w:rsidTr="00467102">
      <w:tblPrEx>
        <w:tblCellMar>
          <w:top w:w="0" w:type="dxa"/>
          <w:bottom w:w="0" w:type="dxa"/>
        </w:tblCellMar>
      </w:tblPrEx>
      <w:trPr>
        <w:cantSplit/>
        <w:trHeight w:val="337"/>
      </w:trPr>
      <w:tc>
        <w:tcPr>
          <w:tcW w:w="4139" w:type="dxa"/>
          <w:tcBorders>
            <w:top w:val="single" w:sz="4" w:space="0" w:color="auto"/>
            <w:left w:val="nil"/>
            <w:bottom w:val="nil"/>
          </w:tcBorders>
        </w:tcPr>
        <w:p w14:paraId="769D71E8" w14:textId="77777777" w:rsidR="00BA3EFF" w:rsidRDefault="00BA3EFF" w:rsidP="00BA3EFF">
          <w:pPr>
            <w:pStyle w:val="Encabezado"/>
          </w:pPr>
        </w:p>
      </w:tc>
      <w:tc>
        <w:tcPr>
          <w:tcW w:w="1361" w:type="dxa"/>
          <w:vMerge/>
        </w:tcPr>
        <w:p w14:paraId="1127B5D7" w14:textId="77777777" w:rsidR="00BA3EFF" w:rsidRDefault="00BA3EFF" w:rsidP="00BA3EFF">
          <w:pPr>
            <w:pStyle w:val="Encabezado"/>
            <w:jc w:val="center"/>
          </w:pPr>
        </w:p>
      </w:tc>
      <w:tc>
        <w:tcPr>
          <w:tcW w:w="4139" w:type="dxa"/>
          <w:tcBorders>
            <w:top w:val="single" w:sz="4" w:space="0" w:color="auto"/>
            <w:bottom w:val="nil"/>
            <w:right w:val="nil"/>
          </w:tcBorders>
        </w:tcPr>
        <w:p w14:paraId="3B77A397" w14:textId="77777777" w:rsidR="00BA3EFF" w:rsidRDefault="00BA3EFF" w:rsidP="00BA3EFF">
          <w:pPr>
            <w:pStyle w:val="Encabezado"/>
          </w:pPr>
        </w:p>
      </w:tc>
    </w:tr>
  </w:tbl>
  <w:p w14:paraId="761DE5FB" w14:textId="77777777" w:rsidR="00BA3EFF" w:rsidRDefault="00BA3EF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1"/>
      <w:numFmt w:val="lowerLetter"/>
      <w:lvlText w:val="%1)"/>
      <w:lvlJc w:val="left"/>
      <w:pPr>
        <w:ind w:left="100" w:hanging="276"/>
      </w:pPr>
      <w:rPr>
        <w:rFonts w:ascii="Arial" w:hAnsi="Arial" w:cs="Arial"/>
        <w:b w:val="0"/>
        <w:bCs w:val="0"/>
        <w:w w:val="99"/>
        <w:sz w:val="22"/>
        <w:szCs w:val="22"/>
      </w:rPr>
    </w:lvl>
    <w:lvl w:ilvl="1">
      <w:numFmt w:val="bullet"/>
      <w:lvlText w:val="•"/>
      <w:lvlJc w:val="left"/>
      <w:pPr>
        <w:ind w:left="1062" w:hanging="276"/>
      </w:pPr>
    </w:lvl>
    <w:lvl w:ilvl="2">
      <w:numFmt w:val="bullet"/>
      <w:lvlText w:val="•"/>
      <w:lvlJc w:val="left"/>
      <w:pPr>
        <w:ind w:left="2025" w:hanging="276"/>
      </w:pPr>
    </w:lvl>
    <w:lvl w:ilvl="3">
      <w:numFmt w:val="bullet"/>
      <w:lvlText w:val="•"/>
      <w:lvlJc w:val="left"/>
      <w:pPr>
        <w:ind w:left="2988" w:hanging="276"/>
      </w:pPr>
    </w:lvl>
    <w:lvl w:ilvl="4">
      <w:numFmt w:val="bullet"/>
      <w:lvlText w:val="•"/>
      <w:lvlJc w:val="left"/>
      <w:pPr>
        <w:ind w:left="3951" w:hanging="276"/>
      </w:pPr>
    </w:lvl>
    <w:lvl w:ilvl="5">
      <w:numFmt w:val="bullet"/>
      <w:lvlText w:val="•"/>
      <w:lvlJc w:val="left"/>
      <w:pPr>
        <w:ind w:left="4914" w:hanging="276"/>
      </w:pPr>
    </w:lvl>
    <w:lvl w:ilvl="6">
      <w:numFmt w:val="bullet"/>
      <w:lvlText w:val="•"/>
      <w:lvlJc w:val="left"/>
      <w:pPr>
        <w:ind w:left="5877" w:hanging="276"/>
      </w:pPr>
    </w:lvl>
    <w:lvl w:ilvl="7">
      <w:numFmt w:val="bullet"/>
      <w:lvlText w:val="•"/>
      <w:lvlJc w:val="left"/>
      <w:pPr>
        <w:ind w:left="6840" w:hanging="276"/>
      </w:pPr>
    </w:lvl>
    <w:lvl w:ilvl="8">
      <w:numFmt w:val="bullet"/>
      <w:lvlText w:val="•"/>
      <w:lvlJc w:val="left"/>
      <w:pPr>
        <w:ind w:left="7803" w:hanging="276"/>
      </w:pPr>
    </w:lvl>
  </w:abstractNum>
  <w:abstractNum w:abstractNumId="1" w15:restartNumberingAfterBreak="0">
    <w:nsid w:val="00000403"/>
    <w:multiLevelType w:val="multilevel"/>
    <w:tmpl w:val="00000886"/>
    <w:lvl w:ilvl="0">
      <w:start w:val="1"/>
      <w:numFmt w:val="lowerLetter"/>
      <w:lvlText w:val="%1)"/>
      <w:lvlJc w:val="left"/>
      <w:pPr>
        <w:ind w:left="100" w:hanging="276"/>
      </w:pPr>
      <w:rPr>
        <w:rFonts w:ascii="Arial" w:hAnsi="Arial" w:cs="Arial"/>
        <w:b w:val="0"/>
        <w:bCs w:val="0"/>
        <w:w w:val="99"/>
        <w:sz w:val="22"/>
        <w:szCs w:val="22"/>
      </w:rPr>
    </w:lvl>
    <w:lvl w:ilvl="1">
      <w:numFmt w:val="bullet"/>
      <w:lvlText w:val="•"/>
      <w:lvlJc w:val="left"/>
      <w:pPr>
        <w:ind w:left="1062" w:hanging="276"/>
      </w:pPr>
    </w:lvl>
    <w:lvl w:ilvl="2">
      <w:numFmt w:val="bullet"/>
      <w:lvlText w:val="•"/>
      <w:lvlJc w:val="left"/>
      <w:pPr>
        <w:ind w:left="2025" w:hanging="276"/>
      </w:pPr>
    </w:lvl>
    <w:lvl w:ilvl="3">
      <w:numFmt w:val="bullet"/>
      <w:lvlText w:val="•"/>
      <w:lvlJc w:val="left"/>
      <w:pPr>
        <w:ind w:left="2988" w:hanging="276"/>
      </w:pPr>
    </w:lvl>
    <w:lvl w:ilvl="4">
      <w:numFmt w:val="bullet"/>
      <w:lvlText w:val="•"/>
      <w:lvlJc w:val="left"/>
      <w:pPr>
        <w:ind w:left="3951" w:hanging="276"/>
      </w:pPr>
    </w:lvl>
    <w:lvl w:ilvl="5">
      <w:numFmt w:val="bullet"/>
      <w:lvlText w:val="•"/>
      <w:lvlJc w:val="left"/>
      <w:pPr>
        <w:ind w:left="4914" w:hanging="276"/>
      </w:pPr>
    </w:lvl>
    <w:lvl w:ilvl="6">
      <w:numFmt w:val="bullet"/>
      <w:lvlText w:val="•"/>
      <w:lvlJc w:val="left"/>
      <w:pPr>
        <w:ind w:left="5877" w:hanging="276"/>
      </w:pPr>
    </w:lvl>
    <w:lvl w:ilvl="7">
      <w:numFmt w:val="bullet"/>
      <w:lvlText w:val="•"/>
      <w:lvlJc w:val="left"/>
      <w:pPr>
        <w:ind w:left="6840" w:hanging="276"/>
      </w:pPr>
    </w:lvl>
    <w:lvl w:ilvl="8">
      <w:numFmt w:val="bullet"/>
      <w:lvlText w:val="•"/>
      <w:lvlJc w:val="left"/>
      <w:pPr>
        <w:ind w:left="7803" w:hanging="276"/>
      </w:pPr>
    </w:lvl>
  </w:abstractNum>
  <w:abstractNum w:abstractNumId="2" w15:restartNumberingAfterBreak="0">
    <w:nsid w:val="00000404"/>
    <w:multiLevelType w:val="multilevel"/>
    <w:tmpl w:val="00000887"/>
    <w:lvl w:ilvl="0">
      <w:start w:val="1"/>
      <w:numFmt w:val="lowerLetter"/>
      <w:lvlText w:val="%1)"/>
      <w:lvlJc w:val="left"/>
      <w:pPr>
        <w:ind w:left="357" w:hanging="257"/>
      </w:pPr>
      <w:rPr>
        <w:rFonts w:ascii="Arial" w:hAnsi="Arial" w:cs="Arial"/>
        <w:b w:val="0"/>
        <w:bCs w:val="0"/>
        <w:w w:val="99"/>
        <w:sz w:val="22"/>
        <w:szCs w:val="22"/>
      </w:rPr>
    </w:lvl>
    <w:lvl w:ilvl="1">
      <w:numFmt w:val="bullet"/>
      <w:lvlText w:val="•"/>
      <w:lvlJc w:val="left"/>
      <w:pPr>
        <w:ind w:left="1296" w:hanging="257"/>
      </w:pPr>
    </w:lvl>
    <w:lvl w:ilvl="2">
      <w:numFmt w:val="bullet"/>
      <w:lvlText w:val="•"/>
      <w:lvlJc w:val="left"/>
      <w:pPr>
        <w:ind w:left="2233" w:hanging="257"/>
      </w:pPr>
    </w:lvl>
    <w:lvl w:ilvl="3">
      <w:numFmt w:val="bullet"/>
      <w:lvlText w:val="•"/>
      <w:lvlJc w:val="left"/>
      <w:pPr>
        <w:ind w:left="3170" w:hanging="257"/>
      </w:pPr>
    </w:lvl>
    <w:lvl w:ilvl="4">
      <w:numFmt w:val="bullet"/>
      <w:lvlText w:val="•"/>
      <w:lvlJc w:val="left"/>
      <w:pPr>
        <w:ind w:left="4107" w:hanging="257"/>
      </w:pPr>
    </w:lvl>
    <w:lvl w:ilvl="5">
      <w:numFmt w:val="bullet"/>
      <w:lvlText w:val="•"/>
      <w:lvlJc w:val="left"/>
      <w:pPr>
        <w:ind w:left="5044" w:hanging="257"/>
      </w:pPr>
    </w:lvl>
    <w:lvl w:ilvl="6">
      <w:numFmt w:val="bullet"/>
      <w:lvlText w:val="•"/>
      <w:lvlJc w:val="left"/>
      <w:pPr>
        <w:ind w:left="5981" w:hanging="257"/>
      </w:pPr>
    </w:lvl>
    <w:lvl w:ilvl="7">
      <w:numFmt w:val="bullet"/>
      <w:lvlText w:val="•"/>
      <w:lvlJc w:val="left"/>
      <w:pPr>
        <w:ind w:left="6918" w:hanging="257"/>
      </w:pPr>
    </w:lvl>
    <w:lvl w:ilvl="8">
      <w:numFmt w:val="bullet"/>
      <w:lvlText w:val="•"/>
      <w:lvlJc w:val="left"/>
      <w:pPr>
        <w:ind w:left="7855" w:hanging="257"/>
      </w:pPr>
    </w:lvl>
  </w:abstractNum>
  <w:abstractNum w:abstractNumId="3" w15:restartNumberingAfterBreak="0">
    <w:nsid w:val="00000405"/>
    <w:multiLevelType w:val="multilevel"/>
    <w:tmpl w:val="00000888"/>
    <w:lvl w:ilvl="0">
      <w:start w:val="1"/>
      <w:numFmt w:val="lowerLetter"/>
      <w:lvlText w:val="%1)"/>
      <w:lvlJc w:val="left"/>
      <w:pPr>
        <w:ind w:left="100" w:hanging="286"/>
      </w:pPr>
      <w:rPr>
        <w:rFonts w:ascii="Arial" w:hAnsi="Arial" w:cs="Arial"/>
        <w:b w:val="0"/>
        <w:bCs w:val="0"/>
        <w:w w:val="99"/>
        <w:sz w:val="22"/>
        <w:szCs w:val="22"/>
      </w:rPr>
    </w:lvl>
    <w:lvl w:ilvl="1">
      <w:numFmt w:val="bullet"/>
      <w:lvlText w:val="•"/>
      <w:lvlJc w:val="left"/>
      <w:pPr>
        <w:ind w:left="1062" w:hanging="286"/>
      </w:pPr>
    </w:lvl>
    <w:lvl w:ilvl="2">
      <w:numFmt w:val="bullet"/>
      <w:lvlText w:val="•"/>
      <w:lvlJc w:val="left"/>
      <w:pPr>
        <w:ind w:left="2025" w:hanging="286"/>
      </w:pPr>
    </w:lvl>
    <w:lvl w:ilvl="3">
      <w:numFmt w:val="bullet"/>
      <w:lvlText w:val="•"/>
      <w:lvlJc w:val="left"/>
      <w:pPr>
        <w:ind w:left="2988" w:hanging="286"/>
      </w:pPr>
    </w:lvl>
    <w:lvl w:ilvl="4">
      <w:numFmt w:val="bullet"/>
      <w:lvlText w:val="•"/>
      <w:lvlJc w:val="left"/>
      <w:pPr>
        <w:ind w:left="3951" w:hanging="286"/>
      </w:pPr>
    </w:lvl>
    <w:lvl w:ilvl="5">
      <w:numFmt w:val="bullet"/>
      <w:lvlText w:val="•"/>
      <w:lvlJc w:val="left"/>
      <w:pPr>
        <w:ind w:left="4914" w:hanging="286"/>
      </w:pPr>
    </w:lvl>
    <w:lvl w:ilvl="6">
      <w:numFmt w:val="bullet"/>
      <w:lvlText w:val="•"/>
      <w:lvlJc w:val="left"/>
      <w:pPr>
        <w:ind w:left="5877" w:hanging="286"/>
      </w:pPr>
    </w:lvl>
    <w:lvl w:ilvl="7">
      <w:numFmt w:val="bullet"/>
      <w:lvlText w:val="•"/>
      <w:lvlJc w:val="left"/>
      <w:pPr>
        <w:ind w:left="6840" w:hanging="286"/>
      </w:pPr>
    </w:lvl>
    <w:lvl w:ilvl="8">
      <w:numFmt w:val="bullet"/>
      <w:lvlText w:val="•"/>
      <w:lvlJc w:val="left"/>
      <w:pPr>
        <w:ind w:left="7803" w:hanging="286"/>
      </w:pPr>
    </w:lvl>
  </w:abstractNum>
  <w:abstractNum w:abstractNumId="4" w15:restartNumberingAfterBreak="0">
    <w:nsid w:val="00000406"/>
    <w:multiLevelType w:val="multilevel"/>
    <w:tmpl w:val="00000889"/>
    <w:lvl w:ilvl="0">
      <w:start w:val="1"/>
      <w:numFmt w:val="lowerLetter"/>
      <w:lvlText w:val="%1)"/>
      <w:lvlJc w:val="left"/>
      <w:pPr>
        <w:ind w:left="100" w:hanging="276"/>
      </w:pPr>
      <w:rPr>
        <w:rFonts w:ascii="Arial" w:hAnsi="Arial" w:cs="Arial"/>
        <w:b w:val="0"/>
        <w:bCs w:val="0"/>
        <w:w w:val="99"/>
        <w:sz w:val="22"/>
        <w:szCs w:val="22"/>
      </w:rPr>
    </w:lvl>
    <w:lvl w:ilvl="1">
      <w:numFmt w:val="bullet"/>
      <w:lvlText w:val="•"/>
      <w:lvlJc w:val="left"/>
      <w:pPr>
        <w:ind w:left="1062" w:hanging="276"/>
      </w:pPr>
    </w:lvl>
    <w:lvl w:ilvl="2">
      <w:numFmt w:val="bullet"/>
      <w:lvlText w:val="•"/>
      <w:lvlJc w:val="left"/>
      <w:pPr>
        <w:ind w:left="2025" w:hanging="276"/>
      </w:pPr>
    </w:lvl>
    <w:lvl w:ilvl="3">
      <w:numFmt w:val="bullet"/>
      <w:lvlText w:val="•"/>
      <w:lvlJc w:val="left"/>
      <w:pPr>
        <w:ind w:left="2988" w:hanging="276"/>
      </w:pPr>
    </w:lvl>
    <w:lvl w:ilvl="4">
      <w:numFmt w:val="bullet"/>
      <w:lvlText w:val="•"/>
      <w:lvlJc w:val="left"/>
      <w:pPr>
        <w:ind w:left="3951" w:hanging="276"/>
      </w:pPr>
    </w:lvl>
    <w:lvl w:ilvl="5">
      <w:numFmt w:val="bullet"/>
      <w:lvlText w:val="•"/>
      <w:lvlJc w:val="left"/>
      <w:pPr>
        <w:ind w:left="4914" w:hanging="276"/>
      </w:pPr>
    </w:lvl>
    <w:lvl w:ilvl="6">
      <w:numFmt w:val="bullet"/>
      <w:lvlText w:val="•"/>
      <w:lvlJc w:val="left"/>
      <w:pPr>
        <w:ind w:left="5877" w:hanging="276"/>
      </w:pPr>
    </w:lvl>
    <w:lvl w:ilvl="7">
      <w:numFmt w:val="bullet"/>
      <w:lvlText w:val="•"/>
      <w:lvlJc w:val="left"/>
      <w:pPr>
        <w:ind w:left="6840" w:hanging="276"/>
      </w:pPr>
    </w:lvl>
    <w:lvl w:ilvl="8">
      <w:numFmt w:val="bullet"/>
      <w:lvlText w:val="•"/>
      <w:lvlJc w:val="left"/>
      <w:pPr>
        <w:ind w:left="7803" w:hanging="276"/>
      </w:pPr>
    </w:lvl>
  </w:abstractNum>
  <w:abstractNum w:abstractNumId="5" w15:restartNumberingAfterBreak="0">
    <w:nsid w:val="00000407"/>
    <w:multiLevelType w:val="multilevel"/>
    <w:tmpl w:val="0000088A"/>
    <w:lvl w:ilvl="0">
      <w:start w:val="1"/>
      <w:numFmt w:val="lowerLetter"/>
      <w:lvlText w:val="%1)"/>
      <w:lvlJc w:val="left"/>
      <w:pPr>
        <w:ind w:left="359" w:hanging="259"/>
      </w:pPr>
      <w:rPr>
        <w:rFonts w:ascii="Arial" w:hAnsi="Arial" w:cs="Arial"/>
        <w:b w:val="0"/>
        <w:bCs w:val="0"/>
        <w:w w:val="99"/>
        <w:sz w:val="22"/>
        <w:szCs w:val="22"/>
      </w:rPr>
    </w:lvl>
    <w:lvl w:ilvl="1">
      <w:numFmt w:val="bullet"/>
      <w:lvlText w:val="•"/>
      <w:lvlJc w:val="left"/>
      <w:pPr>
        <w:ind w:left="1296" w:hanging="259"/>
      </w:pPr>
    </w:lvl>
    <w:lvl w:ilvl="2">
      <w:numFmt w:val="bullet"/>
      <w:lvlText w:val="•"/>
      <w:lvlJc w:val="left"/>
      <w:pPr>
        <w:ind w:left="2233" w:hanging="259"/>
      </w:pPr>
    </w:lvl>
    <w:lvl w:ilvl="3">
      <w:numFmt w:val="bullet"/>
      <w:lvlText w:val="•"/>
      <w:lvlJc w:val="left"/>
      <w:pPr>
        <w:ind w:left="3170" w:hanging="259"/>
      </w:pPr>
    </w:lvl>
    <w:lvl w:ilvl="4">
      <w:numFmt w:val="bullet"/>
      <w:lvlText w:val="•"/>
      <w:lvlJc w:val="left"/>
      <w:pPr>
        <w:ind w:left="4107" w:hanging="259"/>
      </w:pPr>
    </w:lvl>
    <w:lvl w:ilvl="5">
      <w:numFmt w:val="bullet"/>
      <w:lvlText w:val="•"/>
      <w:lvlJc w:val="left"/>
      <w:pPr>
        <w:ind w:left="5044" w:hanging="259"/>
      </w:pPr>
    </w:lvl>
    <w:lvl w:ilvl="6">
      <w:numFmt w:val="bullet"/>
      <w:lvlText w:val="•"/>
      <w:lvlJc w:val="left"/>
      <w:pPr>
        <w:ind w:left="5981" w:hanging="259"/>
      </w:pPr>
    </w:lvl>
    <w:lvl w:ilvl="7">
      <w:numFmt w:val="bullet"/>
      <w:lvlText w:val="•"/>
      <w:lvlJc w:val="left"/>
      <w:pPr>
        <w:ind w:left="6918" w:hanging="259"/>
      </w:pPr>
    </w:lvl>
    <w:lvl w:ilvl="8">
      <w:numFmt w:val="bullet"/>
      <w:lvlText w:val="•"/>
      <w:lvlJc w:val="left"/>
      <w:pPr>
        <w:ind w:left="7855" w:hanging="259"/>
      </w:pPr>
    </w:lvl>
  </w:abstractNum>
  <w:abstractNum w:abstractNumId="6" w15:restartNumberingAfterBreak="0">
    <w:nsid w:val="00000408"/>
    <w:multiLevelType w:val="multilevel"/>
    <w:tmpl w:val="0000088B"/>
    <w:lvl w:ilvl="0">
      <w:start w:val="1"/>
      <w:numFmt w:val="lowerLetter"/>
      <w:lvlText w:val="%1)"/>
      <w:lvlJc w:val="left"/>
      <w:pPr>
        <w:ind w:left="100" w:hanging="339"/>
      </w:pPr>
      <w:rPr>
        <w:rFonts w:ascii="Arial" w:hAnsi="Arial" w:cs="Arial"/>
        <w:b w:val="0"/>
        <w:bCs w:val="0"/>
        <w:w w:val="99"/>
        <w:sz w:val="22"/>
        <w:szCs w:val="22"/>
      </w:rPr>
    </w:lvl>
    <w:lvl w:ilvl="1">
      <w:numFmt w:val="bullet"/>
      <w:lvlText w:val="•"/>
      <w:lvlJc w:val="left"/>
      <w:pPr>
        <w:ind w:left="1062" w:hanging="339"/>
      </w:pPr>
    </w:lvl>
    <w:lvl w:ilvl="2">
      <w:numFmt w:val="bullet"/>
      <w:lvlText w:val="•"/>
      <w:lvlJc w:val="left"/>
      <w:pPr>
        <w:ind w:left="2025" w:hanging="339"/>
      </w:pPr>
    </w:lvl>
    <w:lvl w:ilvl="3">
      <w:numFmt w:val="bullet"/>
      <w:lvlText w:val="•"/>
      <w:lvlJc w:val="left"/>
      <w:pPr>
        <w:ind w:left="2988" w:hanging="339"/>
      </w:pPr>
    </w:lvl>
    <w:lvl w:ilvl="4">
      <w:numFmt w:val="bullet"/>
      <w:lvlText w:val="•"/>
      <w:lvlJc w:val="left"/>
      <w:pPr>
        <w:ind w:left="3951" w:hanging="339"/>
      </w:pPr>
    </w:lvl>
    <w:lvl w:ilvl="5">
      <w:numFmt w:val="bullet"/>
      <w:lvlText w:val="•"/>
      <w:lvlJc w:val="left"/>
      <w:pPr>
        <w:ind w:left="4914" w:hanging="339"/>
      </w:pPr>
    </w:lvl>
    <w:lvl w:ilvl="6">
      <w:numFmt w:val="bullet"/>
      <w:lvlText w:val="•"/>
      <w:lvlJc w:val="left"/>
      <w:pPr>
        <w:ind w:left="5877" w:hanging="339"/>
      </w:pPr>
    </w:lvl>
    <w:lvl w:ilvl="7">
      <w:numFmt w:val="bullet"/>
      <w:lvlText w:val="•"/>
      <w:lvlJc w:val="left"/>
      <w:pPr>
        <w:ind w:left="6840" w:hanging="339"/>
      </w:pPr>
    </w:lvl>
    <w:lvl w:ilvl="8">
      <w:numFmt w:val="bullet"/>
      <w:lvlText w:val="•"/>
      <w:lvlJc w:val="left"/>
      <w:pPr>
        <w:ind w:left="7803" w:hanging="339"/>
      </w:pPr>
    </w:lvl>
  </w:abstractNum>
  <w:abstractNum w:abstractNumId="7" w15:restartNumberingAfterBreak="0">
    <w:nsid w:val="00000409"/>
    <w:multiLevelType w:val="multilevel"/>
    <w:tmpl w:val="0000088C"/>
    <w:lvl w:ilvl="0">
      <w:start w:val="2"/>
      <w:numFmt w:val="decimal"/>
      <w:lvlText w:val="%1."/>
      <w:lvlJc w:val="left"/>
      <w:pPr>
        <w:ind w:left="100" w:hanging="291"/>
      </w:pPr>
      <w:rPr>
        <w:rFonts w:ascii="Arial" w:hAnsi="Arial" w:cs="Arial"/>
        <w:b w:val="0"/>
        <w:bCs w:val="0"/>
        <w:w w:val="99"/>
        <w:sz w:val="22"/>
        <w:szCs w:val="22"/>
      </w:rPr>
    </w:lvl>
    <w:lvl w:ilvl="1">
      <w:numFmt w:val="bullet"/>
      <w:lvlText w:val="•"/>
      <w:lvlJc w:val="left"/>
      <w:pPr>
        <w:ind w:left="1062" w:hanging="291"/>
      </w:pPr>
    </w:lvl>
    <w:lvl w:ilvl="2">
      <w:numFmt w:val="bullet"/>
      <w:lvlText w:val="•"/>
      <w:lvlJc w:val="left"/>
      <w:pPr>
        <w:ind w:left="2025" w:hanging="291"/>
      </w:pPr>
    </w:lvl>
    <w:lvl w:ilvl="3">
      <w:numFmt w:val="bullet"/>
      <w:lvlText w:val="•"/>
      <w:lvlJc w:val="left"/>
      <w:pPr>
        <w:ind w:left="2988" w:hanging="291"/>
      </w:pPr>
    </w:lvl>
    <w:lvl w:ilvl="4">
      <w:numFmt w:val="bullet"/>
      <w:lvlText w:val="•"/>
      <w:lvlJc w:val="left"/>
      <w:pPr>
        <w:ind w:left="3951" w:hanging="291"/>
      </w:pPr>
    </w:lvl>
    <w:lvl w:ilvl="5">
      <w:numFmt w:val="bullet"/>
      <w:lvlText w:val="•"/>
      <w:lvlJc w:val="left"/>
      <w:pPr>
        <w:ind w:left="4914" w:hanging="291"/>
      </w:pPr>
    </w:lvl>
    <w:lvl w:ilvl="6">
      <w:numFmt w:val="bullet"/>
      <w:lvlText w:val="•"/>
      <w:lvlJc w:val="left"/>
      <w:pPr>
        <w:ind w:left="5877" w:hanging="291"/>
      </w:pPr>
    </w:lvl>
    <w:lvl w:ilvl="7">
      <w:numFmt w:val="bullet"/>
      <w:lvlText w:val="•"/>
      <w:lvlJc w:val="left"/>
      <w:pPr>
        <w:ind w:left="6840" w:hanging="291"/>
      </w:pPr>
    </w:lvl>
    <w:lvl w:ilvl="8">
      <w:numFmt w:val="bullet"/>
      <w:lvlText w:val="•"/>
      <w:lvlJc w:val="left"/>
      <w:pPr>
        <w:ind w:left="7803" w:hanging="291"/>
      </w:pPr>
    </w:lvl>
  </w:abstractNum>
  <w:abstractNum w:abstractNumId="8" w15:restartNumberingAfterBreak="0">
    <w:nsid w:val="004B5E83"/>
    <w:multiLevelType w:val="hybridMultilevel"/>
    <w:tmpl w:val="55425B7C"/>
    <w:lvl w:ilvl="0" w:tplc="F6F6DA4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1A41FFA"/>
    <w:multiLevelType w:val="hybridMultilevel"/>
    <w:tmpl w:val="073CFC44"/>
    <w:lvl w:ilvl="0" w:tplc="0C0A0017">
      <w:start w:val="1"/>
      <w:numFmt w:val="lowerLetter"/>
      <w:lvlText w:val="%1)"/>
      <w:lvlJc w:val="left"/>
      <w:pPr>
        <w:ind w:left="723" w:hanging="360"/>
      </w:pPr>
    </w:lvl>
    <w:lvl w:ilvl="1" w:tplc="0C0A0019" w:tentative="1">
      <w:start w:val="1"/>
      <w:numFmt w:val="lowerLetter"/>
      <w:lvlText w:val="%2."/>
      <w:lvlJc w:val="left"/>
      <w:pPr>
        <w:ind w:left="1443" w:hanging="360"/>
      </w:pPr>
    </w:lvl>
    <w:lvl w:ilvl="2" w:tplc="0C0A001B" w:tentative="1">
      <w:start w:val="1"/>
      <w:numFmt w:val="lowerRoman"/>
      <w:lvlText w:val="%3."/>
      <w:lvlJc w:val="right"/>
      <w:pPr>
        <w:ind w:left="2163" w:hanging="180"/>
      </w:pPr>
    </w:lvl>
    <w:lvl w:ilvl="3" w:tplc="0C0A000F" w:tentative="1">
      <w:start w:val="1"/>
      <w:numFmt w:val="decimal"/>
      <w:lvlText w:val="%4."/>
      <w:lvlJc w:val="left"/>
      <w:pPr>
        <w:ind w:left="2883" w:hanging="360"/>
      </w:pPr>
    </w:lvl>
    <w:lvl w:ilvl="4" w:tplc="0C0A0019" w:tentative="1">
      <w:start w:val="1"/>
      <w:numFmt w:val="lowerLetter"/>
      <w:lvlText w:val="%5."/>
      <w:lvlJc w:val="left"/>
      <w:pPr>
        <w:ind w:left="3603" w:hanging="360"/>
      </w:pPr>
    </w:lvl>
    <w:lvl w:ilvl="5" w:tplc="0C0A001B" w:tentative="1">
      <w:start w:val="1"/>
      <w:numFmt w:val="lowerRoman"/>
      <w:lvlText w:val="%6."/>
      <w:lvlJc w:val="right"/>
      <w:pPr>
        <w:ind w:left="4323" w:hanging="180"/>
      </w:pPr>
    </w:lvl>
    <w:lvl w:ilvl="6" w:tplc="0C0A000F" w:tentative="1">
      <w:start w:val="1"/>
      <w:numFmt w:val="decimal"/>
      <w:lvlText w:val="%7."/>
      <w:lvlJc w:val="left"/>
      <w:pPr>
        <w:ind w:left="5043" w:hanging="360"/>
      </w:pPr>
    </w:lvl>
    <w:lvl w:ilvl="7" w:tplc="0C0A0019" w:tentative="1">
      <w:start w:val="1"/>
      <w:numFmt w:val="lowerLetter"/>
      <w:lvlText w:val="%8."/>
      <w:lvlJc w:val="left"/>
      <w:pPr>
        <w:ind w:left="5763" w:hanging="360"/>
      </w:pPr>
    </w:lvl>
    <w:lvl w:ilvl="8" w:tplc="0C0A001B" w:tentative="1">
      <w:start w:val="1"/>
      <w:numFmt w:val="lowerRoman"/>
      <w:lvlText w:val="%9."/>
      <w:lvlJc w:val="right"/>
      <w:pPr>
        <w:ind w:left="6483" w:hanging="180"/>
      </w:pPr>
    </w:lvl>
  </w:abstractNum>
  <w:abstractNum w:abstractNumId="1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067C2E"/>
    <w:multiLevelType w:val="multilevel"/>
    <w:tmpl w:val="77D2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D708A7"/>
    <w:multiLevelType w:val="multilevel"/>
    <w:tmpl w:val="3188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3F2131"/>
    <w:multiLevelType w:val="hybridMultilevel"/>
    <w:tmpl w:val="87FAEA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E9325FB"/>
    <w:multiLevelType w:val="multilevel"/>
    <w:tmpl w:val="6D44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E87339"/>
    <w:multiLevelType w:val="hybridMultilevel"/>
    <w:tmpl w:val="53267210"/>
    <w:lvl w:ilvl="0" w:tplc="42C63AE2">
      <w:start w:val="1"/>
      <w:numFmt w:val="lowerLetter"/>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21" w15:restartNumberingAfterBreak="0">
    <w:nsid w:val="4FC756D1"/>
    <w:multiLevelType w:val="hybridMultilevel"/>
    <w:tmpl w:val="14988DDA"/>
    <w:lvl w:ilvl="0" w:tplc="EF6247C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A424DDD"/>
    <w:multiLevelType w:val="multilevel"/>
    <w:tmpl w:val="C070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4F574F"/>
    <w:multiLevelType w:val="hybridMultilevel"/>
    <w:tmpl w:val="EFB47FA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650F3F47"/>
    <w:multiLevelType w:val="hybridMultilevel"/>
    <w:tmpl w:val="85326E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27" w15:restartNumberingAfterBreak="0">
    <w:nsid w:val="695D6E56"/>
    <w:multiLevelType w:val="hybridMultilevel"/>
    <w:tmpl w:val="05B8DF1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abstractNumId w:val="28"/>
  </w:num>
  <w:num w:numId="2">
    <w:abstractNumId w:val="28"/>
  </w:num>
  <w:num w:numId="3">
    <w:abstractNumId w:val="26"/>
  </w:num>
  <w:num w:numId="4">
    <w:abstractNumId w:val="28"/>
  </w:num>
  <w:num w:numId="5">
    <w:abstractNumId w:val="19"/>
  </w:num>
  <w:num w:numId="6">
    <w:abstractNumId w:val="23"/>
  </w:num>
  <w:num w:numId="7">
    <w:abstractNumId w:val="13"/>
  </w:num>
  <w:num w:numId="8">
    <w:abstractNumId w:val="11"/>
  </w:num>
  <w:num w:numId="9">
    <w:abstractNumId w:val="18"/>
  </w:num>
  <w:num w:numId="10">
    <w:abstractNumId w:val="17"/>
  </w:num>
  <w:num w:numId="11">
    <w:abstractNumId w:val="10"/>
  </w:num>
  <w:num w:numId="12">
    <w:abstractNumId w:val="16"/>
  </w:num>
  <w:num w:numId="13">
    <w:abstractNumId w:val="22"/>
  </w:num>
  <w:num w:numId="14">
    <w:abstractNumId w:val="25"/>
  </w:num>
  <w:num w:numId="15">
    <w:abstractNumId w:val="12"/>
  </w:num>
  <w:num w:numId="16">
    <w:abstractNumId w:val="14"/>
  </w:num>
  <w:num w:numId="17">
    <w:abstractNumId w:val="15"/>
  </w:num>
  <w:num w:numId="18">
    <w:abstractNumId w:val="21"/>
  </w:num>
  <w:num w:numId="19">
    <w:abstractNumId w:val="1"/>
  </w:num>
  <w:num w:numId="20">
    <w:abstractNumId w:val="0"/>
  </w:num>
  <w:num w:numId="21">
    <w:abstractNumId w:val="27"/>
  </w:num>
  <w:num w:numId="22">
    <w:abstractNumId w:val="2"/>
  </w:num>
  <w:num w:numId="23">
    <w:abstractNumId w:val="4"/>
  </w:num>
  <w:num w:numId="24">
    <w:abstractNumId w:val="3"/>
  </w:num>
  <w:num w:numId="25">
    <w:abstractNumId w:val="5"/>
  </w:num>
  <w:num w:numId="26">
    <w:abstractNumId w:val="7"/>
  </w:num>
  <w:num w:numId="27">
    <w:abstractNumId w:val="6"/>
  </w:num>
  <w:num w:numId="28">
    <w:abstractNumId w:val="8"/>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0"/>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01938"/>
    <w:rsid w:val="00020E2A"/>
    <w:rsid w:val="00022371"/>
    <w:rsid w:val="00025552"/>
    <w:rsid w:val="00025C11"/>
    <w:rsid w:val="0003023E"/>
    <w:rsid w:val="0004016D"/>
    <w:rsid w:val="000434BF"/>
    <w:rsid w:val="00047DC8"/>
    <w:rsid w:val="00050699"/>
    <w:rsid w:val="00050CE9"/>
    <w:rsid w:val="000608E9"/>
    <w:rsid w:val="00065430"/>
    <w:rsid w:val="00065609"/>
    <w:rsid w:val="00076BA4"/>
    <w:rsid w:val="00082FDA"/>
    <w:rsid w:val="00085953"/>
    <w:rsid w:val="00085F00"/>
    <w:rsid w:val="00086FBB"/>
    <w:rsid w:val="0008734E"/>
    <w:rsid w:val="00090D1D"/>
    <w:rsid w:val="00090F9C"/>
    <w:rsid w:val="0009163E"/>
    <w:rsid w:val="00091D7B"/>
    <w:rsid w:val="000A1B70"/>
    <w:rsid w:val="000A3663"/>
    <w:rsid w:val="000B5880"/>
    <w:rsid w:val="000B59AD"/>
    <w:rsid w:val="000B7B99"/>
    <w:rsid w:val="000C583B"/>
    <w:rsid w:val="000C5C37"/>
    <w:rsid w:val="000C7C0A"/>
    <w:rsid w:val="000E2437"/>
    <w:rsid w:val="000E2EDD"/>
    <w:rsid w:val="000E3C88"/>
    <w:rsid w:val="000F4C65"/>
    <w:rsid w:val="000F5FDA"/>
    <w:rsid w:val="00104521"/>
    <w:rsid w:val="0010651A"/>
    <w:rsid w:val="00107660"/>
    <w:rsid w:val="00112C20"/>
    <w:rsid w:val="00117F9E"/>
    <w:rsid w:val="001216BA"/>
    <w:rsid w:val="00123108"/>
    <w:rsid w:val="00124964"/>
    <w:rsid w:val="00125FB1"/>
    <w:rsid w:val="00133827"/>
    <w:rsid w:val="00134849"/>
    <w:rsid w:val="0014033D"/>
    <w:rsid w:val="00142447"/>
    <w:rsid w:val="00144F48"/>
    <w:rsid w:val="00145BB5"/>
    <w:rsid w:val="00147541"/>
    <w:rsid w:val="001501E5"/>
    <w:rsid w:val="00151F7B"/>
    <w:rsid w:val="00152976"/>
    <w:rsid w:val="00152D8F"/>
    <w:rsid w:val="0016496B"/>
    <w:rsid w:val="00165781"/>
    <w:rsid w:val="0017196C"/>
    <w:rsid w:val="00172630"/>
    <w:rsid w:val="00173595"/>
    <w:rsid w:val="0017383F"/>
    <w:rsid w:val="00180B3A"/>
    <w:rsid w:val="00181511"/>
    <w:rsid w:val="00182669"/>
    <w:rsid w:val="00182B19"/>
    <w:rsid w:val="00183614"/>
    <w:rsid w:val="00193F44"/>
    <w:rsid w:val="00195206"/>
    <w:rsid w:val="001968E4"/>
    <w:rsid w:val="00197D6D"/>
    <w:rsid w:val="001A1F70"/>
    <w:rsid w:val="001A68C5"/>
    <w:rsid w:val="001B21E2"/>
    <w:rsid w:val="001B222F"/>
    <w:rsid w:val="001B662D"/>
    <w:rsid w:val="001B7412"/>
    <w:rsid w:val="001C2224"/>
    <w:rsid w:val="001D00B9"/>
    <w:rsid w:val="001D3A1F"/>
    <w:rsid w:val="001E05A6"/>
    <w:rsid w:val="001E1701"/>
    <w:rsid w:val="001E1B4D"/>
    <w:rsid w:val="001E6BCE"/>
    <w:rsid w:val="001F1E89"/>
    <w:rsid w:val="001F4FA8"/>
    <w:rsid w:val="00202E93"/>
    <w:rsid w:val="00204E90"/>
    <w:rsid w:val="00205DD7"/>
    <w:rsid w:val="0021456F"/>
    <w:rsid w:val="002145E8"/>
    <w:rsid w:val="002153FC"/>
    <w:rsid w:val="00220704"/>
    <w:rsid w:val="00220B4F"/>
    <w:rsid w:val="00221FE1"/>
    <w:rsid w:val="00223DD1"/>
    <w:rsid w:val="00223F69"/>
    <w:rsid w:val="00224A06"/>
    <w:rsid w:val="00227086"/>
    <w:rsid w:val="002306CA"/>
    <w:rsid w:val="002346FF"/>
    <w:rsid w:val="00234DA8"/>
    <w:rsid w:val="002353F6"/>
    <w:rsid w:val="0024090A"/>
    <w:rsid w:val="00246E25"/>
    <w:rsid w:val="002577D5"/>
    <w:rsid w:val="00261418"/>
    <w:rsid w:val="00261A47"/>
    <w:rsid w:val="00263032"/>
    <w:rsid w:val="0026500B"/>
    <w:rsid w:val="00271CEC"/>
    <w:rsid w:val="00272110"/>
    <w:rsid w:val="00272B72"/>
    <w:rsid w:val="00275351"/>
    <w:rsid w:val="00281952"/>
    <w:rsid w:val="002911C8"/>
    <w:rsid w:val="002911CE"/>
    <w:rsid w:val="00295879"/>
    <w:rsid w:val="00295E8B"/>
    <w:rsid w:val="00297F7E"/>
    <w:rsid w:val="002A1C6C"/>
    <w:rsid w:val="002A3290"/>
    <w:rsid w:val="002A34C5"/>
    <w:rsid w:val="002B3383"/>
    <w:rsid w:val="002B5C35"/>
    <w:rsid w:val="002C2FD3"/>
    <w:rsid w:val="002C6603"/>
    <w:rsid w:val="002D4B12"/>
    <w:rsid w:val="002D7687"/>
    <w:rsid w:val="002E2248"/>
    <w:rsid w:val="002E23C0"/>
    <w:rsid w:val="002E3845"/>
    <w:rsid w:val="002E390B"/>
    <w:rsid w:val="002E736A"/>
    <w:rsid w:val="002F1AF0"/>
    <w:rsid w:val="002F6510"/>
    <w:rsid w:val="0030044B"/>
    <w:rsid w:val="00303487"/>
    <w:rsid w:val="00303771"/>
    <w:rsid w:val="00304BE9"/>
    <w:rsid w:val="0030576E"/>
    <w:rsid w:val="0030677C"/>
    <w:rsid w:val="003144E8"/>
    <w:rsid w:val="00316273"/>
    <w:rsid w:val="003203B5"/>
    <w:rsid w:val="00322D65"/>
    <w:rsid w:val="00330A7D"/>
    <w:rsid w:val="00331373"/>
    <w:rsid w:val="00333465"/>
    <w:rsid w:val="0033393D"/>
    <w:rsid w:val="00334495"/>
    <w:rsid w:val="003365B9"/>
    <w:rsid w:val="003365CF"/>
    <w:rsid w:val="00341B4D"/>
    <w:rsid w:val="003421C6"/>
    <w:rsid w:val="00343D81"/>
    <w:rsid w:val="003449F7"/>
    <w:rsid w:val="00346F51"/>
    <w:rsid w:val="00347B8A"/>
    <w:rsid w:val="00351B9C"/>
    <w:rsid w:val="003611D6"/>
    <w:rsid w:val="00373D5C"/>
    <w:rsid w:val="003859D7"/>
    <w:rsid w:val="0039181C"/>
    <w:rsid w:val="003953F8"/>
    <w:rsid w:val="00397118"/>
    <w:rsid w:val="003A2849"/>
    <w:rsid w:val="003A2CAC"/>
    <w:rsid w:val="003A351B"/>
    <w:rsid w:val="003A4C61"/>
    <w:rsid w:val="003B06D4"/>
    <w:rsid w:val="003B24E1"/>
    <w:rsid w:val="003B552A"/>
    <w:rsid w:val="003C06EB"/>
    <w:rsid w:val="003C07CB"/>
    <w:rsid w:val="003C2313"/>
    <w:rsid w:val="003C243B"/>
    <w:rsid w:val="003C3588"/>
    <w:rsid w:val="003D254F"/>
    <w:rsid w:val="003D2887"/>
    <w:rsid w:val="003D5072"/>
    <w:rsid w:val="003D5C80"/>
    <w:rsid w:val="003D5D79"/>
    <w:rsid w:val="003D5E08"/>
    <w:rsid w:val="003D77B8"/>
    <w:rsid w:val="003D791C"/>
    <w:rsid w:val="003D7D20"/>
    <w:rsid w:val="003D7FC2"/>
    <w:rsid w:val="003E4A22"/>
    <w:rsid w:val="003E5109"/>
    <w:rsid w:val="00402B16"/>
    <w:rsid w:val="004050D1"/>
    <w:rsid w:val="004064D1"/>
    <w:rsid w:val="00406559"/>
    <w:rsid w:val="00407C7A"/>
    <w:rsid w:val="004110CF"/>
    <w:rsid w:val="00413576"/>
    <w:rsid w:val="004147DD"/>
    <w:rsid w:val="0041514D"/>
    <w:rsid w:val="00416B2E"/>
    <w:rsid w:val="004230A2"/>
    <w:rsid w:val="00424549"/>
    <w:rsid w:val="00426DC4"/>
    <w:rsid w:val="00430422"/>
    <w:rsid w:val="0043096D"/>
    <w:rsid w:val="00434DC3"/>
    <w:rsid w:val="00437904"/>
    <w:rsid w:val="0044312A"/>
    <w:rsid w:val="00447073"/>
    <w:rsid w:val="004526EC"/>
    <w:rsid w:val="00454FD7"/>
    <w:rsid w:val="004561F3"/>
    <w:rsid w:val="00464A2E"/>
    <w:rsid w:val="00466F56"/>
    <w:rsid w:val="0047131F"/>
    <w:rsid w:val="00471FA2"/>
    <w:rsid w:val="00477FDB"/>
    <w:rsid w:val="00481B7B"/>
    <w:rsid w:val="00483004"/>
    <w:rsid w:val="004849C4"/>
    <w:rsid w:val="00491BCF"/>
    <w:rsid w:val="004920CE"/>
    <w:rsid w:val="00493384"/>
    <w:rsid w:val="00493D8A"/>
    <w:rsid w:val="0049510A"/>
    <w:rsid w:val="00496A67"/>
    <w:rsid w:val="00497008"/>
    <w:rsid w:val="004A1670"/>
    <w:rsid w:val="004A2AB4"/>
    <w:rsid w:val="004A2F4C"/>
    <w:rsid w:val="004B361E"/>
    <w:rsid w:val="004B4061"/>
    <w:rsid w:val="004B4336"/>
    <w:rsid w:val="004B5B02"/>
    <w:rsid w:val="004B772E"/>
    <w:rsid w:val="004B7731"/>
    <w:rsid w:val="004C57C3"/>
    <w:rsid w:val="004C62B2"/>
    <w:rsid w:val="004D0FB4"/>
    <w:rsid w:val="004D5B60"/>
    <w:rsid w:val="004E06A6"/>
    <w:rsid w:val="004E5E02"/>
    <w:rsid w:val="004E7525"/>
    <w:rsid w:val="004F5649"/>
    <w:rsid w:val="004F5D59"/>
    <w:rsid w:val="004F6100"/>
    <w:rsid w:val="004F751B"/>
    <w:rsid w:val="00503E3D"/>
    <w:rsid w:val="00505D47"/>
    <w:rsid w:val="0050615A"/>
    <w:rsid w:val="00510424"/>
    <w:rsid w:val="005125AC"/>
    <w:rsid w:val="00517D5E"/>
    <w:rsid w:val="0052421B"/>
    <w:rsid w:val="00524833"/>
    <w:rsid w:val="00524A46"/>
    <w:rsid w:val="00532C9D"/>
    <w:rsid w:val="00535C5E"/>
    <w:rsid w:val="00543885"/>
    <w:rsid w:val="00545C39"/>
    <w:rsid w:val="00552FC3"/>
    <w:rsid w:val="005574AD"/>
    <w:rsid w:val="00562258"/>
    <w:rsid w:val="00565501"/>
    <w:rsid w:val="005670CD"/>
    <w:rsid w:val="0056779F"/>
    <w:rsid w:val="00585722"/>
    <w:rsid w:val="0058681C"/>
    <w:rsid w:val="00595258"/>
    <w:rsid w:val="005A04F4"/>
    <w:rsid w:val="005A087B"/>
    <w:rsid w:val="005A2E75"/>
    <w:rsid w:val="005A740C"/>
    <w:rsid w:val="005B1D06"/>
    <w:rsid w:val="005B4717"/>
    <w:rsid w:val="005B4748"/>
    <w:rsid w:val="005B5A70"/>
    <w:rsid w:val="005B5AF0"/>
    <w:rsid w:val="005C4A0F"/>
    <w:rsid w:val="005C74B8"/>
    <w:rsid w:val="005D3D41"/>
    <w:rsid w:val="005D4097"/>
    <w:rsid w:val="005E0C12"/>
    <w:rsid w:val="005E553A"/>
    <w:rsid w:val="005F4E7B"/>
    <w:rsid w:val="005F6859"/>
    <w:rsid w:val="0060080B"/>
    <w:rsid w:val="0060218B"/>
    <w:rsid w:val="00602D70"/>
    <w:rsid w:val="00605E71"/>
    <w:rsid w:val="00607513"/>
    <w:rsid w:val="006100FC"/>
    <w:rsid w:val="00610C49"/>
    <w:rsid w:val="00627384"/>
    <w:rsid w:val="00630B4B"/>
    <w:rsid w:val="00633CFB"/>
    <w:rsid w:val="00645F04"/>
    <w:rsid w:val="00654627"/>
    <w:rsid w:val="006618CD"/>
    <w:rsid w:val="006650F7"/>
    <w:rsid w:val="00665D78"/>
    <w:rsid w:val="0067127E"/>
    <w:rsid w:val="00672483"/>
    <w:rsid w:val="006727DA"/>
    <w:rsid w:val="00672DD5"/>
    <w:rsid w:val="006767D4"/>
    <w:rsid w:val="00681A2B"/>
    <w:rsid w:val="00683912"/>
    <w:rsid w:val="00684FE2"/>
    <w:rsid w:val="00685336"/>
    <w:rsid w:val="00686F0A"/>
    <w:rsid w:val="0069581E"/>
    <w:rsid w:val="006A6949"/>
    <w:rsid w:val="006A6D40"/>
    <w:rsid w:val="006A71FC"/>
    <w:rsid w:val="006B13DD"/>
    <w:rsid w:val="006B231D"/>
    <w:rsid w:val="006B4B71"/>
    <w:rsid w:val="006B60AB"/>
    <w:rsid w:val="006B7977"/>
    <w:rsid w:val="006B7B94"/>
    <w:rsid w:val="006C23EB"/>
    <w:rsid w:val="006C3697"/>
    <w:rsid w:val="006C678F"/>
    <w:rsid w:val="006D4708"/>
    <w:rsid w:val="006D5409"/>
    <w:rsid w:val="006D75D1"/>
    <w:rsid w:val="006E4DCC"/>
    <w:rsid w:val="006E6252"/>
    <w:rsid w:val="006F1644"/>
    <w:rsid w:val="006F2856"/>
    <w:rsid w:val="006F39E0"/>
    <w:rsid w:val="006F5125"/>
    <w:rsid w:val="006F7605"/>
    <w:rsid w:val="00700504"/>
    <w:rsid w:val="007104B1"/>
    <w:rsid w:val="007114AF"/>
    <w:rsid w:val="00713BB6"/>
    <w:rsid w:val="00715C32"/>
    <w:rsid w:val="00716D6A"/>
    <w:rsid w:val="007175AE"/>
    <w:rsid w:val="007176D1"/>
    <w:rsid w:val="00721E88"/>
    <w:rsid w:val="007246BB"/>
    <w:rsid w:val="00731BC6"/>
    <w:rsid w:val="007378FC"/>
    <w:rsid w:val="00740CCA"/>
    <w:rsid w:val="0074348D"/>
    <w:rsid w:val="00750942"/>
    <w:rsid w:val="00753504"/>
    <w:rsid w:val="0075373E"/>
    <w:rsid w:val="00754EAF"/>
    <w:rsid w:val="007714A0"/>
    <w:rsid w:val="00771F0A"/>
    <w:rsid w:val="00774937"/>
    <w:rsid w:val="00775119"/>
    <w:rsid w:val="007751BB"/>
    <w:rsid w:val="007817DA"/>
    <w:rsid w:val="00781E63"/>
    <w:rsid w:val="00782700"/>
    <w:rsid w:val="0079185C"/>
    <w:rsid w:val="007A076C"/>
    <w:rsid w:val="007A46AE"/>
    <w:rsid w:val="007A5496"/>
    <w:rsid w:val="007B52AA"/>
    <w:rsid w:val="007B7C0E"/>
    <w:rsid w:val="007C0B4B"/>
    <w:rsid w:val="007D2DCF"/>
    <w:rsid w:val="007D42D1"/>
    <w:rsid w:val="007D56F8"/>
    <w:rsid w:val="007E20C2"/>
    <w:rsid w:val="007E28FA"/>
    <w:rsid w:val="007E578A"/>
    <w:rsid w:val="007E6BB7"/>
    <w:rsid w:val="007E6D18"/>
    <w:rsid w:val="007F043F"/>
    <w:rsid w:val="007F353E"/>
    <w:rsid w:val="008000EF"/>
    <w:rsid w:val="0080117E"/>
    <w:rsid w:val="00807DFB"/>
    <w:rsid w:val="00811085"/>
    <w:rsid w:val="00817344"/>
    <w:rsid w:val="00820B9A"/>
    <w:rsid w:val="008234EF"/>
    <w:rsid w:val="00827390"/>
    <w:rsid w:val="00830EDA"/>
    <w:rsid w:val="00831ECC"/>
    <w:rsid w:val="008353F0"/>
    <w:rsid w:val="00836DC4"/>
    <w:rsid w:val="00842EFE"/>
    <w:rsid w:val="00845E48"/>
    <w:rsid w:val="00847F33"/>
    <w:rsid w:val="00850F22"/>
    <w:rsid w:val="0085264D"/>
    <w:rsid w:val="00852A2D"/>
    <w:rsid w:val="00853B84"/>
    <w:rsid w:val="00854D2C"/>
    <w:rsid w:val="00860725"/>
    <w:rsid w:val="008608C7"/>
    <w:rsid w:val="008623CD"/>
    <w:rsid w:val="00863B34"/>
    <w:rsid w:val="00864569"/>
    <w:rsid w:val="008703B3"/>
    <w:rsid w:val="00882774"/>
    <w:rsid w:val="00885D21"/>
    <w:rsid w:val="00886BA5"/>
    <w:rsid w:val="00887760"/>
    <w:rsid w:val="00890B27"/>
    <w:rsid w:val="008918B8"/>
    <w:rsid w:val="00894751"/>
    <w:rsid w:val="00896C67"/>
    <w:rsid w:val="008A536C"/>
    <w:rsid w:val="008A5EC4"/>
    <w:rsid w:val="008B0064"/>
    <w:rsid w:val="008B0C06"/>
    <w:rsid w:val="008B2E23"/>
    <w:rsid w:val="008B70F1"/>
    <w:rsid w:val="008C041D"/>
    <w:rsid w:val="008E122E"/>
    <w:rsid w:val="008F1674"/>
    <w:rsid w:val="008F5862"/>
    <w:rsid w:val="008F5FF0"/>
    <w:rsid w:val="00907448"/>
    <w:rsid w:val="00910847"/>
    <w:rsid w:val="00911CF6"/>
    <w:rsid w:val="00911E97"/>
    <w:rsid w:val="00912F5E"/>
    <w:rsid w:val="0091306D"/>
    <w:rsid w:val="0091484E"/>
    <w:rsid w:val="00916BB7"/>
    <w:rsid w:val="00916FD1"/>
    <w:rsid w:val="00925F68"/>
    <w:rsid w:val="009261C9"/>
    <w:rsid w:val="009309D6"/>
    <w:rsid w:val="00930CA5"/>
    <w:rsid w:val="00933808"/>
    <w:rsid w:val="0094562E"/>
    <w:rsid w:val="009458FC"/>
    <w:rsid w:val="00946322"/>
    <w:rsid w:val="0095160D"/>
    <w:rsid w:val="00952699"/>
    <w:rsid w:val="009545CE"/>
    <w:rsid w:val="00956EEE"/>
    <w:rsid w:val="00960A15"/>
    <w:rsid w:val="00963075"/>
    <w:rsid w:val="009660E0"/>
    <w:rsid w:val="009665B2"/>
    <w:rsid w:val="00974BB8"/>
    <w:rsid w:val="00975D4D"/>
    <w:rsid w:val="00981552"/>
    <w:rsid w:val="00982990"/>
    <w:rsid w:val="009865C3"/>
    <w:rsid w:val="009938E7"/>
    <w:rsid w:val="009A11C2"/>
    <w:rsid w:val="009A1CE3"/>
    <w:rsid w:val="009A47D2"/>
    <w:rsid w:val="009A6099"/>
    <w:rsid w:val="009A66EB"/>
    <w:rsid w:val="009B1250"/>
    <w:rsid w:val="009B23B0"/>
    <w:rsid w:val="009B2544"/>
    <w:rsid w:val="009B6681"/>
    <w:rsid w:val="009B7232"/>
    <w:rsid w:val="009B76A5"/>
    <w:rsid w:val="009B775D"/>
    <w:rsid w:val="009C0D78"/>
    <w:rsid w:val="009C1122"/>
    <w:rsid w:val="009C37BC"/>
    <w:rsid w:val="009C5EAF"/>
    <w:rsid w:val="009C61E3"/>
    <w:rsid w:val="009D35CC"/>
    <w:rsid w:val="009D367C"/>
    <w:rsid w:val="009D4BBA"/>
    <w:rsid w:val="009D7EDA"/>
    <w:rsid w:val="009E1177"/>
    <w:rsid w:val="009E3B63"/>
    <w:rsid w:val="009F4AD6"/>
    <w:rsid w:val="00A03B24"/>
    <w:rsid w:val="00A06F7D"/>
    <w:rsid w:val="00A146D9"/>
    <w:rsid w:val="00A1608D"/>
    <w:rsid w:val="00A176E0"/>
    <w:rsid w:val="00A21C9C"/>
    <w:rsid w:val="00A27F5E"/>
    <w:rsid w:val="00A30605"/>
    <w:rsid w:val="00A325D1"/>
    <w:rsid w:val="00A4096A"/>
    <w:rsid w:val="00A53363"/>
    <w:rsid w:val="00A5409D"/>
    <w:rsid w:val="00A81946"/>
    <w:rsid w:val="00A91DE3"/>
    <w:rsid w:val="00A950B0"/>
    <w:rsid w:val="00A97D13"/>
    <w:rsid w:val="00AA0260"/>
    <w:rsid w:val="00AA08C2"/>
    <w:rsid w:val="00AA2F80"/>
    <w:rsid w:val="00AA5929"/>
    <w:rsid w:val="00AA5C74"/>
    <w:rsid w:val="00AA7AB5"/>
    <w:rsid w:val="00AB5F01"/>
    <w:rsid w:val="00AB7E43"/>
    <w:rsid w:val="00AC316F"/>
    <w:rsid w:val="00AC3F67"/>
    <w:rsid w:val="00AC69A1"/>
    <w:rsid w:val="00AD261E"/>
    <w:rsid w:val="00AD5E12"/>
    <w:rsid w:val="00AD60EA"/>
    <w:rsid w:val="00AD6402"/>
    <w:rsid w:val="00AD65D8"/>
    <w:rsid w:val="00AE2044"/>
    <w:rsid w:val="00AE2C83"/>
    <w:rsid w:val="00AE7B1F"/>
    <w:rsid w:val="00AE7E02"/>
    <w:rsid w:val="00AF263C"/>
    <w:rsid w:val="00B137E3"/>
    <w:rsid w:val="00B16920"/>
    <w:rsid w:val="00B177DB"/>
    <w:rsid w:val="00B22B68"/>
    <w:rsid w:val="00B23EAF"/>
    <w:rsid w:val="00B25515"/>
    <w:rsid w:val="00B268F6"/>
    <w:rsid w:val="00B338AC"/>
    <w:rsid w:val="00B36021"/>
    <w:rsid w:val="00B40CEE"/>
    <w:rsid w:val="00B41867"/>
    <w:rsid w:val="00B42341"/>
    <w:rsid w:val="00B55A7B"/>
    <w:rsid w:val="00B56F63"/>
    <w:rsid w:val="00B64DA1"/>
    <w:rsid w:val="00B71693"/>
    <w:rsid w:val="00B744E3"/>
    <w:rsid w:val="00B746EF"/>
    <w:rsid w:val="00B76696"/>
    <w:rsid w:val="00B84887"/>
    <w:rsid w:val="00B85C99"/>
    <w:rsid w:val="00B87433"/>
    <w:rsid w:val="00B90B2B"/>
    <w:rsid w:val="00B9412D"/>
    <w:rsid w:val="00B9697F"/>
    <w:rsid w:val="00BA08F9"/>
    <w:rsid w:val="00BA3EFF"/>
    <w:rsid w:val="00BA75F7"/>
    <w:rsid w:val="00BB530D"/>
    <w:rsid w:val="00BB5773"/>
    <w:rsid w:val="00BB6A08"/>
    <w:rsid w:val="00BB7BA1"/>
    <w:rsid w:val="00BC41FC"/>
    <w:rsid w:val="00BC4645"/>
    <w:rsid w:val="00BC5313"/>
    <w:rsid w:val="00BD070E"/>
    <w:rsid w:val="00BD0EA9"/>
    <w:rsid w:val="00BD1EEF"/>
    <w:rsid w:val="00BD54CB"/>
    <w:rsid w:val="00BE1650"/>
    <w:rsid w:val="00BE31A8"/>
    <w:rsid w:val="00BE43AB"/>
    <w:rsid w:val="00BE5540"/>
    <w:rsid w:val="00BE70E0"/>
    <w:rsid w:val="00BE7FDB"/>
    <w:rsid w:val="00BF0BEB"/>
    <w:rsid w:val="00BF2B31"/>
    <w:rsid w:val="00BF5DF1"/>
    <w:rsid w:val="00BF7022"/>
    <w:rsid w:val="00C00863"/>
    <w:rsid w:val="00C023EB"/>
    <w:rsid w:val="00C109E7"/>
    <w:rsid w:val="00C21949"/>
    <w:rsid w:val="00C2517F"/>
    <w:rsid w:val="00C32147"/>
    <w:rsid w:val="00C346ED"/>
    <w:rsid w:val="00C36275"/>
    <w:rsid w:val="00C41141"/>
    <w:rsid w:val="00C41F3A"/>
    <w:rsid w:val="00C448AF"/>
    <w:rsid w:val="00C70A89"/>
    <w:rsid w:val="00C74D3F"/>
    <w:rsid w:val="00C75706"/>
    <w:rsid w:val="00C8343E"/>
    <w:rsid w:val="00C96B83"/>
    <w:rsid w:val="00CA4A48"/>
    <w:rsid w:val="00CA4CA9"/>
    <w:rsid w:val="00CB52AB"/>
    <w:rsid w:val="00CC0DE5"/>
    <w:rsid w:val="00CC2852"/>
    <w:rsid w:val="00CC3311"/>
    <w:rsid w:val="00CC54B5"/>
    <w:rsid w:val="00CC6DF5"/>
    <w:rsid w:val="00CD34C0"/>
    <w:rsid w:val="00CE68C8"/>
    <w:rsid w:val="00CE6ECC"/>
    <w:rsid w:val="00CF0DDA"/>
    <w:rsid w:val="00CF1237"/>
    <w:rsid w:val="00CF2570"/>
    <w:rsid w:val="00CF4D85"/>
    <w:rsid w:val="00CF6434"/>
    <w:rsid w:val="00D01AC0"/>
    <w:rsid w:val="00D01B87"/>
    <w:rsid w:val="00D04625"/>
    <w:rsid w:val="00D04B79"/>
    <w:rsid w:val="00D07FB3"/>
    <w:rsid w:val="00D114A9"/>
    <w:rsid w:val="00D11686"/>
    <w:rsid w:val="00D13555"/>
    <w:rsid w:val="00D14E28"/>
    <w:rsid w:val="00D252BC"/>
    <w:rsid w:val="00D32D98"/>
    <w:rsid w:val="00D32DDD"/>
    <w:rsid w:val="00D339CE"/>
    <w:rsid w:val="00D3438D"/>
    <w:rsid w:val="00D4005D"/>
    <w:rsid w:val="00D4636A"/>
    <w:rsid w:val="00D541D1"/>
    <w:rsid w:val="00D603F6"/>
    <w:rsid w:val="00D61E4C"/>
    <w:rsid w:val="00D61F64"/>
    <w:rsid w:val="00D635F0"/>
    <w:rsid w:val="00D676E7"/>
    <w:rsid w:val="00D744EA"/>
    <w:rsid w:val="00D76B78"/>
    <w:rsid w:val="00D77D0E"/>
    <w:rsid w:val="00D832F5"/>
    <w:rsid w:val="00D925FE"/>
    <w:rsid w:val="00D94307"/>
    <w:rsid w:val="00DA02D5"/>
    <w:rsid w:val="00DA3441"/>
    <w:rsid w:val="00DA43F3"/>
    <w:rsid w:val="00DA739B"/>
    <w:rsid w:val="00DB29CF"/>
    <w:rsid w:val="00DB53E4"/>
    <w:rsid w:val="00DB7E91"/>
    <w:rsid w:val="00DC18D8"/>
    <w:rsid w:val="00DC1E34"/>
    <w:rsid w:val="00DC39AA"/>
    <w:rsid w:val="00DC5752"/>
    <w:rsid w:val="00DD2B2F"/>
    <w:rsid w:val="00DD3067"/>
    <w:rsid w:val="00DE0F9A"/>
    <w:rsid w:val="00DE1032"/>
    <w:rsid w:val="00DE363E"/>
    <w:rsid w:val="00DF330F"/>
    <w:rsid w:val="00DF40C9"/>
    <w:rsid w:val="00DF4B0F"/>
    <w:rsid w:val="00E0400A"/>
    <w:rsid w:val="00E04888"/>
    <w:rsid w:val="00E07FD7"/>
    <w:rsid w:val="00E2505D"/>
    <w:rsid w:val="00E25968"/>
    <w:rsid w:val="00E26E89"/>
    <w:rsid w:val="00E27369"/>
    <w:rsid w:val="00E27D38"/>
    <w:rsid w:val="00E303B6"/>
    <w:rsid w:val="00E32160"/>
    <w:rsid w:val="00E378FD"/>
    <w:rsid w:val="00E50643"/>
    <w:rsid w:val="00E50EF6"/>
    <w:rsid w:val="00E55BF3"/>
    <w:rsid w:val="00E60D4D"/>
    <w:rsid w:val="00E650DF"/>
    <w:rsid w:val="00E75227"/>
    <w:rsid w:val="00E7667A"/>
    <w:rsid w:val="00E76921"/>
    <w:rsid w:val="00E82084"/>
    <w:rsid w:val="00E827E6"/>
    <w:rsid w:val="00E82B2C"/>
    <w:rsid w:val="00E851BA"/>
    <w:rsid w:val="00E952EB"/>
    <w:rsid w:val="00E9659B"/>
    <w:rsid w:val="00EA0CB8"/>
    <w:rsid w:val="00EA3899"/>
    <w:rsid w:val="00EB72F3"/>
    <w:rsid w:val="00EC12E9"/>
    <w:rsid w:val="00EC26B0"/>
    <w:rsid w:val="00EC642A"/>
    <w:rsid w:val="00ED5011"/>
    <w:rsid w:val="00ED668B"/>
    <w:rsid w:val="00ED6EB6"/>
    <w:rsid w:val="00EE4F62"/>
    <w:rsid w:val="00EE5776"/>
    <w:rsid w:val="00EF2112"/>
    <w:rsid w:val="00EF4E08"/>
    <w:rsid w:val="00EF4E90"/>
    <w:rsid w:val="00F06E7F"/>
    <w:rsid w:val="00F07925"/>
    <w:rsid w:val="00F10B94"/>
    <w:rsid w:val="00F142A4"/>
    <w:rsid w:val="00F15D9D"/>
    <w:rsid w:val="00F165CC"/>
    <w:rsid w:val="00F17834"/>
    <w:rsid w:val="00F20EA4"/>
    <w:rsid w:val="00F22BD6"/>
    <w:rsid w:val="00F329F5"/>
    <w:rsid w:val="00F3373F"/>
    <w:rsid w:val="00F36857"/>
    <w:rsid w:val="00F4386F"/>
    <w:rsid w:val="00F56343"/>
    <w:rsid w:val="00F61675"/>
    <w:rsid w:val="00F66BDA"/>
    <w:rsid w:val="00F702D2"/>
    <w:rsid w:val="00F7151F"/>
    <w:rsid w:val="00F71D28"/>
    <w:rsid w:val="00F72409"/>
    <w:rsid w:val="00F72991"/>
    <w:rsid w:val="00F72AC6"/>
    <w:rsid w:val="00F74524"/>
    <w:rsid w:val="00F7598A"/>
    <w:rsid w:val="00F86989"/>
    <w:rsid w:val="00F91C40"/>
    <w:rsid w:val="00F93275"/>
    <w:rsid w:val="00F93297"/>
    <w:rsid w:val="00F9395D"/>
    <w:rsid w:val="00FA654A"/>
    <w:rsid w:val="00FB0877"/>
    <w:rsid w:val="00FB0CFF"/>
    <w:rsid w:val="00FB4631"/>
    <w:rsid w:val="00FB7580"/>
    <w:rsid w:val="00FC07E6"/>
    <w:rsid w:val="00FC0B3A"/>
    <w:rsid w:val="00FC157F"/>
    <w:rsid w:val="00FC66C1"/>
    <w:rsid w:val="00FD49CC"/>
    <w:rsid w:val="00FE32BA"/>
    <w:rsid w:val="00FF3C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E17D31B"/>
  <w15:docId w15:val="{14E7F99B-F0DA-4644-A80B-B4910563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link w:val="PiedepginaCar"/>
    <w:uiPriority w:val="99"/>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character" w:styleId="Hipervnculo">
    <w:name w:val="Hyperlink"/>
    <w:uiPriority w:val="99"/>
    <w:unhideWhenUsed/>
    <w:rsid w:val="0091306D"/>
    <w:rPr>
      <w:strike w:val="0"/>
      <w:dstrike w:val="0"/>
      <w:color w:val="056AA4"/>
      <w:u w:val="none"/>
      <w:effect w:val="none"/>
    </w:rPr>
  </w:style>
  <w:style w:type="paragraph" w:styleId="Textodeglobo">
    <w:name w:val="Balloon Text"/>
    <w:basedOn w:val="Normal"/>
    <w:link w:val="TextodegloboCar"/>
    <w:uiPriority w:val="99"/>
    <w:semiHidden/>
    <w:unhideWhenUsed/>
    <w:rsid w:val="00946322"/>
    <w:pPr>
      <w:spacing w:after="0"/>
    </w:pPr>
    <w:rPr>
      <w:rFonts w:ascii="Tahoma" w:hAnsi="Tahoma" w:cs="Tahoma"/>
      <w:sz w:val="16"/>
      <w:szCs w:val="16"/>
    </w:rPr>
  </w:style>
  <w:style w:type="character" w:customStyle="1" w:styleId="TextodegloboCar">
    <w:name w:val="Texto de globo Car"/>
    <w:link w:val="Textodeglobo"/>
    <w:uiPriority w:val="99"/>
    <w:semiHidden/>
    <w:rsid w:val="00946322"/>
    <w:rPr>
      <w:rFonts w:ascii="Tahoma" w:hAnsi="Tahoma" w:cs="Tahoma"/>
      <w:sz w:val="16"/>
      <w:szCs w:val="16"/>
    </w:rPr>
  </w:style>
  <w:style w:type="paragraph" w:customStyle="1" w:styleId="Texto">
    <w:name w:val="Texto"/>
    <w:link w:val="TextoCar"/>
    <w:rsid w:val="009E1177"/>
    <w:pPr>
      <w:tabs>
        <w:tab w:val="left" w:pos="2325"/>
        <w:tab w:val="left" w:pos="4650"/>
      </w:tabs>
      <w:spacing w:before="120" w:after="120"/>
      <w:jc w:val="both"/>
    </w:pPr>
    <w:rPr>
      <w:rFonts w:ascii="Arial" w:hAnsi="Arial" w:cs="Arial"/>
      <w:noProof/>
      <w:sz w:val="22"/>
      <w:szCs w:val="22"/>
    </w:rPr>
  </w:style>
  <w:style w:type="character" w:customStyle="1" w:styleId="TextoCar">
    <w:name w:val="Texto Car"/>
    <w:basedOn w:val="Fuentedeprrafopredeter"/>
    <w:link w:val="Texto"/>
    <w:rsid w:val="009E1177"/>
    <w:rPr>
      <w:rFonts w:ascii="Arial" w:hAnsi="Arial" w:cs="Arial"/>
      <w:noProof/>
      <w:sz w:val="22"/>
      <w:szCs w:val="22"/>
    </w:rPr>
  </w:style>
  <w:style w:type="paragraph" w:styleId="Prrafodelista">
    <w:name w:val="List Paragraph"/>
    <w:basedOn w:val="Normal"/>
    <w:uiPriority w:val="34"/>
    <w:qFormat/>
    <w:rsid w:val="00713BB6"/>
    <w:pPr>
      <w:ind w:left="720"/>
      <w:contextualSpacing/>
    </w:pPr>
  </w:style>
  <w:style w:type="paragraph" w:customStyle="1" w:styleId="Default">
    <w:name w:val="Default"/>
    <w:rsid w:val="00303487"/>
    <w:pPr>
      <w:autoSpaceDE w:val="0"/>
      <w:autoSpaceDN w:val="0"/>
      <w:adjustRightInd w:val="0"/>
    </w:pPr>
    <w:rPr>
      <w:rFonts w:ascii="Arial" w:hAnsi="Arial" w:cs="Arial"/>
      <w:color w:val="000000"/>
      <w:sz w:val="24"/>
      <w:szCs w:val="24"/>
    </w:rPr>
  </w:style>
  <w:style w:type="paragraph" w:customStyle="1" w:styleId="xdefault">
    <w:name w:val="x_default"/>
    <w:basedOn w:val="Normal"/>
    <w:rsid w:val="00303487"/>
    <w:pPr>
      <w:spacing w:before="100" w:beforeAutospacing="1" w:after="100" w:afterAutospacing="1"/>
      <w:jc w:val="left"/>
    </w:pPr>
    <w:rPr>
      <w:sz w:val="24"/>
      <w:szCs w:val="24"/>
    </w:rPr>
  </w:style>
  <w:style w:type="character" w:customStyle="1" w:styleId="EncabezadoCar">
    <w:name w:val="Encabezado Car"/>
    <w:link w:val="Encabezado"/>
    <w:semiHidden/>
    <w:rsid w:val="00BA3EFF"/>
    <w:rPr>
      <w:sz w:val="22"/>
    </w:rPr>
  </w:style>
  <w:style w:type="character" w:customStyle="1" w:styleId="PiedepginaCar">
    <w:name w:val="Pie de página Car"/>
    <w:basedOn w:val="Fuentedeprrafopredeter"/>
    <w:link w:val="Piedepgina"/>
    <w:uiPriority w:val="99"/>
    <w:rsid w:val="00BA3EFF"/>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120326">
      <w:bodyDiv w:val="1"/>
      <w:marLeft w:val="0"/>
      <w:marRight w:val="0"/>
      <w:marTop w:val="0"/>
      <w:marBottom w:val="0"/>
      <w:divBdr>
        <w:top w:val="none" w:sz="0" w:space="0" w:color="auto"/>
        <w:left w:val="none" w:sz="0" w:space="0" w:color="auto"/>
        <w:bottom w:val="none" w:sz="0" w:space="0" w:color="auto"/>
        <w:right w:val="none" w:sz="0" w:space="0" w:color="auto"/>
      </w:divBdr>
      <w:divsChild>
        <w:div w:id="1372807872">
          <w:marLeft w:val="0"/>
          <w:marRight w:val="0"/>
          <w:marTop w:val="0"/>
          <w:marBottom w:val="0"/>
          <w:divBdr>
            <w:top w:val="none" w:sz="0" w:space="0" w:color="auto"/>
            <w:left w:val="none" w:sz="0" w:space="0" w:color="auto"/>
            <w:bottom w:val="none" w:sz="0" w:space="0" w:color="auto"/>
            <w:right w:val="none" w:sz="0" w:space="0" w:color="auto"/>
          </w:divBdr>
          <w:divsChild>
            <w:div w:id="295525725">
              <w:marLeft w:val="0"/>
              <w:marRight w:val="0"/>
              <w:marTop w:val="0"/>
              <w:marBottom w:val="0"/>
              <w:divBdr>
                <w:top w:val="none" w:sz="0" w:space="0" w:color="auto"/>
                <w:left w:val="none" w:sz="0" w:space="0" w:color="auto"/>
                <w:bottom w:val="none" w:sz="0" w:space="0" w:color="auto"/>
                <w:right w:val="none" w:sz="0" w:space="0" w:color="auto"/>
              </w:divBdr>
              <w:divsChild>
                <w:div w:id="1189485610">
                  <w:marLeft w:val="0"/>
                  <w:marRight w:val="0"/>
                  <w:marTop w:val="0"/>
                  <w:marBottom w:val="0"/>
                  <w:divBdr>
                    <w:top w:val="none" w:sz="0" w:space="0" w:color="auto"/>
                    <w:left w:val="none" w:sz="0" w:space="0" w:color="auto"/>
                    <w:bottom w:val="none" w:sz="0" w:space="0" w:color="auto"/>
                    <w:right w:val="none" w:sz="0" w:space="0" w:color="auto"/>
                  </w:divBdr>
                  <w:divsChild>
                    <w:div w:id="972369144">
                      <w:marLeft w:val="0"/>
                      <w:marRight w:val="0"/>
                      <w:marTop w:val="0"/>
                      <w:marBottom w:val="0"/>
                      <w:divBdr>
                        <w:top w:val="none" w:sz="0" w:space="0" w:color="auto"/>
                        <w:left w:val="none" w:sz="0" w:space="0" w:color="auto"/>
                        <w:bottom w:val="none" w:sz="0" w:space="0" w:color="auto"/>
                        <w:right w:val="none" w:sz="0" w:space="0" w:color="auto"/>
                      </w:divBdr>
                      <w:divsChild>
                        <w:div w:id="1266815002">
                          <w:marLeft w:val="0"/>
                          <w:marRight w:val="0"/>
                          <w:marTop w:val="0"/>
                          <w:marBottom w:val="0"/>
                          <w:divBdr>
                            <w:top w:val="none" w:sz="0" w:space="0" w:color="auto"/>
                            <w:left w:val="none" w:sz="0" w:space="0" w:color="auto"/>
                            <w:bottom w:val="none" w:sz="0" w:space="0" w:color="auto"/>
                            <w:right w:val="none" w:sz="0" w:space="0" w:color="auto"/>
                          </w:divBdr>
                          <w:divsChild>
                            <w:div w:id="402528980">
                              <w:marLeft w:val="0"/>
                              <w:marRight w:val="0"/>
                              <w:marTop w:val="150"/>
                              <w:marBottom w:val="0"/>
                              <w:divBdr>
                                <w:top w:val="single" w:sz="6" w:space="0" w:color="EAEAEA"/>
                                <w:left w:val="single" w:sz="6" w:space="6" w:color="EAEAEA"/>
                                <w:bottom w:val="single" w:sz="6" w:space="0" w:color="EAEAEA"/>
                                <w:right w:val="single" w:sz="6" w:space="6" w:color="EAEAEA"/>
                              </w:divBdr>
                              <w:divsChild>
                                <w:div w:id="850217983">
                                  <w:marLeft w:val="0"/>
                                  <w:marRight w:val="0"/>
                                  <w:marTop w:val="0"/>
                                  <w:marBottom w:val="0"/>
                                  <w:divBdr>
                                    <w:top w:val="none" w:sz="0" w:space="0" w:color="auto"/>
                                    <w:left w:val="none" w:sz="0" w:space="0" w:color="auto"/>
                                    <w:bottom w:val="none" w:sz="0" w:space="0" w:color="auto"/>
                                    <w:right w:val="none" w:sz="0" w:space="0" w:color="auto"/>
                                  </w:divBdr>
                                  <w:divsChild>
                                    <w:div w:id="170100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83847">
      <w:bodyDiv w:val="1"/>
      <w:marLeft w:val="0"/>
      <w:marRight w:val="0"/>
      <w:marTop w:val="0"/>
      <w:marBottom w:val="0"/>
      <w:divBdr>
        <w:top w:val="none" w:sz="0" w:space="0" w:color="auto"/>
        <w:left w:val="none" w:sz="0" w:space="0" w:color="auto"/>
        <w:bottom w:val="none" w:sz="0" w:space="0" w:color="auto"/>
        <w:right w:val="none" w:sz="0" w:space="0" w:color="auto"/>
      </w:divBdr>
      <w:divsChild>
        <w:div w:id="2068188861">
          <w:marLeft w:val="0"/>
          <w:marRight w:val="0"/>
          <w:marTop w:val="0"/>
          <w:marBottom w:val="0"/>
          <w:divBdr>
            <w:top w:val="single" w:sz="12" w:space="0" w:color="CCCCCC"/>
            <w:left w:val="single" w:sz="12" w:space="0" w:color="CCCCCC"/>
            <w:bottom w:val="single" w:sz="12" w:space="0" w:color="CCCCCC"/>
            <w:right w:val="single" w:sz="12" w:space="0" w:color="CCCCCC"/>
          </w:divBdr>
          <w:divsChild>
            <w:div w:id="1084719063">
              <w:marLeft w:val="0"/>
              <w:marRight w:val="0"/>
              <w:marTop w:val="0"/>
              <w:marBottom w:val="0"/>
              <w:divBdr>
                <w:top w:val="none" w:sz="0" w:space="0" w:color="auto"/>
                <w:left w:val="none" w:sz="0" w:space="0" w:color="auto"/>
                <w:bottom w:val="none" w:sz="0" w:space="0" w:color="auto"/>
                <w:right w:val="none" w:sz="0" w:space="0" w:color="auto"/>
              </w:divBdr>
              <w:divsChild>
                <w:div w:id="509948139">
                  <w:marLeft w:val="0"/>
                  <w:marRight w:val="0"/>
                  <w:marTop w:val="0"/>
                  <w:marBottom w:val="0"/>
                  <w:divBdr>
                    <w:top w:val="none" w:sz="0" w:space="0" w:color="auto"/>
                    <w:left w:val="none" w:sz="0" w:space="0" w:color="auto"/>
                    <w:bottom w:val="none" w:sz="0" w:space="0" w:color="auto"/>
                    <w:right w:val="none" w:sz="0" w:space="0" w:color="auto"/>
                  </w:divBdr>
                  <w:divsChild>
                    <w:div w:id="1169710441">
                      <w:marLeft w:val="0"/>
                      <w:marRight w:val="0"/>
                      <w:marTop w:val="0"/>
                      <w:marBottom w:val="0"/>
                      <w:divBdr>
                        <w:top w:val="none" w:sz="0" w:space="0" w:color="auto"/>
                        <w:left w:val="none" w:sz="0" w:space="0" w:color="auto"/>
                        <w:bottom w:val="none" w:sz="0" w:space="0" w:color="auto"/>
                        <w:right w:val="none" w:sz="0" w:space="0" w:color="auto"/>
                      </w:divBdr>
                      <w:divsChild>
                        <w:div w:id="270093559">
                          <w:marLeft w:val="0"/>
                          <w:marRight w:val="0"/>
                          <w:marTop w:val="0"/>
                          <w:marBottom w:val="0"/>
                          <w:divBdr>
                            <w:top w:val="none" w:sz="0" w:space="0" w:color="auto"/>
                            <w:left w:val="none" w:sz="0" w:space="0" w:color="auto"/>
                            <w:bottom w:val="none" w:sz="0" w:space="0" w:color="auto"/>
                            <w:right w:val="none" w:sz="0" w:space="0" w:color="auto"/>
                          </w:divBdr>
                          <w:divsChild>
                            <w:div w:id="5111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68151">
      <w:bodyDiv w:val="1"/>
      <w:marLeft w:val="0"/>
      <w:marRight w:val="0"/>
      <w:marTop w:val="0"/>
      <w:marBottom w:val="0"/>
      <w:divBdr>
        <w:top w:val="none" w:sz="0" w:space="0" w:color="auto"/>
        <w:left w:val="none" w:sz="0" w:space="0" w:color="auto"/>
        <w:bottom w:val="none" w:sz="0" w:space="0" w:color="auto"/>
        <w:right w:val="none" w:sz="0" w:space="0" w:color="auto"/>
      </w:divBdr>
      <w:divsChild>
        <w:div w:id="1702395710">
          <w:marLeft w:val="0"/>
          <w:marRight w:val="0"/>
          <w:marTop w:val="0"/>
          <w:marBottom w:val="0"/>
          <w:divBdr>
            <w:top w:val="none" w:sz="0" w:space="0" w:color="auto"/>
            <w:left w:val="none" w:sz="0" w:space="0" w:color="auto"/>
            <w:bottom w:val="none" w:sz="0" w:space="0" w:color="auto"/>
            <w:right w:val="none" w:sz="0" w:space="0" w:color="auto"/>
          </w:divBdr>
          <w:divsChild>
            <w:div w:id="2012098816">
              <w:marLeft w:val="0"/>
              <w:marRight w:val="0"/>
              <w:marTop w:val="0"/>
              <w:marBottom w:val="0"/>
              <w:divBdr>
                <w:top w:val="none" w:sz="0" w:space="0" w:color="auto"/>
                <w:left w:val="none" w:sz="0" w:space="0" w:color="auto"/>
                <w:bottom w:val="none" w:sz="0" w:space="0" w:color="auto"/>
                <w:right w:val="none" w:sz="0" w:space="0" w:color="auto"/>
              </w:divBdr>
              <w:divsChild>
                <w:div w:id="2058384725">
                  <w:marLeft w:val="0"/>
                  <w:marRight w:val="0"/>
                  <w:marTop w:val="0"/>
                  <w:marBottom w:val="0"/>
                  <w:divBdr>
                    <w:top w:val="none" w:sz="0" w:space="0" w:color="auto"/>
                    <w:left w:val="none" w:sz="0" w:space="0" w:color="auto"/>
                    <w:bottom w:val="none" w:sz="0" w:space="0" w:color="auto"/>
                    <w:right w:val="none" w:sz="0" w:space="0" w:color="auto"/>
                  </w:divBdr>
                  <w:divsChild>
                    <w:div w:id="793989449">
                      <w:marLeft w:val="0"/>
                      <w:marRight w:val="0"/>
                      <w:marTop w:val="0"/>
                      <w:marBottom w:val="0"/>
                      <w:divBdr>
                        <w:top w:val="none" w:sz="0" w:space="0" w:color="auto"/>
                        <w:left w:val="none" w:sz="0" w:space="0" w:color="auto"/>
                        <w:bottom w:val="none" w:sz="0" w:space="0" w:color="auto"/>
                        <w:right w:val="none" w:sz="0" w:space="0" w:color="auto"/>
                      </w:divBdr>
                      <w:divsChild>
                        <w:div w:id="111632142">
                          <w:marLeft w:val="0"/>
                          <w:marRight w:val="0"/>
                          <w:marTop w:val="0"/>
                          <w:marBottom w:val="0"/>
                          <w:divBdr>
                            <w:top w:val="none" w:sz="0" w:space="0" w:color="auto"/>
                            <w:left w:val="none" w:sz="0" w:space="0" w:color="auto"/>
                            <w:bottom w:val="none" w:sz="0" w:space="0" w:color="auto"/>
                            <w:right w:val="none" w:sz="0" w:space="0" w:color="auto"/>
                          </w:divBdr>
                          <w:divsChild>
                            <w:div w:id="1904216698">
                              <w:marLeft w:val="0"/>
                              <w:marRight w:val="0"/>
                              <w:marTop w:val="150"/>
                              <w:marBottom w:val="0"/>
                              <w:divBdr>
                                <w:top w:val="single" w:sz="6" w:space="0" w:color="EAEAEA"/>
                                <w:left w:val="single" w:sz="6" w:space="6" w:color="EAEAEA"/>
                                <w:bottom w:val="single" w:sz="6" w:space="0" w:color="EAEAEA"/>
                                <w:right w:val="single" w:sz="6" w:space="6" w:color="EAEAEA"/>
                              </w:divBdr>
                              <w:divsChild>
                                <w:div w:id="1589579777">
                                  <w:marLeft w:val="0"/>
                                  <w:marRight w:val="0"/>
                                  <w:marTop w:val="0"/>
                                  <w:marBottom w:val="0"/>
                                  <w:divBdr>
                                    <w:top w:val="none" w:sz="0" w:space="0" w:color="auto"/>
                                    <w:left w:val="none" w:sz="0" w:space="0" w:color="auto"/>
                                    <w:bottom w:val="none" w:sz="0" w:space="0" w:color="auto"/>
                                    <w:right w:val="none" w:sz="0" w:space="0" w:color="auto"/>
                                  </w:divBdr>
                                  <w:divsChild>
                                    <w:div w:id="5316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451601">
      <w:bodyDiv w:val="1"/>
      <w:marLeft w:val="0"/>
      <w:marRight w:val="0"/>
      <w:marTop w:val="0"/>
      <w:marBottom w:val="0"/>
      <w:divBdr>
        <w:top w:val="none" w:sz="0" w:space="0" w:color="auto"/>
        <w:left w:val="none" w:sz="0" w:space="0" w:color="auto"/>
        <w:bottom w:val="none" w:sz="0" w:space="0" w:color="auto"/>
        <w:right w:val="none" w:sz="0" w:space="0" w:color="auto"/>
      </w:divBdr>
      <w:divsChild>
        <w:div w:id="465317231">
          <w:marLeft w:val="0"/>
          <w:marRight w:val="0"/>
          <w:marTop w:val="0"/>
          <w:marBottom w:val="0"/>
          <w:divBdr>
            <w:top w:val="none" w:sz="0" w:space="0" w:color="auto"/>
            <w:left w:val="none" w:sz="0" w:space="0" w:color="auto"/>
            <w:bottom w:val="none" w:sz="0" w:space="0" w:color="auto"/>
            <w:right w:val="none" w:sz="0" w:space="0" w:color="auto"/>
          </w:divBdr>
          <w:divsChild>
            <w:div w:id="194774140">
              <w:marLeft w:val="0"/>
              <w:marRight w:val="0"/>
              <w:marTop w:val="0"/>
              <w:marBottom w:val="0"/>
              <w:divBdr>
                <w:top w:val="none" w:sz="0" w:space="0" w:color="auto"/>
                <w:left w:val="none" w:sz="0" w:space="0" w:color="auto"/>
                <w:bottom w:val="none" w:sz="0" w:space="0" w:color="auto"/>
                <w:right w:val="none" w:sz="0" w:space="0" w:color="auto"/>
              </w:divBdr>
              <w:divsChild>
                <w:div w:id="1719279582">
                  <w:marLeft w:val="0"/>
                  <w:marRight w:val="0"/>
                  <w:marTop w:val="0"/>
                  <w:marBottom w:val="0"/>
                  <w:divBdr>
                    <w:top w:val="none" w:sz="0" w:space="0" w:color="auto"/>
                    <w:left w:val="none" w:sz="0" w:space="0" w:color="auto"/>
                    <w:bottom w:val="none" w:sz="0" w:space="0" w:color="auto"/>
                    <w:right w:val="none" w:sz="0" w:space="0" w:color="auto"/>
                  </w:divBdr>
                  <w:divsChild>
                    <w:div w:id="94791019">
                      <w:marLeft w:val="0"/>
                      <w:marRight w:val="0"/>
                      <w:marTop w:val="0"/>
                      <w:marBottom w:val="0"/>
                      <w:divBdr>
                        <w:top w:val="none" w:sz="0" w:space="0" w:color="auto"/>
                        <w:left w:val="none" w:sz="0" w:space="0" w:color="auto"/>
                        <w:bottom w:val="none" w:sz="0" w:space="0" w:color="auto"/>
                        <w:right w:val="none" w:sz="0" w:space="0" w:color="auto"/>
                      </w:divBdr>
                      <w:divsChild>
                        <w:div w:id="2145004150">
                          <w:marLeft w:val="0"/>
                          <w:marRight w:val="0"/>
                          <w:marTop w:val="0"/>
                          <w:marBottom w:val="0"/>
                          <w:divBdr>
                            <w:top w:val="none" w:sz="0" w:space="0" w:color="auto"/>
                            <w:left w:val="none" w:sz="0" w:space="0" w:color="auto"/>
                            <w:bottom w:val="none" w:sz="0" w:space="0" w:color="auto"/>
                            <w:right w:val="none" w:sz="0" w:space="0" w:color="auto"/>
                          </w:divBdr>
                          <w:divsChild>
                            <w:div w:id="1698118984">
                              <w:marLeft w:val="0"/>
                              <w:marRight w:val="0"/>
                              <w:marTop w:val="150"/>
                              <w:marBottom w:val="0"/>
                              <w:divBdr>
                                <w:top w:val="single" w:sz="6" w:space="0" w:color="EAEAEA"/>
                                <w:left w:val="single" w:sz="6" w:space="6" w:color="EAEAEA"/>
                                <w:bottom w:val="single" w:sz="6" w:space="0" w:color="EAEAEA"/>
                                <w:right w:val="single" w:sz="6" w:space="6" w:color="EAEAEA"/>
                              </w:divBdr>
                              <w:divsChild>
                                <w:div w:id="1215508536">
                                  <w:marLeft w:val="0"/>
                                  <w:marRight w:val="0"/>
                                  <w:marTop w:val="0"/>
                                  <w:marBottom w:val="0"/>
                                  <w:divBdr>
                                    <w:top w:val="none" w:sz="0" w:space="0" w:color="auto"/>
                                    <w:left w:val="none" w:sz="0" w:space="0" w:color="auto"/>
                                    <w:bottom w:val="none" w:sz="0" w:space="0" w:color="auto"/>
                                    <w:right w:val="none" w:sz="0" w:space="0" w:color="auto"/>
                                  </w:divBdr>
                                  <w:divsChild>
                                    <w:div w:id="814762571">
                                      <w:marLeft w:val="0"/>
                                      <w:marRight w:val="0"/>
                                      <w:marTop w:val="0"/>
                                      <w:marBottom w:val="0"/>
                                      <w:divBdr>
                                        <w:top w:val="none" w:sz="0" w:space="0" w:color="auto"/>
                                        <w:left w:val="none" w:sz="0" w:space="0" w:color="auto"/>
                                        <w:bottom w:val="none" w:sz="0" w:space="0" w:color="auto"/>
                                        <w:right w:val="none" w:sz="0" w:space="0" w:color="auto"/>
                                      </w:divBdr>
                                      <w:divsChild>
                                        <w:div w:id="10276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0037085">
      <w:bodyDiv w:val="1"/>
      <w:marLeft w:val="0"/>
      <w:marRight w:val="0"/>
      <w:marTop w:val="0"/>
      <w:marBottom w:val="0"/>
      <w:divBdr>
        <w:top w:val="none" w:sz="0" w:space="0" w:color="auto"/>
        <w:left w:val="none" w:sz="0" w:space="0" w:color="auto"/>
        <w:bottom w:val="none" w:sz="0" w:space="0" w:color="auto"/>
        <w:right w:val="none" w:sz="0" w:space="0" w:color="auto"/>
      </w:divBdr>
    </w:div>
    <w:div w:id="571544705">
      <w:bodyDiv w:val="1"/>
      <w:marLeft w:val="0"/>
      <w:marRight w:val="0"/>
      <w:marTop w:val="0"/>
      <w:marBottom w:val="0"/>
      <w:divBdr>
        <w:top w:val="none" w:sz="0" w:space="0" w:color="auto"/>
        <w:left w:val="none" w:sz="0" w:space="0" w:color="auto"/>
        <w:bottom w:val="none" w:sz="0" w:space="0" w:color="auto"/>
        <w:right w:val="none" w:sz="0" w:space="0" w:color="auto"/>
      </w:divBdr>
      <w:divsChild>
        <w:div w:id="826629928">
          <w:marLeft w:val="0"/>
          <w:marRight w:val="0"/>
          <w:marTop w:val="0"/>
          <w:marBottom w:val="0"/>
          <w:divBdr>
            <w:top w:val="none" w:sz="0" w:space="0" w:color="auto"/>
            <w:left w:val="none" w:sz="0" w:space="0" w:color="auto"/>
            <w:bottom w:val="none" w:sz="0" w:space="0" w:color="auto"/>
            <w:right w:val="none" w:sz="0" w:space="0" w:color="auto"/>
          </w:divBdr>
          <w:divsChild>
            <w:div w:id="1056900588">
              <w:marLeft w:val="0"/>
              <w:marRight w:val="0"/>
              <w:marTop w:val="0"/>
              <w:marBottom w:val="0"/>
              <w:divBdr>
                <w:top w:val="none" w:sz="0" w:space="0" w:color="auto"/>
                <w:left w:val="none" w:sz="0" w:space="0" w:color="auto"/>
                <w:bottom w:val="none" w:sz="0" w:space="0" w:color="auto"/>
                <w:right w:val="none" w:sz="0" w:space="0" w:color="auto"/>
              </w:divBdr>
              <w:divsChild>
                <w:div w:id="611478694">
                  <w:marLeft w:val="0"/>
                  <w:marRight w:val="0"/>
                  <w:marTop w:val="0"/>
                  <w:marBottom w:val="0"/>
                  <w:divBdr>
                    <w:top w:val="none" w:sz="0" w:space="0" w:color="auto"/>
                    <w:left w:val="none" w:sz="0" w:space="0" w:color="auto"/>
                    <w:bottom w:val="none" w:sz="0" w:space="0" w:color="auto"/>
                    <w:right w:val="none" w:sz="0" w:space="0" w:color="auto"/>
                  </w:divBdr>
                  <w:divsChild>
                    <w:div w:id="953562200">
                      <w:marLeft w:val="0"/>
                      <w:marRight w:val="0"/>
                      <w:marTop w:val="0"/>
                      <w:marBottom w:val="0"/>
                      <w:divBdr>
                        <w:top w:val="none" w:sz="0" w:space="0" w:color="auto"/>
                        <w:left w:val="none" w:sz="0" w:space="0" w:color="auto"/>
                        <w:bottom w:val="none" w:sz="0" w:space="0" w:color="auto"/>
                        <w:right w:val="none" w:sz="0" w:space="0" w:color="auto"/>
                      </w:divBdr>
                      <w:divsChild>
                        <w:div w:id="1212184432">
                          <w:marLeft w:val="0"/>
                          <w:marRight w:val="0"/>
                          <w:marTop w:val="0"/>
                          <w:marBottom w:val="0"/>
                          <w:divBdr>
                            <w:top w:val="none" w:sz="0" w:space="0" w:color="auto"/>
                            <w:left w:val="none" w:sz="0" w:space="0" w:color="auto"/>
                            <w:bottom w:val="none" w:sz="0" w:space="0" w:color="auto"/>
                            <w:right w:val="none" w:sz="0" w:space="0" w:color="auto"/>
                          </w:divBdr>
                          <w:divsChild>
                            <w:div w:id="1943566369">
                              <w:marLeft w:val="0"/>
                              <w:marRight w:val="0"/>
                              <w:marTop w:val="150"/>
                              <w:marBottom w:val="0"/>
                              <w:divBdr>
                                <w:top w:val="single" w:sz="6" w:space="0" w:color="EAEAEA"/>
                                <w:left w:val="single" w:sz="6" w:space="6" w:color="EAEAEA"/>
                                <w:bottom w:val="single" w:sz="6" w:space="0" w:color="EAEAEA"/>
                                <w:right w:val="single" w:sz="6" w:space="6" w:color="EAEAEA"/>
                              </w:divBdr>
                              <w:divsChild>
                                <w:div w:id="1660648163">
                                  <w:marLeft w:val="0"/>
                                  <w:marRight w:val="0"/>
                                  <w:marTop w:val="0"/>
                                  <w:marBottom w:val="0"/>
                                  <w:divBdr>
                                    <w:top w:val="none" w:sz="0" w:space="0" w:color="auto"/>
                                    <w:left w:val="none" w:sz="0" w:space="0" w:color="auto"/>
                                    <w:bottom w:val="none" w:sz="0" w:space="0" w:color="auto"/>
                                    <w:right w:val="none" w:sz="0" w:space="0" w:color="auto"/>
                                  </w:divBdr>
                                  <w:divsChild>
                                    <w:div w:id="182978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7830278">
      <w:bodyDiv w:val="1"/>
      <w:marLeft w:val="0"/>
      <w:marRight w:val="0"/>
      <w:marTop w:val="0"/>
      <w:marBottom w:val="0"/>
      <w:divBdr>
        <w:top w:val="none" w:sz="0" w:space="0" w:color="auto"/>
        <w:left w:val="none" w:sz="0" w:space="0" w:color="auto"/>
        <w:bottom w:val="none" w:sz="0" w:space="0" w:color="auto"/>
        <w:right w:val="none" w:sz="0" w:space="0" w:color="auto"/>
      </w:divBdr>
      <w:divsChild>
        <w:div w:id="42338192">
          <w:marLeft w:val="0"/>
          <w:marRight w:val="0"/>
          <w:marTop w:val="0"/>
          <w:marBottom w:val="0"/>
          <w:divBdr>
            <w:top w:val="none" w:sz="0" w:space="0" w:color="auto"/>
            <w:left w:val="none" w:sz="0" w:space="0" w:color="auto"/>
            <w:bottom w:val="none" w:sz="0" w:space="0" w:color="auto"/>
            <w:right w:val="none" w:sz="0" w:space="0" w:color="auto"/>
          </w:divBdr>
          <w:divsChild>
            <w:div w:id="1223447398">
              <w:marLeft w:val="0"/>
              <w:marRight w:val="0"/>
              <w:marTop w:val="0"/>
              <w:marBottom w:val="0"/>
              <w:divBdr>
                <w:top w:val="none" w:sz="0" w:space="0" w:color="auto"/>
                <w:left w:val="none" w:sz="0" w:space="0" w:color="auto"/>
                <w:bottom w:val="none" w:sz="0" w:space="0" w:color="auto"/>
                <w:right w:val="none" w:sz="0" w:space="0" w:color="auto"/>
              </w:divBdr>
              <w:divsChild>
                <w:div w:id="1980919584">
                  <w:marLeft w:val="0"/>
                  <w:marRight w:val="0"/>
                  <w:marTop w:val="0"/>
                  <w:marBottom w:val="0"/>
                  <w:divBdr>
                    <w:top w:val="none" w:sz="0" w:space="0" w:color="auto"/>
                    <w:left w:val="none" w:sz="0" w:space="0" w:color="auto"/>
                    <w:bottom w:val="none" w:sz="0" w:space="0" w:color="auto"/>
                    <w:right w:val="none" w:sz="0" w:space="0" w:color="auto"/>
                  </w:divBdr>
                  <w:divsChild>
                    <w:div w:id="1108349352">
                      <w:marLeft w:val="0"/>
                      <w:marRight w:val="0"/>
                      <w:marTop w:val="0"/>
                      <w:marBottom w:val="0"/>
                      <w:divBdr>
                        <w:top w:val="none" w:sz="0" w:space="0" w:color="auto"/>
                        <w:left w:val="none" w:sz="0" w:space="0" w:color="auto"/>
                        <w:bottom w:val="none" w:sz="0" w:space="0" w:color="auto"/>
                        <w:right w:val="none" w:sz="0" w:space="0" w:color="auto"/>
                      </w:divBdr>
                      <w:divsChild>
                        <w:div w:id="144516394">
                          <w:marLeft w:val="0"/>
                          <w:marRight w:val="0"/>
                          <w:marTop w:val="0"/>
                          <w:marBottom w:val="0"/>
                          <w:divBdr>
                            <w:top w:val="none" w:sz="0" w:space="0" w:color="auto"/>
                            <w:left w:val="none" w:sz="0" w:space="0" w:color="auto"/>
                            <w:bottom w:val="none" w:sz="0" w:space="0" w:color="auto"/>
                            <w:right w:val="none" w:sz="0" w:space="0" w:color="auto"/>
                          </w:divBdr>
                          <w:divsChild>
                            <w:div w:id="389891828">
                              <w:marLeft w:val="0"/>
                              <w:marRight w:val="0"/>
                              <w:marTop w:val="150"/>
                              <w:marBottom w:val="0"/>
                              <w:divBdr>
                                <w:top w:val="single" w:sz="6" w:space="0" w:color="EAEAEA"/>
                                <w:left w:val="single" w:sz="6" w:space="6" w:color="EAEAEA"/>
                                <w:bottom w:val="single" w:sz="6" w:space="0" w:color="EAEAEA"/>
                                <w:right w:val="single" w:sz="6" w:space="6" w:color="EAEAEA"/>
                              </w:divBdr>
                              <w:divsChild>
                                <w:div w:id="125785291">
                                  <w:marLeft w:val="0"/>
                                  <w:marRight w:val="0"/>
                                  <w:marTop w:val="0"/>
                                  <w:marBottom w:val="0"/>
                                  <w:divBdr>
                                    <w:top w:val="none" w:sz="0" w:space="0" w:color="auto"/>
                                    <w:left w:val="none" w:sz="0" w:space="0" w:color="auto"/>
                                    <w:bottom w:val="none" w:sz="0" w:space="0" w:color="auto"/>
                                    <w:right w:val="none" w:sz="0" w:space="0" w:color="auto"/>
                                  </w:divBdr>
                                  <w:divsChild>
                                    <w:div w:id="5027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1316376">
      <w:bodyDiv w:val="1"/>
      <w:marLeft w:val="0"/>
      <w:marRight w:val="0"/>
      <w:marTop w:val="0"/>
      <w:marBottom w:val="0"/>
      <w:divBdr>
        <w:top w:val="none" w:sz="0" w:space="0" w:color="auto"/>
        <w:left w:val="none" w:sz="0" w:space="0" w:color="auto"/>
        <w:bottom w:val="none" w:sz="0" w:space="0" w:color="auto"/>
        <w:right w:val="none" w:sz="0" w:space="0" w:color="auto"/>
      </w:divBdr>
      <w:divsChild>
        <w:div w:id="1589466369">
          <w:marLeft w:val="0"/>
          <w:marRight w:val="0"/>
          <w:marTop w:val="0"/>
          <w:marBottom w:val="0"/>
          <w:divBdr>
            <w:top w:val="none" w:sz="0" w:space="0" w:color="auto"/>
            <w:left w:val="none" w:sz="0" w:space="0" w:color="auto"/>
            <w:bottom w:val="none" w:sz="0" w:space="0" w:color="auto"/>
            <w:right w:val="none" w:sz="0" w:space="0" w:color="auto"/>
          </w:divBdr>
          <w:divsChild>
            <w:div w:id="787315299">
              <w:marLeft w:val="0"/>
              <w:marRight w:val="0"/>
              <w:marTop w:val="0"/>
              <w:marBottom w:val="0"/>
              <w:divBdr>
                <w:top w:val="none" w:sz="0" w:space="0" w:color="auto"/>
                <w:left w:val="none" w:sz="0" w:space="0" w:color="auto"/>
                <w:bottom w:val="none" w:sz="0" w:space="0" w:color="auto"/>
                <w:right w:val="none" w:sz="0" w:space="0" w:color="auto"/>
              </w:divBdr>
              <w:divsChild>
                <w:div w:id="1195967539">
                  <w:marLeft w:val="0"/>
                  <w:marRight w:val="0"/>
                  <w:marTop w:val="0"/>
                  <w:marBottom w:val="0"/>
                  <w:divBdr>
                    <w:top w:val="none" w:sz="0" w:space="0" w:color="auto"/>
                    <w:left w:val="none" w:sz="0" w:space="0" w:color="auto"/>
                    <w:bottom w:val="none" w:sz="0" w:space="0" w:color="auto"/>
                    <w:right w:val="none" w:sz="0" w:space="0" w:color="auto"/>
                  </w:divBdr>
                  <w:divsChild>
                    <w:div w:id="866679715">
                      <w:marLeft w:val="0"/>
                      <w:marRight w:val="0"/>
                      <w:marTop w:val="0"/>
                      <w:marBottom w:val="0"/>
                      <w:divBdr>
                        <w:top w:val="none" w:sz="0" w:space="0" w:color="auto"/>
                        <w:left w:val="none" w:sz="0" w:space="0" w:color="auto"/>
                        <w:bottom w:val="none" w:sz="0" w:space="0" w:color="auto"/>
                        <w:right w:val="none" w:sz="0" w:space="0" w:color="auto"/>
                      </w:divBdr>
                      <w:divsChild>
                        <w:div w:id="499542558">
                          <w:marLeft w:val="0"/>
                          <w:marRight w:val="0"/>
                          <w:marTop w:val="0"/>
                          <w:marBottom w:val="0"/>
                          <w:divBdr>
                            <w:top w:val="none" w:sz="0" w:space="0" w:color="auto"/>
                            <w:left w:val="none" w:sz="0" w:space="0" w:color="auto"/>
                            <w:bottom w:val="none" w:sz="0" w:space="0" w:color="auto"/>
                            <w:right w:val="none" w:sz="0" w:space="0" w:color="auto"/>
                          </w:divBdr>
                          <w:divsChild>
                            <w:div w:id="918296895">
                              <w:marLeft w:val="0"/>
                              <w:marRight w:val="0"/>
                              <w:marTop w:val="150"/>
                              <w:marBottom w:val="0"/>
                              <w:divBdr>
                                <w:top w:val="single" w:sz="6" w:space="0" w:color="EAEAEA"/>
                                <w:left w:val="single" w:sz="6" w:space="6" w:color="EAEAEA"/>
                                <w:bottom w:val="single" w:sz="6" w:space="0" w:color="EAEAEA"/>
                                <w:right w:val="single" w:sz="6" w:space="6" w:color="EAEAEA"/>
                              </w:divBdr>
                              <w:divsChild>
                                <w:div w:id="968435539">
                                  <w:marLeft w:val="0"/>
                                  <w:marRight w:val="0"/>
                                  <w:marTop w:val="0"/>
                                  <w:marBottom w:val="0"/>
                                  <w:divBdr>
                                    <w:top w:val="none" w:sz="0" w:space="0" w:color="auto"/>
                                    <w:left w:val="none" w:sz="0" w:space="0" w:color="auto"/>
                                    <w:bottom w:val="none" w:sz="0" w:space="0" w:color="auto"/>
                                    <w:right w:val="none" w:sz="0" w:space="0" w:color="auto"/>
                                  </w:divBdr>
                                  <w:divsChild>
                                    <w:div w:id="26963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000263">
      <w:bodyDiv w:val="1"/>
      <w:marLeft w:val="0"/>
      <w:marRight w:val="0"/>
      <w:marTop w:val="0"/>
      <w:marBottom w:val="0"/>
      <w:divBdr>
        <w:top w:val="none" w:sz="0" w:space="0" w:color="auto"/>
        <w:left w:val="none" w:sz="0" w:space="0" w:color="auto"/>
        <w:bottom w:val="none" w:sz="0" w:space="0" w:color="auto"/>
        <w:right w:val="none" w:sz="0" w:space="0" w:color="auto"/>
      </w:divBdr>
      <w:divsChild>
        <w:div w:id="1714111143">
          <w:marLeft w:val="0"/>
          <w:marRight w:val="0"/>
          <w:marTop w:val="0"/>
          <w:marBottom w:val="0"/>
          <w:divBdr>
            <w:top w:val="none" w:sz="0" w:space="0" w:color="auto"/>
            <w:left w:val="none" w:sz="0" w:space="0" w:color="auto"/>
            <w:bottom w:val="none" w:sz="0" w:space="0" w:color="auto"/>
            <w:right w:val="none" w:sz="0" w:space="0" w:color="auto"/>
          </w:divBdr>
          <w:divsChild>
            <w:div w:id="1845512350">
              <w:marLeft w:val="0"/>
              <w:marRight w:val="0"/>
              <w:marTop w:val="0"/>
              <w:marBottom w:val="0"/>
              <w:divBdr>
                <w:top w:val="none" w:sz="0" w:space="0" w:color="auto"/>
                <w:left w:val="none" w:sz="0" w:space="0" w:color="auto"/>
                <w:bottom w:val="none" w:sz="0" w:space="0" w:color="auto"/>
                <w:right w:val="none" w:sz="0" w:space="0" w:color="auto"/>
              </w:divBdr>
              <w:divsChild>
                <w:div w:id="700597075">
                  <w:marLeft w:val="0"/>
                  <w:marRight w:val="0"/>
                  <w:marTop w:val="0"/>
                  <w:marBottom w:val="0"/>
                  <w:divBdr>
                    <w:top w:val="none" w:sz="0" w:space="0" w:color="auto"/>
                    <w:left w:val="none" w:sz="0" w:space="0" w:color="auto"/>
                    <w:bottom w:val="none" w:sz="0" w:space="0" w:color="auto"/>
                    <w:right w:val="none" w:sz="0" w:space="0" w:color="auto"/>
                  </w:divBdr>
                  <w:divsChild>
                    <w:div w:id="184902267">
                      <w:marLeft w:val="0"/>
                      <w:marRight w:val="0"/>
                      <w:marTop w:val="0"/>
                      <w:marBottom w:val="0"/>
                      <w:divBdr>
                        <w:top w:val="none" w:sz="0" w:space="0" w:color="auto"/>
                        <w:left w:val="none" w:sz="0" w:space="0" w:color="auto"/>
                        <w:bottom w:val="none" w:sz="0" w:space="0" w:color="auto"/>
                        <w:right w:val="none" w:sz="0" w:space="0" w:color="auto"/>
                      </w:divBdr>
                      <w:divsChild>
                        <w:div w:id="1876193148">
                          <w:marLeft w:val="0"/>
                          <w:marRight w:val="0"/>
                          <w:marTop w:val="0"/>
                          <w:marBottom w:val="0"/>
                          <w:divBdr>
                            <w:top w:val="none" w:sz="0" w:space="0" w:color="auto"/>
                            <w:left w:val="none" w:sz="0" w:space="0" w:color="auto"/>
                            <w:bottom w:val="none" w:sz="0" w:space="0" w:color="auto"/>
                            <w:right w:val="none" w:sz="0" w:space="0" w:color="auto"/>
                          </w:divBdr>
                          <w:divsChild>
                            <w:div w:id="135344648">
                              <w:marLeft w:val="0"/>
                              <w:marRight w:val="0"/>
                              <w:marTop w:val="150"/>
                              <w:marBottom w:val="0"/>
                              <w:divBdr>
                                <w:top w:val="single" w:sz="6" w:space="0" w:color="EAEAEA"/>
                                <w:left w:val="single" w:sz="6" w:space="6" w:color="EAEAEA"/>
                                <w:bottom w:val="single" w:sz="6" w:space="0" w:color="EAEAEA"/>
                                <w:right w:val="single" w:sz="6" w:space="6" w:color="EAEAEA"/>
                              </w:divBdr>
                              <w:divsChild>
                                <w:div w:id="972751605">
                                  <w:marLeft w:val="0"/>
                                  <w:marRight w:val="0"/>
                                  <w:marTop w:val="0"/>
                                  <w:marBottom w:val="0"/>
                                  <w:divBdr>
                                    <w:top w:val="none" w:sz="0" w:space="0" w:color="auto"/>
                                    <w:left w:val="none" w:sz="0" w:space="0" w:color="auto"/>
                                    <w:bottom w:val="none" w:sz="0" w:space="0" w:color="auto"/>
                                    <w:right w:val="none" w:sz="0" w:space="0" w:color="auto"/>
                                  </w:divBdr>
                                  <w:divsChild>
                                    <w:div w:id="52567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8688799">
      <w:bodyDiv w:val="1"/>
      <w:marLeft w:val="0"/>
      <w:marRight w:val="0"/>
      <w:marTop w:val="0"/>
      <w:marBottom w:val="0"/>
      <w:divBdr>
        <w:top w:val="none" w:sz="0" w:space="0" w:color="auto"/>
        <w:left w:val="none" w:sz="0" w:space="0" w:color="auto"/>
        <w:bottom w:val="none" w:sz="0" w:space="0" w:color="auto"/>
        <w:right w:val="none" w:sz="0" w:space="0" w:color="auto"/>
      </w:divBdr>
      <w:divsChild>
        <w:div w:id="247036781">
          <w:marLeft w:val="0"/>
          <w:marRight w:val="0"/>
          <w:marTop w:val="0"/>
          <w:marBottom w:val="0"/>
          <w:divBdr>
            <w:top w:val="none" w:sz="0" w:space="0" w:color="auto"/>
            <w:left w:val="none" w:sz="0" w:space="0" w:color="auto"/>
            <w:bottom w:val="none" w:sz="0" w:space="0" w:color="auto"/>
            <w:right w:val="none" w:sz="0" w:space="0" w:color="auto"/>
          </w:divBdr>
          <w:divsChild>
            <w:div w:id="1768967617">
              <w:marLeft w:val="0"/>
              <w:marRight w:val="0"/>
              <w:marTop w:val="0"/>
              <w:marBottom w:val="0"/>
              <w:divBdr>
                <w:top w:val="none" w:sz="0" w:space="0" w:color="auto"/>
                <w:left w:val="none" w:sz="0" w:space="0" w:color="auto"/>
                <w:bottom w:val="none" w:sz="0" w:space="0" w:color="auto"/>
                <w:right w:val="none" w:sz="0" w:space="0" w:color="auto"/>
              </w:divBdr>
              <w:divsChild>
                <w:div w:id="729305597">
                  <w:marLeft w:val="0"/>
                  <w:marRight w:val="0"/>
                  <w:marTop w:val="0"/>
                  <w:marBottom w:val="0"/>
                  <w:divBdr>
                    <w:top w:val="none" w:sz="0" w:space="0" w:color="auto"/>
                    <w:left w:val="none" w:sz="0" w:space="0" w:color="auto"/>
                    <w:bottom w:val="none" w:sz="0" w:space="0" w:color="auto"/>
                    <w:right w:val="none" w:sz="0" w:space="0" w:color="auto"/>
                  </w:divBdr>
                  <w:divsChild>
                    <w:div w:id="1012337259">
                      <w:marLeft w:val="0"/>
                      <w:marRight w:val="0"/>
                      <w:marTop w:val="0"/>
                      <w:marBottom w:val="0"/>
                      <w:divBdr>
                        <w:top w:val="none" w:sz="0" w:space="0" w:color="auto"/>
                        <w:left w:val="none" w:sz="0" w:space="0" w:color="auto"/>
                        <w:bottom w:val="none" w:sz="0" w:space="0" w:color="auto"/>
                        <w:right w:val="none" w:sz="0" w:space="0" w:color="auto"/>
                      </w:divBdr>
                      <w:divsChild>
                        <w:div w:id="1939020817">
                          <w:marLeft w:val="0"/>
                          <w:marRight w:val="0"/>
                          <w:marTop w:val="0"/>
                          <w:marBottom w:val="0"/>
                          <w:divBdr>
                            <w:top w:val="none" w:sz="0" w:space="0" w:color="auto"/>
                            <w:left w:val="none" w:sz="0" w:space="0" w:color="auto"/>
                            <w:bottom w:val="none" w:sz="0" w:space="0" w:color="auto"/>
                            <w:right w:val="none" w:sz="0" w:space="0" w:color="auto"/>
                          </w:divBdr>
                          <w:divsChild>
                            <w:div w:id="306974821">
                              <w:marLeft w:val="0"/>
                              <w:marRight w:val="0"/>
                              <w:marTop w:val="150"/>
                              <w:marBottom w:val="0"/>
                              <w:divBdr>
                                <w:top w:val="single" w:sz="6" w:space="0" w:color="EAEAEA"/>
                                <w:left w:val="single" w:sz="6" w:space="6" w:color="EAEAEA"/>
                                <w:bottom w:val="single" w:sz="6" w:space="0" w:color="EAEAEA"/>
                                <w:right w:val="single" w:sz="6" w:space="6" w:color="EAEAEA"/>
                              </w:divBdr>
                              <w:divsChild>
                                <w:div w:id="870191369">
                                  <w:marLeft w:val="0"/>
                                  <w:marRight w:val="0"/>
                                  <w:marTop w:val="0"/>
                                  <w:marBottom w:val="0"/>
                                  <w:divBdr>
                                    <w:top w:val="none" w:sz="0" w:space="0" w:color="auto"/>
                                    <w:left w:val="none" w:sz="0" w:space="0" w:color="auto"/>
                                    <w:bottom w:val="none" w:sz="0" w:space="0" w:color="auto"/>
                                    <w:right w:val="none" w:sz="0" w:space="0" w:color="auto"/>
                                  </w:divBdr>
                                  <w:divsChild>
                                    <w:div w:id="42149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715014">
      <w:bodyDiv w:val="1"/>
      <w:marLeft w:val="0"/>
      <w:marRight w:val="0"/>
      <w:marTop w:val="0"/>
      <w:marBottom w:val="0"/>
      <w:divBdr>
        <w:top w:val="none" w:sz="0" w:space="0" w:color="auto"/>
        <w:left w:val="none" w:sz="0" w:space="0" w:color="auto"/>
        <w:bottom w:val="none" w:sz="0" w:space="0" w:color="auto"/>
        <w:right w:val="none" w:sz="0" w:space="0" w:color="auto"/>
      </w:divBdr>
      <w:divsChild>
        <w:div w:id="1389258080">
          <w:marLeft w:val="0"/>
          <w:marRight w:val="0"/>
          <w:marTop w:val="0"/>
          <w:marBottom w:val="0"/>
          <w:divBdr>
            <w:top w:val="none" w:sz="0" w:space="0" w:color="auto"/>
            <w:left w:val="none" w:sz="0" w:space="0" w:color="auto"/>
            <w:bottom w:val="none" w:sz="0" w:space="0" w:color="auto"/>
            <w:right w:val="none" w:sz="0" w:space="0" w:color="auto"/>
          </w:divBdr>
          <w:divsChild>
            <w:div w:id="638731628">
              <w:marLeft w:val="0"/>
              <w:marRight w:val="0"/>
              <w:marTop w:val="0"/>
              <w:marBottom w:val="0"/>
              <w:divBdr>
                <w:top w:val="none" w:sz="0" w:space="0" w:color="auto"/>
                <w:left w:val="none" w:sz="0" w:space="0" w:color="auto"/>
                <w:bottom w:val="none" w:sz="0" w:space="0" w:color="auto"/>
                <w:right w:val="none" w:sz="0" w:space="0" w:color="auto"/>
              </w:divBdr>
              <w:divsChild>
                <w:div w:id="12655822">
                  <w:marLeft w:val="0"/>
                  <w:marRight w:val="0"/>
                  <w:marTop w:val="0"/>
                  <w:marBottom w:val="0"/>
                  <w:divBdr>
                    <w:top w:val="none" w:sz="0" w:space="0" w:color="auto"/>
                    <w:left w:val="none" w:sz="0" w:space="0" w:color="auto"/>
                    <w:bottom w:val="none" w:sz="0" w:space="0" w:color="auto"/>
                    <w:right w:val="none" w:sz="0" w:space="0" w:color="auto"/>
                  </w:divBdr>
                  <w:divsChild>
                    <w:div w:id="369499231">
                      <w:marLeft w:val="0"/>
                      <w:marRight w:val="0"/>
                      <w:marTop w:val="0"/>
                      <w:marBottom w:val="0"/>
                      <w:divBdr>
                        <w:top w:val="none" w:sz="0" w:space="0" w:color="auto"/>
                        <w:left w:val="none" w:sz="0" w:space="0" w:color="auto"/>
                        <w:bottom w:val="none" w:sz="0" w:space="0" w:color="auto"/>
                        <w:right w:val="none" w:sz="0" w:space="0" w:color="auto"/>
                      </w:divBdr>
                      <w:divsChild>
                        <w:div w:id="1977449618">
                          <w:marLeft w:val="0"/>
                          <w:marRight w:val="0"/>
                          <w:marTop w:val="0"/>
                          <w:marBottom w:val="0"/>
                          <w:divBdr>
                            <w:top w:val="none" w:sz="0" w:space="0" w:color="auto"/>
                            <w:left w:val="none" w:sz="0" w:space="0" w:color="auto"/>
                            <w:bottom w:val="none" w:sz="0" w:space="0" w:color="auto"/>
                            <w:right w:val="none" w:sz="0" w:space="0" w:color="auto"/>
                          </w:divBdr>
                          <w:divsChild>
                            <w:div w:id="1659842259">
                              <w:marLeft w:val="0"/>
                              <w:marRight w:val="0"/>
                              <w:marTop w:val="150"/>
                              <w:marBottom w:val="0"/>
                              <w:divBdr>
                                <w:top w:val="single" w:sz="6" w:space="0" w:color="EAEAEA"/>
                                <w:left w:val="single" w:sz="6" w:space="6" w:color="EAEAEA"/>
                                <w:bottom w:val="single" w:sz="6" w:space="0" w:color="EAEAEA"/>
                                <w:right w:val="single" w:sz="6" w:space="6" w:color="EAEAEA"/>
                              </w:divBdr>
                              <w:divsChild>
                                <w:div w:id="936450689">
                                  <w:marLeft w:val="0"/>
                                  <w:marRight w:val="0"/>
                                  <w:marTop w:val="0"/>
                                  <w:marBottom w:val="0"/>
                                  <w:divBdr>
                                    <w:top w:val="none" w:sz="0" w:space="0" w:color="auto"/>
                                    <w:left w:val="none" w:sz="0" w:space="0" w:color="auto"/>
                                    <w:bottom w:val="none" w:sz="0" w:space="0" w:color="auto"/>
                                    <w:right w:val="none" w:sz="0" w:space="0" w:color="auto"/>
                                  </w:divBdr>
                                  <w:divsChild>
                                    <w:div w:id="177093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641511">
      <w:bodyDiv w:val="1"/>
      <w:marLeft w:val="0"/>
      <w:marRight w:val="0"/>
      <w:marTop w:val="0"/>
      <w:marBottom w:val="0"/>
      <w:divBdr>
        <w:top w:val="none" w:sz="0" w:space="0" w:color="auto"/>
        <w:left w:val="none" w:sz="0" w:space="0" w:color="auto"/>
        <w:bottom w:val="none" w:sz="0" w:space="0" w:color="auto"/>
        <w:right w:val="none" w:sz="0" w:space="0" w:color="auto"/>
      </w:divBdr>
    </w:div>
    <w:div w:id="984624085">
      <w:bodyDiv w:val="1"/>
      <w:marLeft w:val="0"/>
      <w:marRight w:val="0"/>
      <w:marTop w:val="0"/>
      <w:marBottom w:val="0"/>
      <w:divBdr>
        <w:top w:val="none" w:sz="0" w:space="0" w:color="auto"/>
        <w:left w:val="none" w:sz="0" w:space="0" w:color="auto"/>
        <w:bottom w:val="none" w:sz="0" w:space="0" w:color="auto"/>
        <w:right w:val="none" w:sz="0" w:space="0" w:color="auto"/>
      </w:divBdr>
      <w:divsChild>
        <w:div w:id="604918678">
          <w:marLeft w:val="0"/>
          <w:marRight w:val="0"/>
          <w:marTop w:val="0"/>
          <w:marBottom w:val="0"/>
          <w:divBdr>
            <w:top w:val="none" w:sz="0" w:space="0" w:color="auto"/>
            <w:left w:val="none" w:sz="0" w:space="0" w:color="auto"/>
            <w:bottom w:val="none" w:sz="0" w:space="0" w:color="auto"/>
            <w:right w:val="none" w:sz="0" w:space="0" w:color="auto"/>
          </w:divBdr>
          <w:divsChild>
            <w:div w:id="1844737023">
              <w:marLeft w:val="0"/>
              <w:marRight w:val="0"/>
              <w:marTop w:val="0"/>
              <w:marBottom w:val="0"/>
              <w:divBdr>
                <w:top w:val="none" w:sz="0" w:space="0" w:color="auto"/>
                <w:left w:val="none" w:sz="0" w:space="0" w:color="auto"/>
                <w:bottom w:val="none" w:sz="0" w:space="0" w:color="auto"/>
                <w:right w:val="none" w:sz="0" w:space="0" w:color="auto"/>
              </w:divBdr>
              <w:divsChild>
                <w:div w:id="466318667">
                  <w:marLeft w:val="0"/>
                  <w:marRight w:val="0"/>
                  <w:marTop w:val="0"/>
                  <w:marBottom w:val="0"/>
                  <w:divBdr>
                    <w:top w:val="none" w:sz="0" w:space="0" w:color="auto"/>
                    <w:left w:val="none" w:sz="0" w:space="0" w:color="auto"/>
                    <w:bottom w:val="none" w:sz="0" w:space="0" w:color="auto"/>
                    <w:right w:val="none" w:sz="0" w:space="0" w:color="auto"/>
                  </w:divBdr>
                  <w:divsChild>
                    <w:div w:id="1697192512">
                      <w:marLeft w:val="0"/>
                      <w:marRight w:val="0"/>
                      <w:marTop w:val="0"/>
                      <w:marBottom w:val="0"/>
                      <w:divBdr>
                        <w:top w:val="none" w:sz="0" w:space="0" w:color="auto"/>
                        <w:left w:val="none" w:sz="0" w:space="0" w:color="auto"/>
                        <w:bottom w:val="none" w:sz="0" w:space="0" w:color="auto"/>
                        <w:right w:val="none" w:sz="0" w:space="0" w:color="auto"/>
                      </w:divBdr>
                      <w:divsChild>
                        <w:div w:id="1389263379">
                          <w:marLeft w:val="0"/>
                          <w:marRight w:val="0"/>
                          <w:marTop w:val="0"/>
                          <w:marBottom w:val="0"/>
                          <w:divBdr>
                            <w:top w:val="none" w:sz="0" w:space="0" w:color="auto"/>
                            <w:left w:val="none" w:sz="0" w:space="0" w:color="auto"/>
                            <w:bottom w:val="none" w:sz="0" w:space="0" w:color="auto"/>
                            <w:right w:val="none" w:sz="0" w:space="0" w:color="auto"/>
                          </w:divBdr>
                          <w:divsChild>
                            <w:div w:id="179323107">
                              <w:marLeft w:val="0"/>
                              <w:marRight w:val="0"/>
                              <w:marTop w:val="150"/>
                              <w:marBottom w:val="0"/>
                              <w:divBdr>
                                <w:top w:val="single" w:sz="6" w:space="0" w:color="EAEAEA"/>
                                <w:left w:val="single" w:sz="6" w:space="6" w:color="EAEAEA"/>
                                <w:bottom w:val="single" w:sz="6" w:space="0" w:color="EAEAEA"/>
                                <w:right w:val="single" w:sz="6" w:space="6" w:color="EAEAEA"/>
                              </w:divBdr>
                              <w:divsChild>
                                <w:div w:id="2080059242">
                                  <w:marLeft w:val="0"/>
                                  <w:marRight w:val="0"/>
                                  <w:marTop w:val="0"/>
                                  <w:marBottom w:val="0"/>
                                  <w:divBdr>
                                    <w:top w:val="none" w:sz="0" w:space="0" w:color="auto"/>
                                    <w:left w:val="none" w:sz="0" w:space="0" w:color="auto"/>
                                    <w:bottom w:val="none" w:sz="0" w:space="0" w:color="auto"/>
                                    <w:right w:val="none" w:sz="0" w:space="0" w:color="auto"/>
                                  </w:divBdr>
                                  <w:divsChild>
                                    <w:div w:id="10182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128072">
      <w:bodyDiv w:val="1"/>
      <w:marLeft w:val="0"/>
      <w:marRight w:val="0"/>
      <w:marTop w:val="0"/>
      <w:marBottom w:val="0"/>
      <w:divBdr>
        <w:top w:val="none" w:sz="0" w:space="0" w:color="auto"/>
        <w:left w:val="none" w:sz="0" w:space="0" w:color="auto"/>
        <w:bottom w:val="none" w:sz="0" w:space="0" w:color="auto"/>
        <w:right w:val="none" w:sz="0" w:space="0" w:color="auto"/>
      </w:divBdr>
      <w:divsChild>
        <w:div w:id="815880223">
          <w:marLeft w:val="0"/>
          <w:marRight w:val="0"/>
          <w:marTop w:val="0"/>
          <w:marBottom w:val="0"/>
          <w:divBdr>
            <w:top w:val="none" w:sz="0" w:space="0" w:color="auto"/>
            <w:left w:val="none" w:sz="0" w:space="0" w:color="auto"/>
            <w:bottom w:val="none" w:sz="0" w:space="0" w:color="auto"/>
            <w:right w:val="none" w:sz="0" w:space="0" w:color="auto"/>
          </w:divBdr>
          <w:divsChild>
            <w:div w:id="1690402095">
              <w:marLeft w:val="0"/>
              <w:marRight w:val="0"/>
              <w:marTop w:val="0"/>
              <w:marBottom w:val="0"/>
              <w:divBdr>
                <w:top w:val="none" w:sz="0" w:space="0" w:color="auto"/>
                <w:left w:val="none" w:sz="0" w:space="0" w:color="auto"/>
                <w:bottom w:val="none" w:sz="0" w:space="0" w:color="auto"/>
                <w:right w:val="none" w:sz="0" w:space="0" w:color="auto"/>
              </w:divBdr>
              <w:divsChild>
                <w:div w:id="55738029">
                  <w:marLeft w:val="0"/>
                  <w:marRight w:val="0"/>
                  <w:marTop w:val="0"/>
                  <w:marBottom w:val="0"/>
                  <w:divBdr>
                    <w:top w:val="none" w:sz="0" w:space="0" w:color="auto"/>
                    <w:left w:val="none" w:sz="0" w:space="0" w:color="auto"/>
                    <w:bottom w:val="none" w:sz="0" w:space="0" w:color="auto"/>
                    <w:right w:val="none" w:sz="0" w:space="0" w:color="auto"/>
                  </w:divBdr>
                  <w:divsChild>
                    <w:div w:id="1091900641">
                      <w:marLeft w:val="0"/>
                      <w:marRight w:val="0"/>
                      <w:marTop w:val="0"/>
                      <w:marBottom w:val="0"/>
                      <w:divBdr>
                        <w:top w:val="none" w:sz="0" w:space="0" w:color="auto"/>
                        <w:left w:val="none" w:sz="0" w:space="0" w:color="auto"/>
                        <w:bottom w:val="none" w:sz="0" w:space="0" w:color="auto"/>
                        <w:right w:val="none" w:sz="0" w:space="0" w:color="auto"/>
                      </w:divBdr>
                      <w:divsChild>
                        <w:div w:id="677267396">
                          <w:marLeft w:val="0"/>
                          <w:marRight w:val="0"/>
                          <w:marTop w:val="0"/>
                          <w:marBottom w:val="0"/>
                          <w:divBdr>
                            <w:top w:val="none" w:sz="0" w:space="0" w:color="auto"/>
                            <w:left w:val="none" w:sz="0" w:space="0" w:color="auto"/>
                            <w:bottom w:val="none" w:sz="0" w:space="0" w:color="auto"/>
                            <w:right w:val="none" w:sz="0" w:space="0" w:color="auto"/>
                          </w:divBdr>
                          <w:divsChild>
                            <w:div w:id="1485128162">
                              <w:marLeft w:val="0"/>
                              <w:marRight w:val="0"/>
                              <w:marTop w:val="150"/>
                              <w:marBottom w:val="0"/>
                              <w:divBdr>
                                <w:top w:val="single" w:sz="6" w:space="0" w:color="EAEAEA"/>
                                <w:left w:val="single" w:sz="6" w:space="6" w:color="EAEAEA"/>
                                <w:bottom w:val="single" w:sz="6" w:space="0" w:color="EAEAEA"/>
                                <w:right w:val="single" w:sz="6" w:space="6" w:color="EAEAEA"/>
                              </w:divBdr>
                              <w:divsChild>
                                <w:div w:id="1471745234">
                                  <w:marLeft w:val="0"/>
                                  <w:marRight w:val="0"/>
                                  <w:marTop w:val="0"/>
                                  <w:marBottom w:val="0"/>
                                  <w:divBdr>
                                    <w:top w:val="none" w:sz="0" w:space="0" w:color="auto"/>
                                    <w:left w:val="none" w:sz="0" w:space="0" w:color="auto"/>
                                    <w:bottom w:val="none" w:sz="0" w:space="0" w:color="auto"/>
                                    <w:right w:val="none" w:sz="0" w:space="0" w:color="auto"/>
                                  </w:divBdr>
                                  <w:divsChild>
                                    <w:div w:id="20111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13136">
      <w:bodyDiv w:val="1"/>
      <w:marLeft w:val="0"/>
      <w:marRight w:val="0"/>
      <w:marTop w:val="0"/>
      <w:marBottom w:val="0"/>
      <w:divBdr>
        <w:top w:val="none" w:sz="0" w:space="0" w:color="auto"/>
        <w:left w:val="none" w:sz="0" w:space="0" w:color="auto"/>
        <w:bottom w:val="none" w:sz="0" w:space="0" w:color="auto"/>
        <w:right w:val="none" w:sz="0" w:space="0" w:color="auto"/>
      </w:divBdr>
    </w:div>
    <w:div w:id="1060325688">
      <w:bodyDiv w:val="1"/>
      <w:marLeft w:val="0"/>
      <w:marRight w:val="0"/>
      <w:marTop w:val="0"/>
      <w:marBottom w:val="0"/>
      <w:divBdr>
        <w:top w:val="none" w:sz="0" w:space="0" w:color="auto"/>
        <w:left w:val="none" w:sz="0" w:space="0" w:color="auto"/>
        <w:bottom w:val="none" w:sz="0" w:space="0" w:color="auto"/>
        <w:right w:val="none" w:sz="0" w:space="0" w:color="auto"/>
      </w:divBdr>
    </w:div>
    <w:div w:id="1063912072">
      <w:bodyDiv w:val="1"/>
      <w:marLeft w:val="0"/>
      <w:marRight w:val="0"/>
      <w:marTop w:val="0"/>
      <w:marBottom w:val="0"/>
      <w:divBdr>
        <w:top w:val="none" w:sz="0" w:space="0" w:color="auto"/>
        <w:left w:val="none" w:sz="0" w:space="0" w:color="auto"/>
        <w:bottom w:val="none" w:sz="0" w:space="0" w:color="auto"/>
        <w:right w:val="none" w:sz="0" w:space="0" w:color="auto"/>
      </w:divBdr>
      <w:divsChild>
        <w:div w:id="626471484">
          <w:marLeft w:val="0"/>
          <w:marRight w:val="0"/>
          <w:marTop w:val="0"/>
          <w:marBottom w:val="0"/>
          <w:divBdr>
            <w:top w:val="single" w:sz="12" w:space="0" w:color="CCCCCC"/>
            <w:left w:val="single" w:sz="12" w:space="0" w:color="CCCCCC"/>
            <w:bottom w:val="single" w:sz="12" w:space="0" w:color="CCCCCC"/>
            <w:right w:val="single" w:sz="12" w:space="0" w:color="CCCCCC"/>
          </w:divBdr>
          <w:divsChild>
            <w:div w:id="1496409620">
              <w:marLeft w:val="0"/>
              <w:marRight w:val="0"/>
              <w:marTop w:val="0"/>
              <w:marBottom w:val="0"/>
              <w:divBdr>
                <w:top w:val="none" w:sz="0" w:space="0" w:color="auto"/>
                <w:left w:val="none" w:sz="0" w:space="0" w:color="auto"/>
                <w:bottom w:val="none" w:sz="0" w:space="0" w:color="auto"/>
                <w:right w:val="none" w:sz="0" w:space="0" w:color="auto"/>
              </w:divBdr>
              <w:divsChild>
                <w:div w:id="543446808">
                  <w:marLeft w:val="0"/>
                  <w:marRight w:val="0"/>
                  <w:marTop w:val="0"/>
                  <w:marBottom w:val="0"/>
                  <w:divBdr>
                    <w:top w:val="none" w:sz="0" w:space="0" w:color="auto"/>
                    <w:left w:val="none" w:sz="0" w:space="0" w:color="auto"/>
                    <w:bottom w:val="none" w:sz="0" w:space="0" w:color="auto"/>
                    <w:right w:val="none" w:sz="0" w:space="0" w:color="auto"/>
                  </w:divBdr>
                  <w:divsChild>
                    <w:div w:id="246884442">
                      <w:marLeft w:val="0"/>
                      <w:marRight w:val="0"/>
                      <w:marTop w:val="0"/>
                      <w:marBottom w:val="0"/>
                      <w:divBdr>
                        <w:top w:val="none" w:sz="0" w:space="0" w:color="auto"/>
                        <w:left w:val="none" w:sz="0" w:space="0" w:color="auto"/>
                        <w:bottom w:val="none" w:sz="0" w:space="0" w:color="auto"/>
                        <w:right w:val="none" w:sz="0" w:space="0" w:color="auto"/>
                      </w:divBdr>
                      <w:divsChild>
                        <w:div w:id="792092299">
                          <w:marLeft w:val="0"/>
                          <w:marRight w:val="0"/>
                          <w:marTop w:val="0"/>
                          <w:marBottom w:val="0"/>
                          <w:divBdr>
                            <w:top w:val="none" w:sz="0" w:space="0" w:color="auto"/>
                            <w:left w:val="none" w:sz="0" w:space="0" w:color="auto"/>
                            <w:bottom w:val="none" w:sz="0" w:space="0" w:color="auto"/>
                            <w:right w:val="none" w:sz="0" w:space="0" w:color="auto"/>
                          </w:divBdr>
                          <w:divsChild>
                            <w:div w:id="1153138271">
                              <w:marLeft w:val="0"/>
                              <w:marRight w:val="0"/>
                              <w:marTop w:val="0"/>
                              <w:marBottom w:val="0"/>
                              <w:divBdr>
                                <w:top w:val="none" w:sz="0" w:space="0" w:color="auto"/>
                                <w:left w:val="none" w:sz="0" w:space="0" w:color="auto"/>
                                <w:bottom w:val="none" w:sz="0" w:space="0" w:color="auto"/>
                                <w:right w:val="none" w:sz="0" w:space="0" w:color="auto"/>
                              </w:divBdr>
                              <w:divsChild>
                                <w:div w:id="108355676">
                                  <w:marLeft w:val="0"/>
                                  <w:marRight w:val="0"/>
                                  <w:marTop w:val="0"/>
                                  <w:marBottom w:val="0"/>
                                  <w:divBdr>
                                    <w:top w:val="none" w:sz="0" w:space="0" w:color="auto"/>
                                    <w:left w:val="none" w:sz="0" w:space="0" w:color="auto"/>
                                    <w:bottom w:val="none" w:sz="0" w:space="0" w:color="auto"/>
                                    <w:right w:val="none" w:sz="0" w:space="0" w:color="auto"/>
                                  </w:divBdr>
                                  <w:divsChild>
                                    <w:div w:id="213027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677364">
      <w:bodyDiv w:val="1"/>
      <w:marLeft w:val="0"/>
      <w:marRight w:val="0"/>
      <w:marTop w:val="0"/>
      <w:marBottom w:val="0"/>
      <w:divBdr>
        <w:top w:val="none" w:sz="0" w:space="0" w:color="auto"/>
        <w:left w:val="none" w:sz="0" w:space="0" w:color="auto"/>
        <w:bottom w:val="none" w:sz="0" w:space="0" w:color="auto"/>
        <w:right w:val="none" w:sz="0" w:space="0" w:color="auto"/>
      </w:divBdr>
      <w:divsChild>
        <w:div w:id="1918780055">
          <w:marLeft w:val="0"/>
          <w:marRight w:val="0"/>
          <w:marTop w:val="0"/>
          <w:marBottom w:val="0"/>
          <w:divBdr>
            <w:top w:val="none" w:sz="0" w:space="0" w:color="auto"/>
            <w:left w:val="none" w:sz="0" w:space="0" w:color="auto"/>
            <w:bottom w:val="none" w:sz="0" w:space="0" w:color="auto"/>
            <w:right w:val="none" w:sz="0" w:space="0" w:color="auto"/>
          </w:divBdr>
          <w:divsChild>
            <w:div w:id="818958057">
              <w:marLeft w:val="0"/>
              <w:marRight w:val="0"/>
              <w:marTop w:val="0"/>
              <w:marBottom w:val="0"/>
              <w:divBdr>
                <w:top w:val="none" w:sz="0" w:space="0" w:color="auto"/>
                <w:left w:val="none" w:sz="0" w:space="0" w:color="auto"/>
                <w:bottom w:val="none" w:sz="0" w:space="0" w:color="auto"/>
                <w:right w:val="none" w:sz="0" w:space="0" w:color="auto"/>
              </w:divBdr>
              <w:divsChild>
                <w:div w:id="1710689589">
                  <w:marLeft w:val="0"/>
                  <w:marRight w:val="0"/>
                  <w:marTop w:val="0"/>
                  <w:marBottom w:val="0"/>
                  <w:divBdr>
                    <w:top w:val="none" w:sz="0" w:space="0" w:color="auto"/>
                    <w:left w:val="none" w:sz="0" w:space="0" w:color="auto"/>
                    <w:bottom w:val="none" w:sz="0" w:space="0" w:color="auto"/>
                    <w:right w:val="none" w:sz="0" w:space="0" w:color="auto"/>
                  </w:divBdr>
                  <w:divsChild>
                    <w:div w:id="1429809024">
                      <w:marLeft w:val="0"/>
                      <w:marRight w:val="0"/>
                      <w:marTop w:val="0"/>
                      <w:marBottom w:val="0"/>
                      <w:divBdr>
                        <w:top w:val="none" w:sz="0" w:space="0" w:color="auto"/>
                        <w:left w:val="none" w:sz="0" w:space="0" w:color="auto"/>
                        <w:bottom w:val="none" w:sz="0" w:space="0" w:color="auto"/>
                        <w:right w:val="none" w:sz="0" w:space="0" w:color="auto"/>
                      </w:divBdr>
                      <w:divsChild>
                        <w:div w:id="31615092">
                          <w:marLeft w:val="0"/>
                          <w:marRight w:val="0"/>
                          <w:marTop w:val="0"/>
                          <w:marBottom w:val="0"/>
                          <w:divBdr>
                            <w:top w:val="none" w:sz="0" w:space="0" w:color="auto"/>
                            <w:left w:val="none" w:sz="0" w:space="0" w:color="auto"/>
                            <w:bottom w:val="none" w:sz="0" w:space="0" w:color="auto"/>
                            <w:right w:val="none" w:sz="0" w:space="0" w:color="auto"/>
                          </w:divBdr>
                          <w:divsChild>
                            <w:div w:id="767043703">
                              <w:marLeft w:val="0"/>
                              <w:marRight w:val="0"/>
                              <w:marTop w:val="150"/>
                              <w:marBottom w:val="0"/>
                              <w:divBdr>
                                <w:top w:val="single" w:sz="6" w:space="0" w:color="EAEAEA"/>
                                <w:left w:val="single" w:sz="6" w:space="6" w:color="EAEAEA"/>
                                <w:bottom w:val="single" w:sz="6" w:space="0" w:color="EAEAEA"/>
                                <w:right w:val="single" w:sz="6" w:space="6" w:color="EAEAEA"/>
                              </w:divBdr>
                              <w:divsChild>
                                <w:div w:id="237326146">
                                  <w:marLeft w:val="0"/>
                                  <w:marRight w:val="0"/>
                                  <w:marTop w:val="0"/>
                                  <w:marBottom w:val="0"/>
                                  <w:divBdr>
                                    <w:top w:val="none" w:sz="0" w:space="0" w:color="auto"/>
                                    <w:left w:val="none" w:sz="0" w:space="0" w:color="auto"/>
                                    <w:bottom w:val="none" w:sz="0" w:space="0" w:color="auto"/>
                                    <w:right w:val="none" w:sz="0" w:space="0" w:color="auto"/>
                                  </w:divBdr>
                                  <w:divsChild>
                                    <w:div w:id="95486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811410">
      <w:bodyDiv w:val="1"/>
      <w:marLeft w:val="0"/>
      <w:marRight w:val="0"/>
      <w:marTop w:val="0"/>
      <w:marBottom w:val="0"/>
      <w:divBdr>
        <w:top w:val="none" w:sz="0" w:space="0" w:color="auto"/>
        <w:left w:val="none" w:sz="0" w:space="0" w:color="auto"/>
        <w:bottom w:val="none" w:sz="0" w:space="0" w:color="auto"/>
        <w:right w:val="none" w:sz="0" w:space="0" w:color="auto"/>
      </w:divBdr>
      <w:divsChild>
        <w:div w:id="1220746658">
          <w:marLeft w:val="0"/>
          <w:marRight w:val="0"/>
          <w:marTop w:val="0"/>
          <w:marBottom w:val="0"/>
          <w:divBdr>
            <w:top w:val="none" w:sz="0" w:space="0" w:color="auto"/>
            <w:left w:val="none" w:sz="0" w:space="0" w:color="auto"/>
            <w:bottom w:val="none" w:sz="0" w:space="0" w:color="auto"/>
            <w:right w:val="none" w:sz="0" w:space="0" w:color="auto"/>
          </w:divBdr>
          <w:divsChild>
            <w:div w:id="695275616">
              <w:marLeft w:val="0"/>
              <w:marRight w:val="0"/>
              <w:marTop w:val="0"/>
              <w:marBottom w:val="0"/>
              <w:divBdr>
                <w:top w:val="none" w:sz="0" w:space="0" w:color="auto"/>
                <w:left w:val="none" w:sz="0" w:space="0" w:color="auto"/>
                <w:bottom w:val="none" w:sz="0" w:space="0" w:color="auto"/>
                <w:right w:val="none" w:sz="0" w:space="0" w:color="auto"/>
              </w:divBdr>
              <w:divsChild>
                <w:div w:id="41759141">
                  <w:marLeft w:val="0"/>
                  <w:marRight w:val="0"/>
                  <w:marTop w:val="0"/>
                  <w:marBottom w:val="0"/>
                  <w:divBdr>
                    <w:top w:val="none" w:sz="0" w:space="0" w:color="auto"/>
                    <w:left w:val="none" w:sz="0" w:space="0" w:color="auto"/>
                    <w:bottom w:val="none" w:sz="0" w:space="0" w:color="auto"/>
                    <w:right w:val="none" w:sz="0" w:space="0" w:color="auto"/>
                  </w:divBdr>
                  <w:divsChild>
                    <w:div w:id="1502740763">
                      <w:marLeft w:val="0"/>
                      <w:marRight w:val="0"/>
                      <w:marTop w:val="0"/>
                      <w:marBottom w:val="0"/>
                      <w:divBdr>
                        <w:top w:val="none" w:sz="0" w:space="0" w:color="auto"/>
                        <w:left w:val="none" w:sz="0" w:space="0" w:color="auto"/>
                        <w:bottom w:val="none" w:sz="0" w:space="0" w:color="auto"/>
                        <w:right w:val="none" w:sz="0" w:space="0" w:color="auto"/>
                      </w:divBdr>
                      <w:divsChild>
                        <w:div w:id="1686904646">
                          <w:marLeft w:val="0"/>
                          <w:marRight w:val="0"/>
                          <w:marTop w:val="0"/>
                          <w:marBottom w:val="0"/>
                          <w:divBdr>
                            <w:top w:val="none" w:sz="0" w:space="0" w:color="auto"/>
                            <w:left w:val="none" w:sz="0" w:space="0" w:color="auto"/>
                            <w:bottom w:val="none" w:sz="0" w:space="0" w:color="auto"/>
                            <w:right w:val="none" w:sz="0" w:space="0" w:color="auto"/>
                          </w:divBdr>
                          <w:divsChild>
                            <w:div w:id="1675910954">
                              <w:marLeft w:val="0"/>
                              <w:marRight w:val="0"/>
                              <w:marTop w:val="150"/>
                              <w:marBottom w:val="0"/>
                              <w:divBdr>
                                <w:top w:val="single" w:sz="6" w:space="0" w:color="EAEAEA"/>
                                <w:left w:val="single" w:sz="6" w:space="6" w:color="EAEAEA"/>
                                <w:bottom w:val="single" w:sz="6" w:space="0" w:color="EAEAEA"/>
                                <w:right w:val="single" w:sz="6" w:space="6" w:color="EAEAEA"/>
                              </w:divBdr>
                              <w:divsChild>
                                <w:div w:id="1847089458">
                                  <w:marLeft w:val="0"/>
                                  <w:marRight w:val="0"/>
                                  <w:marTop w:val="0"/>
                                  <w:marBottom w:val="0"/>
                                  <w:divBdr>
                                    <w:top w:val="none" w:sz="0" w:space="0" w:color="auto"/>
                                    <w:left w:val="none" w:sz="0" w:space="0" w:color="auto"/>
                                    <w:bottom w:val="none" w:sz="0" w:space="0" w:color="auto"/>
                                    <w:right w:val="none" w:sz="0" w:space="0" w:color="auto"/>
                                  </w:divBdr>
                                  <w:divsChild>
                                    <w:div w:id="193115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9815610">
      <w:bodyDiv w:val="1"/>
      <w:marLeft w:val="0"/>
      <w:marRight w:val="0"/>
      <w:marTop w:val="0"/>
      <w:marBottom w:val="0"/>
      <w:divBdr>
        <w:top w:val="none" w:sz="0" w:space="0" w:color="auto"/>
        <w:left w:val="none" w:sz="0" w:space="0" w:color="auto"/>
        <w:bottom w:val="none" w:sz="0" w:space="0" w:color="auto"/>
        <w:right w:val="none" w:sz="0" w:space="0" w:color="auto"/>
      </w:divBdr>
      <w:divsChild>
        <w:div w:id="1528060617">
          <w:marLeft w:val="0"/>
          <w:marRight w:val="0"/>
          <w:marTop w:val="0"/>
          <w:marBottom w:val="0"/>
          <w:divBdr>
            <w:top w:val="none" w:sz="0" w:space="0" w:color="auto"/>
            <w:left w:val="none" w:sz="0" w:space="0" w:color="auto"/>
            <w:bottom w:val="none" w:sz="0" w:space="0" w:color="auto"/>
            <w:right w:val="none" w:sz="0" w:space="0" w:color="auto"/>
          </w:divBdr>
          <w:divsChild>
            <w:div w:id="1542745618">
              <w:marLeft w:val="0"/>
              <w:marRight w:val="0"/>
              <w:marTop w:val="0"/>
              <w:marBottom w:val="0"/>
              <w:divBdr>
                <w:top w:val="none" w:sz="0" w:space="0" w:color="auto"/>
                <w:left w:val="none" w:sz="0" w:space="0" w:color="auto"/>
                <w:bottom w:val="none" w:sz="0" w:space="0" w:color="auto"/>
                <w:right w:val="none" w:sz="0" w:space="0" w:color="auto"/>
              </w:divBdr>
              <w:divsChild>
                <w:div w:id="393235971">
                  <w:marLeft w:val="0"/>
                  <w:marRight w:val="0"/>
                  <w:marTop w:val="0"/>
                  <w:marBottom w:val="0"/>
                  <w:divBdr>
                    <w:top w:val="none" w:sz="0" w:space="0" w:color="auto"/>
                    <w:left w:val="none" w:sz="0" w:space="0" w:color="auto"/>
                    <w:bottom w:val="none" w:sz="0" w:space="0" w:color="auto"/>
                    <w:right w:val="none" w:sz="0" w:space="0" w:color="auto"/>
                  </w:divBdr>
                  <w:divsChild>
                    <w:div w:id="813251932">
                      <w:marLeft w:val="0"/>
                      <w:marRight w:val="0"/>
                      <w:marTop w:val="0"/>
                      <w:marBottom w:val="0"/>
                      <w:divBdr>
                        <w:top w:val="none" w:sz="0" w:space="0" w:color="auto"/>
                        <w:left w:val="none" w:sz="0" w:space="0" w:color="auto"/>
                        <w:bottom w:val="none" w:sz="0" w:space="0" w:color="auto"/>
                        <w:right w:val="none" w:sz="0" w:space="0" w:color="auto"/>
                      </w:divBdr>
                      <w:divsChild>
                        <w:div w:id="1181629932">
                          <w:marLeft w:val="0"/>
                          <w:marRight w:val="0"/>
                          <w:marTop w:val="0"/>
                          <w:marBottom w:val="0"/>
                          <w:divBdr>
                            <w:top w:val="none" w:sz="0" w:space="0" w:color="auto"/>
                            <w:left w:val="none" w:sz="0" w:space="0" w:color="auto"/>
                            <w:bottom w:val="none" w:sz="0" w:space="0" w:color="auto"/>
                            <w:right w:val="none" w:sz="0" w:space="0" w:color="auto"/>
                          </w:divBdr>
                          <w:divsChild>
                            <w:div w:id="1778019087">
                              <w:marLeft w:val="0"/>
                              <w:marRight w:val="0"/>
                              <w:marTop w:val="150"/>
                              <w:marBottom w:val="0"/>
                              <w:divBdr>
                                <w:top w:val="single" w:sz="6" w:space="0" w:color="EAEAEA"/>
                                <w:left w:val="single" w:sz="6" w:space="6" w:color="EAEAEA"/>
                                <w:bottom w:val="single" w:sz="6" w:space="0" w:color="EAEAEA"/>
                                <w:right w:val="single" w:sz="6" w:space="6" w:color="EAEAEA"/>
                              </w:divBdr>
                              <w:divsChild>
                                <w:div w:id="1723748881">
                                  <w:marLeft w:val="0"/>
                                  <w:marRight w:val="0"/>
                                  <w:marTop w:val="0"/>
                                  <w:marBottom w:val="0"/>
                                  <w:divBdr>
                                    <w:top w:val="none" w:sz="0" w:space="0" w:color="auto"/>
                                    <w:left w:val="none" w:sz="0" w:space="0" w:color="auto"/>
                                    <w:bottom w:val="none" w:sz="0" w:space="0" w:color="auto"/>
                                    <w:right w:val="none" w:sz="0" w:space="0" w:color="auto"/>
                                  </w:divBdr>
                                  <w:divsChild>
                                    <w:div w:id="139100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331744">
      <w:bodyDiv w:val="1"/>
      <w:marLeft w:val="0"/>
      <w:marRight w:val="0"/>
      <w:marTop w:val="0"/>
      <w:marBottom w:val="0"/>
      <w:divBdr>
        <w:top w:val="none" w:sz="0" w:space="0" w:color="auto"/>
        <w:left w:val="none" w:sz="0" w:space="0" w:color="auto"/>
        <w:bottom w:val="none" w:sz="0" w:space="0" w:color="auto"/>
        <w:right w:val="none" w:sz="0" w:space="0" w:color="auto"/>
      </w:divBdr>
      <w:divsChild>
        <w:div w:id="198277545">
          <w:marLeft w:val="0"/>
          <w:marRight w:val="0"/>
          <w:marTop w:val="0"/>
          <w:marBottom w:val="0"/>
          <w:divBdr>
            <w:top w:val="none" w:sz="0" w:space="0" w:color="auto"/>
            <w:left w:val="none" w:sz="0" w:space="0" w:color="auto"/>
            <w:bottom w:val="none" w:sz="0" w:space="0" w:color="auto"/>
            <w:right w:val="none" w:sz="0" w:space="0" w:color="auto"/>
          </w:divBdr>
          <w:divsChild>
            <w:div w:id="1041588735">
              <w:marLeft w:val="0"/>
              <w:marRight w:val="0"/>
              <w:marTop w:val="0"/>
              <w:marBottom w:val="0"/>
              <w:divBdr>
                <w:top w:val="none" w:sz="0" w:space="0" w:color="auto"/>
                <w:left w:val="none" w:sz="0" w:space="0" w:color="auto"/>
                <w:bottom w:val="none" w:sz="0" w:space="0" w:color="auto"/>
                <w:right w:val="none" w:sz="0" w:space="0" w:color="auto"/>
              </w:divBdr>
              <w:divsChild>
                <w:div w:id="1823504257">
                  <w:marLeft w:val="0"/>
                  <w:marRight w:val="0"/>
                  <w:marTop w:val="0"/>
                  <w:marBottom w:val="0"/>
                  <w:divBdr>
                    <w:top w:val="none" w:sz="0" w:space="0" w:color="auto"/>
                    <w:left w:val="none" w:sz="0" w:space="0" w:color="auto"/>
                    <w:bottom w:val="none" w:sz="0" w:space="0" w:color="auto"/>
                    <w:right w:val="none" w:sz="0" w:space="0" w:color="auto"/>
                  </w:divBdr>
                  <w:divsChild>
                    <w:div w:id="488252902">
                      <w:marLeft w:val="0"/>
                      <w:marRight w:val="0"/>
                      <w:marTop w:val="0"/>
                      <w:marBottom w:val="0"/>
                      <w:divBdr>
                        <w:top w:val="none" w:sz="0" w:space="0" w:color="auto"/>
                        <w:left w:val="none" w:sz="0" w:space="0" w:color="auto"/>
                        <w:bottom w:val="none" w:sz="0" w:space="0" w:color="auto"/>
                        <w:right w:val="none" w:sz="0" w:space="0" w:color="auto"/>
                      </w:divBdr>
                      <w:divsChild>
                        <w:div w:id="418450350">
                          <w:marLeft w:val="0"/>
                          <w:marRight w:val="0"/>
                          <w:marTop w:val="0"/>
                          <w:marBottom w:val="0"/>
                          <w:divBdr>
                            <w:top w:val="none" w:sz="0" w:space="0" w:color="auto"/>
                            <w:left w:val="none" w:sz="0" w:space="0" w:color="auto"/>
                            <w:bottom w:val="none" w:sz="0" w:space="0" w:color="auto"/>
                            <w:right w:val="none" w:sz="0" w:space="0" w:color="auto"/>
                          </w:divBdr>
                          <w:divsChild>
                            <w:div w:id="1729766543">
                              <w:marLeft w:val="0"/>
                              <w:marRight w:val="0"/>
                              <w:marTop w:val="150"/>
                              <w:marBottom w:val="0"/>
                              <w:divBdr>
                                <w:top w:val="single" w:sz="6" w:space="0" w:color="EAEAEA"/>
                                <w:left w:val="single" w:sz="6" w:space="6" w:color="EAEAEA"/>
                                <w:bottom w:val="single" w:sz="6" w:space="0" w:color="EAEAEA"/>
                                <w:right w:val="single" w:sz="6" w:space="6" w:color="EAEAEA"/>
                              </w:divBdr>
                              <w:divsChild>
                                <w:div w:id="2137680709">
                                  <w:marLeft w:val="0"/>
                                  <w:marRight w:val="0"/>
                                  <w:marTop w:val="0"/>
                                  <w:marBottom w:val="0"/>
                                  <w:divBdr>
                                    <w:top w:val="none" w:sz="0" w:space="0" w:color="auto"/>
                                    <w:left w:val="none" w:sz="0" w:space="0" w:color="auto"/>
                                    <w:bottom w:val="none" w:sz="0" w:space="0" w:color="auto"/>
                                    <w:right w:val="none" w:sz="0" w:space="0" w:color="auto"/>
                                  </w:divBdr>
                                  <w:divsChild>
                                    <w:div w:id="5796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837832">
      <w:bodyDiv w:val="1"/>
      <w:marLeft w:val="0"/>
      <w:marRight w:val="0"/>
      <w:marTop w:val="0"/>
      <w:marBottom w:val="0"/>
      <w:divBdr>
        <w:top w:val="none" w:sz="0" w:space="0" w:color="auto"/>
        <w:left w:val="none" w:sz="0" w:space="0" w:color="auto"/>
        <w:bottom w:val="none" w:sz="0" w:space="0" w:color="auto"/>
        <w:right w:val="none" w:sz="0" w:space="0" w:color="auto"/>
      </w:divBdr>
      <w:divsChild>
        <w:div w:id="1166869531">
          <w:marLeft w:val="0"/>
          <w:marRight w:val="0"/>
          <w:marTop w:val="0"/>
          <w:marBottom w:val="0"/>
          <w:divBdr>
            <w:top w:val="none" w:sz="0" w:space="0" w:color="auto"/>
            <w:left w:val="none" w:sz="0" w:space="0" w:color="auto"/>
            <w:bottom w:val="none" w:sz="0" w:space="0" w:color="auto"/>
            <w:right w:val="none" w:sz="0" w:space="0" w:color="auto"/>
          </w:divBdr>
          <w:divsChild>
            <w:div w:id="930894539">
              <w:marLeft w:val="0"/>
              <w:marRight w:val="0"/>
              <w:marTop w:val="0"/>
              <w:marBottom w:val="0"/>
              <w:divBdr>
                <w:top w:val="none" w:sz="0" w:space="0" w:color="auto"/>
                <w:left w:val="none" w:sz="0" w:space="0" w:color="auto"/>
                <w:bottom w:val="none" w:sz="0" w:space="0" w:color="auto"/>
                <w:right w:val="none" w:sz="0" w:space="0" w:color="auto"/>
              </w:divBdr>
              <w:divsChild>
                <w:div w:id="716508042">
                  <w:marLeft w:val="0"/>
                  <w:marRight w:val="0"/>
                  <w:marTop w:val="0"/>
                  <w:marBottom w:val="0"/>
                  <w:divBdr>
                    <w:top w:val="none" w:sz="0" w:space="0" w:color="auto"/>
                    <w:left w:val="none" w:sz="0" w:space="0" w:color="auto"/>
                    <w:bottom w:val="none" w:sz="0" w:space="0" w:color="auto"/>
                    <w:right w:val="none" w:sz="0" w:space="0" w:color="auto"/>
                  </w:divBdr>
                  <w:divsChild>
                    <w:div w:id="1792555677">
                      <w:marLeft w:val="0"/>
                      <w:marRight w:val="0"/>
                      <w:marTop w:val="0"/>
                      <w:marBottom w:val="0"/>
                      <w:divBdr>
                        <w:top w:val="none" w:sz="0" w:space="0" w:color="auto"/>
                        <w:left w:val="none" w:sz="0" w:space="0" w:color="auto"/>
                        <w:bottom w:val="none" w:sz="0" w:space="0" w:color="auto"/>
                        <w:right w:val="none" w:sz="0" w:space="0" w:color="auto"/>
                      </w:divBdr>
                      <w:divsChild>
                        <w:div w:id="1089931634">
                          <w:marLeft w:val="0"/>
                          <w:marRight w:val="0"/>
                          <w:marTop w:val="0"/>
                          <w:marBottom w:val="0"/>
                          <w:divBdr>
                            <w:top w:val="none" w:sz="0" w:space="0" w:color="auto"/>
                            <w:left w:val="none" w:sz="0" w:space="0" w:color="auto"/>
                            <w:bottom w:val="none" w:sz="0" w:space="0" w:color="auto"/>
                            <w:right w:val="none" w:sz="0" w:space="0" w:color="auto"/>
                          </w:divBdr>
                          <w:divsChild>
                            <w:div w:id="77289673">
                              <w:marLeft w:val="0"/>
                              <w:marRight w:val="0"/>
                              <w:marTop w:val="150"/>
                              <w:marBottom w:val="0"/>
                              <w:divBdr>
                                <w:top w:val="single" w:sz="6" w:space="0" w:color="EAEAEA"/>
                                <w:left w:val="single" w:sz="6" w:space="6" w:color="EAEAEA"/>
                                <w:bottom w:val="single" w:sz="6" w:space="0" w:color="EAEAEA"/>
                                <w:right w:val="single" w:sz="6" w:space="6" w:color="EAEAEA"/>
                              </w:divBdr>
                              <w:divsChild>
                                <w:div w:id="2061787790">
                                  <w:marLeft w:val="0"/>
                                  <w:marRight w:val="0"/>
                                  <w:marTop w:val="0"/>
                                  <w:marBottom w:val="0"/>
                                  <w:divBdr>
                                    <w:top w:val="none" w:sz="0" w:space="0" w:color="auto"/>
                                    <w:left w:val="none" w:sz="0" w:space="0" w:color="auto"/>
                                    <w:bottom w:val="none" w:sz="0" w:space="0" w:color="auto"/>
                                    <w:right w:val="none" w:sz="0" w:space="0" w:color="auto"/>
                                  </w:divBdr>
                                  <w:divsChild>
                                    <w:div w:id="20001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F812A-29C4-4F1A-A57E-543D4CB4D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2807</Words>
  <Characters>14817</Characters>
  <Application>Microsoft Office Word</Application>
  <DocSecurity>4</DocSecurity>
  <Lines>123</Lines>
  <Paragraphs>35</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17589</CharactersWithSpaces>
  <SharedDoc>false</SharedDoc>
  <HLinks>
    <vt:vector size="12" baseType="variant">
      <vt:variant>
        <vt:i4>3473486</vt:i4>
      </vt:variant>
      <vt:variant>
        <vt:i4>3</vt:i4>
      </vt:variant>
      <vt:variant>
        <vt:i4>0</vt:i4>
      </vt:variant>
      <vt:variant>
        <vt:i4>5</vt:i4>
      </vt:variant>
      <vt:variant>
        <vt:lpwstr>javascript:Redirection('LE0000519525_Vigente.HTML')</vt:lpwstr>
      </vt:variant>
      <vt:variant>
        <vt:lpwstr/>
      </vt:variant>
      <vt:variant>
        <vt:i4>3539032</vt:i4>
      </vt:variant>
      <vt:variant>
        <vt:i4>0</vt:i4>
      </vt:variant>
      <vt:variant>
        <vt:i4>0</vt:i4>
      </vt:variant>
      <vt:variant>
        <vt:i4>5</vt:i4>
      </vt:variant>
      <vt:variant>
        <vt:lpwstr>javascript:Redirection('LE0000519525_Vigente.HTML</vt:lpwstr>
      </vt:variant>
      <vt:variant>
        <vt:lpwstr>I449')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Saez de Lafuente Uzabal, Nati</cp:lastModifiedBy>
  <cp:revision>2</cp:revision>
  <cp:lastPrinted>2021-09-21T05:26:00Z</cp:lastPrinted>
  <dcterms:created xsi:type="dcterms:W3CDTF">2021-09-24T07:02:00Z</dcterms:created>
  <dcterms:modified xsi:type="dcterms:W3CDTF">2021-09-24T07:02:00Z</dcterms:modified>
</cp:coreProperties>
</file>