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Default Extension="jpg" ContentType="image/jp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/>
        <w:ind w:left="1501" w:right="7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PROYECTO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NORMA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RATIFICACIÓN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PROTOCOLO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ACTUACIÓN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AUTÓNOMA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CANARIAS,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CANARIAS,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AUTONÓMOA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PAÍS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VASCO,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VASCO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DIPUTACIÓNES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FORALES,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CALIDAD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ENTIDADES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MENORES,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ACTUACIONES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REFERIDAS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TRASLADO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INTERTERRITORIAL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EDAD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ACOMPAÑADAS”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01" w:right="661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EXPOSICIÓN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MOTIVOS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0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año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2019,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mayor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intensidad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largo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año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hasta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actualidad,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Autónoma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viene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padeciendo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migratoria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continente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africano,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visto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agudizada,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además,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consecuencia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crisis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sanitaria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SARS-CoV-2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(COVID19)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afecta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conjunto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internacional.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0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importante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arriban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costas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Islas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conforme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documentación,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porque,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aplicación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garantista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presunción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minoría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cautelarmente,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resultas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resuelva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correspondiente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procedimiento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determinación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01" w:right="76"/>
      </w:pPr>
      <w:r>
        <w:pict>
          <v:group style="position:absolute;margin-left:38.47pt;margin-top:6.76553pt;width:0pt;height:116.1pt;mso-position-horizontal-relative:page;mso-position-vertical-relative:paragraph;z-index:-116" coordorigin="769,135" coordsize="0,2322">
            <v:shape style="position:absolute;left:769;top:135;width:0;height:2322" coordorigin="769,135" coordsize="0,2322" path="m769,2457l769,135e" filled="f" stroked="t" strokeweight="0.4pt" strokecolor="#0000FF">
              <v:path arrowok="t"/>
            </v:shape>
            <w10:wrap type="none"/>
          </v:group>
        </w:pict>
      </w:r>
      <w:r>
        <w:pict>
          <v:shape type="#_x0000_t202" style="position:absolute;margin-left:24.97pt;margin-top:0.744348pt;width:14pt;height:123.121pt;mso-position-horizontal-relative:page;mso-position-vertical-relative:paragraph;z-index:-114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2"/>
                      <w:szCs w:val="12"/>
                    </w:rPr>
                    <w:jc w:val="left"/>
                    <w:spacing w:before="14" w:lineRule="exact" w:line="120"/>
                    <w:ind w:left="20" w:right="-2"/>
                  </w:pP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Egiaztatzeko</w:t>
                  </w:r>
                  <w:r>
                    <w:rPr>
                      <w:rFonts w:cs="Calibri" w:hAnsi="Calibri" w:eastAsia="Calibri" w:ascii="Calibri"/>
                      <w:color w:val="7F7F7F"/>
                      <w:spacing w:val="-1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helbidea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Dirección</w:t>
                  </w:r>
                  <w:r>
                    <w:rPr>
                      <w:rFonts w:cs="Calibri" w:hAnsi="Calibri" w:eastAsia="Calibri" w:ascii="Calibri"/>
                      <w:color w:val="7F7F7F"/>
                      <w:spacing w:val="-1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de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comprobación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0000FF"/>
                      <w:spacing w:val="0"/>
                      <w:w w:val="100"/>
                      <w:sz w:val="12"/>
                      <w:szCs w:val="12"/>
                    </w:rPr>
                    <w:t>https://e-s.araba.eus/wps/portal/ConsultaCove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sistemas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Autónoma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encuentran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desbordados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colapsados,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viéndose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dicha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Autónoma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obligada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puesta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marcha,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inmediata,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numerosos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dispositivos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emergencia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aquella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integral;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razones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obvias,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ordinaria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encuentra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dimensionada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situaciones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excepcionales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crisis.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0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dispositivos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emergencia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puestos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marcha,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garantiza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nivel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básico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acogidas,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fundamentales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básicos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titulares.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caso,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puede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obviarse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circunstancia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dispositivos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garanticen,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largo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plazo,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residentes.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01" w:right="76"/>
      </w:pPr>
      <w:r>
        <w:pict>
          <v:shape type="#_x0000_t202" style="position:absolute;margin-left:22.97pt;margin-top:-5.40847pt;width:19pt;height:98.784pt;mso-position-horizontal-relative:page;mso-position-vertical-relative:paragraph;z-index:-115" filled="f" stroked="f">
            <v:textbox inset="0,0,0,0" style="layout-flow:vertical;mso-layout-flow-alt:bottom-to-top">
              <w:txbxContent>
                <w:p>
                  <w:pPr>
                    <w:rPr>
                      <w:rFonts w:cs="Calibri" w:hAnsi="Calibri" w:eastAsia="Calibri" w:ascii="Calibri"/>
                      <w:sz w:val="12"/>
                      <w:szCs w:val="12"/>
                    </w:rPr>
                    <w:jc w:val="left"/>
                    <w:spacing w:lineRule="exact" w:line="140"/>
                    <w:ind w:left="20" w:right="-37"/>
                  </w:pP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Ziurtagiriaren</w:t>
                  </w:r>
                  <w:r>
                    <w:rPr>
                      <w:rFonts w:cs="Calibri" w:hAnsi="Calibri" w:eastAsia="Calibri" w:ascii="Calibri"/>
                      <w:color w:val="7F7F7F"/>
                      <w:spacing w:val="-1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zk.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Código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de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 </w:t>
                  </w: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sz w:val="12"/>
                      <w:szCs w:val="12"/>
                    </w:rPr>
                    <w:t>Verificación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12"/>
                      <w:szCs w:val="12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0"/>
                      <w:szCs w:val="20"/>
                    </w:rPr>
                    <w:jc w:val="left"/>
                    <w:spacing w:lineRule="exact" w:line="220"/>
                    <w:ind w:left="20"/>
                  </w:pPr>
                  <w:r>
                    <w:rPr>
                      <w:rFonts w:cs="Calibri" w:hAnsi="Calibri" w:eastAsia="Calibri" w:ascii="Calibri"/>
                      <w:color w:val="7F7F7F"/>
                      <w:spacing w:val="0"/>
                      <w:w w:val="100"/>
                      <w:position w:val="1"/>
                      <w:sz w:val="20"/>
                      <w:szCs w:val="20"/>
                    </w:rPr>
                    <w:t>mFyI-ZQt5-58T5-IHJW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position w:val="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situación,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consciente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obligación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promover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aquellas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actuaciones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estén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alcance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encuentran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bajo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tutela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puedan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recibir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integral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integradora,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ámbitos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intervención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personal,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familiar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previstos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nuestro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ordenamiento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jurídico;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prevaleciendo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ello,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interés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cuya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supremacía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refiere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11.2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letra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Orgánica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1/1996,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enero,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Jurídica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adelante,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LOPJM),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debiendo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valorado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primordial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decisiones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conciernan,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tanto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ámbito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privado.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580"/>
        <w:ind w:left="105" w:right="-24"/>
      </w:pPr>
      <w:r>
        <w:pict>
          <v:shape type="#_x0000_t75" style="width:30.45pt;height:39.5pt">
            <v:imagedata o:title="" r:id="rId5"/>
          </v:shape>
        </w:pict>
      </w:r>
      <w:r>
        <w:rPr>
          <w:rFonts w:cs="Times New Roman" w:hAnsi="Times New Roman" w:eastAsia="Times New Roman" w:ascii="Times New Roman"/>
          <w:position w:val="3"/>
          <w:sz w:val="20"/>
          <w:szCs w:val="20"/>
        </w:rPr>
        <w:t> 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Administraciones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vascas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sensibles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esta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crisis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migratoria,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consecuencias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35"/>
          <w:w w:val="100"/>
          <w:position w:val="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140"/>
        <w:ind w:left="1501" w:right="81"/>
      </w:pP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ella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conlleva,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forma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especial,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edad.</w:t>
      </w:r>
      <w:r>
        <w:rPr>
          <w:rFonts w:cs="Times New Roman" w:hAnsi="Times New Roman" w:eastAsia="Times New Roman" w:ascii="Times New Roman"/>
          <w:spacing w:val="22"/>
          <w:w w:val="100"/>
          <w:position w:val="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2"/>
          <w:szCs w:val="22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01" w:right="76"/>
        <w:sectPr>
          <w:pgMar w:header="851" w:footer="0" w:top="1520" w:bottom="280" w:left="200" w:right="1020"/>
          <w:head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siendo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comparten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buscar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fórmulas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ágiles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eficaces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permitan,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marco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principio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constitucional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solidaridad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interterritorial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contenido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Constitución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Española,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contribuir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mejor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posible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independencia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lugar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inicialmente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hubieren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llegado,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ofrecerles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resulta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más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adecuada,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siempre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interés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teniendo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cuenta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características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circunstancias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(personales,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familiares,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educativas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sociales).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Vasco,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Diputaciones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Álava,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Bizkaia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Gipuzkoa,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adquieren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compromiso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solidario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cooperación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auxilio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manifiestan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compromiso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asumir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actualmente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residen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Autónoma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propios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medios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humanos,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técnicos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financieros,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incluida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asunción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tutela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ministerio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dispuesto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39.4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Española,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niñas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niños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gozarán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prevista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acuerdos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internacionales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velan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punto,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varios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instrumentos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jurídicos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internacionales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suscritos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Español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además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normas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comunitarias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obligada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observancia,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pudiendo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citarse,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ellos,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3.1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Convención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Niño,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virtud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todas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concernientes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niñas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niños,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tomen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privadas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bienestar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tribunales,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autoridades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administrativas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órganos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legislativos,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primordial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atenderse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interés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lado,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LOPJM,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traspone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principios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Niño,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reconoce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jurídico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presidido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igualdad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nacionales.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Observaciones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números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Comité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Niño,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adoptadas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respectivamente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septiembre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2005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febrero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2013,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ponen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manifiesto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situación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particularmente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vulnerable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establece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concepto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interés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complejo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contenido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caso.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contexto,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modificación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LOPJM,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26/2015,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julio,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modificación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sistema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infancia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adolescencia,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refuerza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estos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principios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prioriza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grupo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vulnerable,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procurando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política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afectarles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especifique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mediante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categoría.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encuentren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España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tienen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educación,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sanitaria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servicios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prestaciones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básicas,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mismas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españolas.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velarán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grupos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especialmente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vulnerables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quienes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presenten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internacional,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discapacidad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quienes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víctimas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abusos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sexuales,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explotación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sexual,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pornografía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infantil,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tráfico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humanos,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garantizando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cumplimiento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previstos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(art.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10.3).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  <w:sectPr>
          <w:pgMar w:header="851" w:footer="0" w:top="1520" w:bottom="280" w:left="1580" w:right="10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circuito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acompañadas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está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regulado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íntegramente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legislación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extranjería;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particular,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Orgánica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4/2000,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enero,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libertades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extranjeros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España,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Reglamento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desarrolla,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aprobado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Decreto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557/2011,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abril;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Resolución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octubre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2014,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aprobación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Protocolo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determinadas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actuaciones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extranjeros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acompañados.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144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Estatuto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Autonomía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reforma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Orgánica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1/2018,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noviembre,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atribuye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Autónoma,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inmigración,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perjuicio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competencias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constitucionalmente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atribuidas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competencia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exclusiva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sociosanitaria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orientación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comunitarios,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desarrollo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política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inmigradas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competencias,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adopción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económica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garantía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cumplimiento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establecimiento,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normativa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marco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acogida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inmigrantes,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incluidos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acompañados.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Asimismo,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147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Estatuto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atribuye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competencia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exclusiva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incluye,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regulación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régimen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tutela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desamparados,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situación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riesgo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infractores,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perjuicio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dispuesto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legislación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promoción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familias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infancia,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incluye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ejecución.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parte,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Autónoma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País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Vasco,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virtud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previsto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Estatuto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Autonomía,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aprobado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mediante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Orgánica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3/1979,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diciembre,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tiene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atribuida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competencias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exclusivas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(artículo10.12),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organización,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régimen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funcionamiento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establecimientos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tutela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penitenciarios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reinserción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social,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conforme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legislación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penitenciaria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(artículo10.36),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desarrollo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comunitario,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femenina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política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infantil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juvenil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(artículo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10.39).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8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Título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III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40/2015,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octubre,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Régimen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Jurídico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Sector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Público,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bajo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rúbrica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«Relaciones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interadministrativas»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establece,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140.1,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conjunto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principios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diferentes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concreto,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destacan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principio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colaboración,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entendido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actuar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logro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comunes;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eficiencia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gestión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recursos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compartiendo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uso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recursos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resulte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posible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justifique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términos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mejor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aprovechamiento,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garantía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igualdad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ejercicio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ciudadanos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diferentes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Administraciones,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solidaridad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interterritorial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Constitución.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Asimismo,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mismo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texto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legal,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respecto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colaboración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arriba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mencionado,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establece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contenido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esencial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obligatoriedad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prestar,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ámbito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propio,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otras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pudieran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eficaz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ejercicio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competencias.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  <w:sectPr>
          <w:pgMar w:header="851" w:footer="0" w:top="1520" w:bottom="280" w:left="1580" w:right="102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último,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142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siguiente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prescribe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obligaciones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derivan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colaboración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podrán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hacerse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efectivas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técnicas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tales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auxilio,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1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atender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solicitudes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formuladas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otras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mejor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ejercicio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competencias,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especial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actividad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extiendan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fuera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ámbito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territorial.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7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Único.-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ratifica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denominado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“Protocolo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Actuación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Autónoma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Canarias,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Autónoma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País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Vasco,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Vasco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diputaciones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forales,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calidad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actuaciones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referidas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traslado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interterritorial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migrantes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acompañadas”,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términos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acordados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Consejo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nº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FF0000"/>
          <w:spacing w:val="0"/>
          <w:w w:val="100"/>
          <w:sz w:val="22"/>
          <w:szCs w:val="22"/>
        </w:rPr>
        <w:t>XXXX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1" w:right="576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Vitoria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Gasteiz,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xxxx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xxxx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2021</w:t>
      </w:r>
    </w:p>
    <w:sectPr>
      <w:pgMar w:header="851" w:footer="0" w:top="1520" w:bottom="280" w:left="1580" w:right="1020"/>
      <w:pgSz w:w="12240" w:h="15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94.825pt;margin-top:42.55pt;width:34.1pt;height:34.1pt;mso-position-horizontal-relative:page;mso-position-vertical-relative:page;z-index:-116">
          <v:imagedata o:title="" r:id="rId1"/>
        </v:shape>
      </w:pict>
    </w:r>
    <w:r>
      <w:pict>
        <v:group style="position:absolute;margin-left:85.05pt;margin-top:59.7pt;width:192.8pt;height:0pt;mso-position-horizontal-relative:page;mso-position-vertical-relative:page;z-index:-115" coordorigin="1701,1194" coordsize="3856,0">
          <v:shape style="position:absolute;left:1701;top:1194;width:3856;height:0" coordorigin="1701,1194" coordsize="3856,0" path="m1701,1194l5557,1194e" filled="f" stroked="t" strokeweight="0.5pt" strokecolor="#000000">
            <v:path arrowok="t"/>
          </v:shape>
          <w10:wrap type="none"/>
        </v:group>
      </w:pict>
    </w:r>
    <w:r>
      <w:pict>
        <v:group style="position:absolute;margin-left:345.9pt;margin-top:59.7pt;width:192.8pt;height:0pt;mso-position-horizontal-relative:page;mso-position-vertical-relative:page;z-index:-114" coordorigin="6918,1194" coordsize="3856,0">
          <v:shape style="position:absolute;left:6918;top:1194;width:3856;height:0" coordorigin="6918,1194" coordsize="3856,0" path="m6918,1194l10774,1194e" filled="f" stroked="t" strokeweight="0.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2.jp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\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