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04E38A" w14:textId="77777777" w:rsidR="00413E29" w:rsidRPr="00413E29" w:rsidRDefault="00413E29" w:rsidP="00413E29">
      <w:pPr>
        <w:spacing w:after="120"/>
        <w:jc w:val="center"/>
        <w:rPr>
          <w:rFonts w:cs="Times New Roman"/>
          <w:sz w:val="24"/>
          <w:szCs w:val="24"/>
          <w:lang w:val="eu-ES"/>
        </w:rPr>
      </w:pPr>
      <w:r w:rsidRPr="00413E29">
        <w:rPr>
          <w:rFonts w:cs="Times New Roman"/>
          <w:sz w:val="24"/>
          <w:szCs w:val="24"/>
          <w:lang w:val="eu-ES"/>
        </w:rPr>
        <w:t>OGASUN, FINANTZA ETA AURREKONTU SAILA</w:t>
      </w:r>
    </w:p>
    <w:p w14:paraId="4176FFFD" w14:textId="77777777" w:rsidR="00413E29" w:rsidRDefault="00413E29" w:rsidP="00BC66F8">
      <w:pPr>
        <w:spacing w:after="240"/>
        <w:jc w:val="both"/>
        <w:rPr>
          <w:bCs/>
          <w:sz w:val="22"/>
          <w:lang w:val="eu-ES"/>
        </w:rPr>
      </w:pPr>
    </w:p>
    <w:p w14:paraId="64066F54" w14:textId="14FE6424" w:rsidR="002360AC" w:rsidRDefault="002360AC" w:rsidP="002360AC">
      <w:pPr>
        <w:rPr>
          <w:rFonts w:eastAsia="Calibri" w:cs="Times New Roman"/>
          <w:color w:val="000000"/>
          <w:sz w:val="22"/>
          <w:szCs w:val="22"/>
          <w:lang w:val="eu-ES" w:eastAsia="en-US" w:bidi="ar-SA"/>
        </w:rPr>
      </w:pPr>
      <w:r w:rsidRPr="002360AC">
        <w:rPr>
          <w:rFonts w:eastAsia="Calibri" w:cs="Times New Roman"/>
          <w:color w:val="000000"/>
          <w:sz w:val="22"/>
          <w:szCs w:val="22"/>
          <w:lang w:val="eu-ES" w:eastAsia="en-US" w:bidi="ar-SA"/>
        </w:rPr>
        <w:t>Foru Gobernu Kontseiluaren 6/2021 zerga premiazko araugintzako dekretua, uztailaren 6koa. Zerga neurriak onestea energia fiskalitatearen arloan.</w:t>
      </w:r>
    </w:p>
    <w:p w14:paraId="7E54686E" w14:textId="77777777" w:rsidR="002360AC" w:rsidRPr="002360AC" w:rsidRDefault="002360AC" w:rsidP="002360AC">
      <w:pPr>
        <w:rPr>
          <w:rFonts w:eastAsia="Calibri" w:cs="Times New Roman"/>
          <w:color w:val="000000"/>
          <w:sz w:val="22"/>
          <w:szCs w:val="22"/>
          <w:lang w:val="eu-ES" w:eastAsia="en-US" w:bidi="ar-SA"/>
        </w:rPr>
      </w:pPr>
    </w:p>
    <w:p w14:paraId="5ABD2773" w14:textId="2F33F70A" w:rsidR="002322FC" w:rsidRPr="002360AC" w:rsidRDefault="00BC66F8" w:rsidP="00BC66F8">
      <w:pPr>
        <w:spacing w:after="240"/>
        <w:jc w:val="both"/>
        <w:rPr>
          <w:bCs/>
          <w:color w:val="FFFFFF"/>
          <w:sz w:val="22"/>
          <w:lang w:val="eu-ES"/>
        </w:rPr>
      </w:pPr>
      <w:r w:rsidRPr="004A77E9">
        <w:rPr>
          <w:bCs/>
          <w:sz w:val="22"/>
          <w:lang w:val="eu-ES"/>
        </w:rPr>
        <w:t>Euskal Autonomia Erkidegoarekiko Ekonomia Itunak 23.quater eta 26. artikuluetan xedatzen du energia elektrikoaren ekoizpenaren balioaren gaineko zerga eta balio erantsiaren gaineko zerga itunpeko zergak direla eta Estatuak aldi bakoitzean ezartzen dituen arau substantibo eta formal berak aplikatuko zaizkiela.</w:t>
      </w:r>
    </w:p>
    <w:p w14:paraId="259F420B" w14:textId="41F34E55" w:rsidR="002322FC" w:rsidRPr="00FE66DD" w:rsidRDefault="00592F9D" w:rsidP="00592F9D">
      <w:pPr>
        <w:spacing w:after="240"/>
        <w:jc w:val="both"/>
        <w:rPr>
          <w:bCs/>
          <w:sz w:val="22"/>
          <w:lang w:val="eu-ES"/>
        </w:rPr>
      </w:pPr>
      <w:r w:rsidRPr="004A77E9">
        <w:rPr>
          <w:bCs/>
          <w:sz w:val="22"/>
          <w:lang w:val="eu-ES"/>
        </w:rPr>
        <w:t>Duela gutxi, ekainaren 24ko 12/2021 Errege Dekretu-legea</w:t>
      </w:r>
      <w:r w:rsidR="004E70F4" w:rsidRPr="004A77E9">
        <w:rPr>
          <w:bCs/>
          <w:sz w:val="22"/>
          <w:lang w:val="eu-ES"/>
        </w:rPr>
        <w:t xml:space="preserve"> onetsi da</w:t>
      </w:r>
      <w:r w:rsidRPr="004A77E9">
        <w:rPr>
          <w:bCs/>
          <w:sz w:val="22"/>
          <w:lang w:val="eu-ES"/>
        </w:rPr>
        <w:t>, zeinaren bidez presako neurriak hartzen baitira energiaren fiskalitatearen eremuan eta energia sortzearen kontuan, eta arautze kanonaren eta ur erabilerako tarifa kudeatzeari buruz. Hartan, elektrizitatearen prezioaren gehikuntzari aurka egiteko zenbait zerga neurri arautzen dira.</w:t>
      </w:r>
      <w:r w:rsidR="002322FC" w:rsidRPr="00FE66DD">
        <w:rPr>
          <w:bCs/>
          <w:sz w:val="22"/>
          <w:lang w:val="eu-ES"/>
        </w:rPr>
        <w:t xml:space="preserve"> </w:t>
      </w:r>
    </w:p>
    <w:p w14:paraId="341F64A3" w14:textId="79AD4149" w:rsidR="00592F9D" w:rsidRPr="00FE66DD" w:rsidRDefault="00592F9D" w:rsidP="00C83D01">
      <w:pPr>
        <w:spacing w:after="240"/>
        <w:jc w:val="both"/>
        <w:rPr>
          <w:bCs/>
          <w:color w:val="FFFFFF"/>
          <w:sz w:val="22"/>
          <w:lang w:val="eu-ES"/>
        </w:rPr>
      </w:pPr>
      <w:r w:rsidRPr="004A77E9">
        <w:rPr>
          <w:bCs/>
          <w:sz w:val="22"/>
          <w:lang w:val="eu-ES"/>
        </w:rPr>
        <w:t xml:space="preserve">Balio erantsiaren gaineko zergari buruz (hemendik aurrera, BEZa), salbuespen gisa eta aldi baterako (2021eko abenduaren 31ra arte), ehuneko 21etik 10era arteko beherapena ezartzen da elektrizitate fakturaren osagai guztiak kargatzen dituen BEZaren zerga tasan, 10 kW-ko potentzia-termino finkoa gainditzen ez duten elektrizitate kontratuetarako, baldin eta handizkako merkatuko hileko batez besteko prezioa </w:t>
      </w:r>
      <w:proofErr w:type="spellStart"/>
      <w:r w:rsidR="000B47C1" w:rsidRPr="004A77E9">
        <w:rPr>
          <w:bCs/>
          <w:sz w:val="22"/>
          <w:lang w:val="eu-ES"/>
        </w:rPr>
        <w:t>M</w:t>
      </w:r>
      <w:r w:rsidRPr="004A77E9">
        <w:rPr>
          <w:bCs/>
          <w:sz w:val="22"/>
          <w:lang w:val="eu-ES"/>
        </w:rPr>
        <w:t>Wh</w:t>
      </w:r>
      <w:proofErr w:type="spellEnd"/>
      <w:r w:rsidRPr="004A77E9">
        <w:rPr>
          <w:bCs/>
          <w:sz w:val="22"/>
          <w:lang w:val="eu-ES"/>
        </w:rPr>
        <w:t>-ko 45 euro</w:t>
      </w:r>
      <w:r w:rsidR="004E70F4" w:rsidRPr="004A77E9">
        <w:rPr>
          <w:bCs/>
          <w:sz w:val="22"/>
          <w:lang w:val="eu-ES"/>
        </w:rPr>
        <w:t xml:space="preserve"> baino handiagoa izan bada </w:t>
      </w:r>
      <w:r w:rsidRPr="004A77E9">
        <w:rPr>
          <w:bCs/>
          <w:sz w:val="22"/>
          <w:lang w:val="eu-ES"/>
        </w:rPr>
        <w:t>fakturazioaren aurreko hilean, hori guztia fakturaren zenbatekoa murrizteko asmoz.</w:t>
      </w:r>
    </w:p>
    <w:p w14:paraId="35AB991D" w14:textId="709CAE18" w:rsidR="00592F9D" w:rsidRPr="00FE66DD" w:rsidRDefault="000B47C1" w:rsidP="000B47C1">
      <w:pPr>
        <w:spacing w:after="240"/>
        <w:jc w:val="both"/>
        <w:rPr>
          <w:bCs/>
          <w:color w:val="FFFFFF"/>
          <w:sz w:val="22"/>
          <w:lang w:val="eu-ES"/>
        </w:rPr>
      </w:pPr>
      <w:r w:rsidRPr="004A77E9">
        <w:rPr>
          <w:bCs/>
          <w:sz w:val="22"/>
          <w:lang w:val="eu-ES"/>
        </w:rPr>
        <w:t xml:space="preserve">Ondorio horietarako, kontuan eduki behar da </w:t>
      </w:r>
      <w:proofErr w:type="spellStart"/>
      <w:r w:rsidRPr="004A77E9">
        <w:rPr>
          <w:bCs/>
          <w:sz w:val="22"/>
          <w:lang w:val="eu-ES"/>
        </w:rPr>
        <w:t>MWh</w:t>
      </w:r>
      <w:proofErr w:type="spellEnd"/>
      <w:r w:rsidRPr="004A77E9">
        <w:rPr>
          <w:bCs/>
          <w:sz w:val="22"/>
          <w:lang w:val="eu-ES"/>
        </w:rPr>
        <w:t xml:space="preserve">-ko 45 euroko atalase hori Espainian 2021ean elektrizitatea epera entregatzeko kontratuen 2020ko abenduko batez besteko kotizazioarekin lotzen dela eta hori, 2021aren bigarren erdirako, </w:t>
      </w:r>
      <w:proofErr w:type="spellStart"/>
      <w:r w:rsidRPr="004A77E9">
        <w:rPr>
          <w:bCs/>
          <w:sz w:val="22"/>
          <w:lang w:val="eu-ES"/>
        </w:rPr>
        <w:t>MWh</w:t>
      </w:r>
      <w:proofErr w:type="spellEnd"/>
      <w:r w:rsidRPr="004A77E9">
        <w:rPr>
          <w:bCs/>
          <w:sz w:val="22"/>
          <w:lang w:val="eu-ES"/>
        </w:rPr>
        <w:t xml:space="preserve">-ko 83,32 eurotan </w:t>
      </w:r>
      <w:r w:rsidR="004E70F4" w:rsidRPr="004A77E9">
        <w:rPr>
          <w:bCs/>
          <w:sz w:val="22"/>
          <w:lang w:val="eu-ES"/>
        </w:rPr>
        <w:t>dagoela</w:t>
      </w:r>
      <w:r w:rsidRPr="004A77E9">
        <w:rPr>
          <w:bCs/>
          <w:sz w:val="22"/>
          <w:lang w:val="eu-ES"/>
        </w:rPr>
        <w:t>. Hortaz, atalase hori merkatuko etorkizuneko prezio igurikimenen azpitik dago.</w:t>
      </w:r>
    </w:p>
    <w:p w14:paraId="754EC3E2" w14:textId="3E538384" w:rsidR="00592F9D" w:rsidRPr="004A77E9" w:rsidRDefault="00EE46E7" w:rsidP="00EE46E7">
      <w:pPr>
        <w:spacing w:after="240"/>
        <w:jc w:val="both"/>
        <w:rPr>
          <w:bCs/>
          <w:color w:val="FFFFFF"/>
          <w:sz w:val="22"/>
          <w:lang w:val="es-ES"/>
        </w:rPr>
      </w:pPr>
      <w:r w:rsidRPr="004A77E9">
        <w:rPr>
          <w:bCs/>
          <w:sz w:val="22"/>
          <w:lang w:val="eu-ES"/>
        </w:rPr>
        <w:t xml:space="preserve">Halaber, adierazi behar da neurri hau </w:t>
      </w:r>
      <w:r w:rsidR="00CA362A" w:rsidRPr="004A77E9">
        <w:rPr>
          <w:bCs/>
          <w:sz w:val="22"/>
          <w:lang w:val="eu-ES"/>
        </w:rPr>
        <w:t xml:space="preserve">energia </w:t>
      </w:r>
      <w:r w:rsidRPr="004A77E9">
        <w:rPr>
          <w:bCs/>
          <w:sz w:val="22"/>
          <w:lang w:val="eu-ES"/>
        </w:rPr>
        <w:t>elektri</w:t>
      </w:r>
      <w:r w:rsidR="00CA362A" w:rsidRPr="004A77E9">
        <w:rPr>
          <w:bCs/>
          <w:sz w:val="22"/>
          <w:lang w:val="eu-ES"/>
        </w:rPr>
        <w:t xml:space="preserve">koz hornitzeko </w:t>
      </w:r>
      <w:r w:rsidRPr="004A77E9">
        <w:rPr>
          <w:bCs/>
          <w:sz w:val="22"/>
          <w:lang w:val="eu-ES"/>
        </w:rPr>
        <w:t>kontratu guztiei aplikatuko zaiela baldin eta potentzia kontratatua ez bada 10 KW baino handiagoa. Horrek esan nahi du, praktikan, azkeneko kontsumitzaile diren ia-ia etxe guztiei aplikatuko zaiela, etxeko kontsumitzaileek kontratatutako batez besteko potentzia 4,1 KW baita gutxi gorabehera.</w:t>
      </w:r>
      <w:r w:rsidR="00592F9D" w:rsidRPr="00FE66DD">
        <w:rPr>
          <w:bCs/>
          <w:sz w:val="22"/>
          <w:lang w:val="eu-ES"/>
        </w:rPr>
        <w:t xml:space="preserve"> </w:t>
      </w:r>
      <w:r w:rsidRPr="004A77E9">
        <w:rPr>
          <w:bCs/>
          <w:sz w:val="22"/>
          <w:lang w:val="eu-ES"/>
        </w:rPr>
        <w:t>Era berean, neurriak aukera emango die langile autonomo askori hartaz baliatzeko.</w:t>
      </w:r>
    </w:p>
    <w:p w14:paraId="2EE11780" w14:textId="21D8998F" w:rsidR="00592F9D" w:rsidRPr="004A77E9" w:rsidRDefault="00EE46E7" w:rsidP="00EE46E7">
      <w:pPr>
        <w:spacing w:after="240"/>
        <w:jc w:val="both"/>
        <w:rPr>
          <w:bCs/>
          <w:color w:val="FFFFFF"/>
          <w:sz w:val="22"/>
          <w:lang w:val="es-ES"/>
        </w:rPr>
      </w:pPr>
      <w:r w:rsidRPr="004A77E9">
        <w:rPr>
          <w:bCs/>
          <w:sz w:val="22"/>
          <w:lang w:val="eu-ES"/>
        </w:rPr>
        <w:t>Beste alde batetik, egoera ahulenean dauden kontsumitzaileen energia pobrezia arintzeko, ehuneko 10era beheratzen da elektrizitate hornikuntzako kontratuen honako titular hauen elektrizitate fakturari aplikatzen zaion BEZaren zerga tasa: gizarte bonuaren onuradun izan eta, gainera, kaltebera larritzat edo kalteberatzat aitortuta daudenak, handizkako merkatuko elektrizitate prezioa gorabehera.</w:t>
      </w:r>
    </w:p>
    <w:p w14:paraId="0E3CA660" w14:textId="279D7F21" w:rsidR="002322FC" w:rsidRPr="004A77E9" w:rsidRDefault="001C5FC8" w:rsidP="00AC72C2">
      <w:pPr>
        <w:spacing w:after="240"/>
        <w:jc w:val="both"/>
        <w:rPr>
          <w:bCs/>
          <w:color w:val="FFFFFF"/>
          <w:sz w:val="22"/>
          <w:lang w:val="es-ES"/>
        </w:rPr>
      </w:pPr>
      <w:r w:rsidRPr="004A77E9">
        <w:rPr>
          <w:bCs/>
          <w:sz w:val="22"/>
          <w:lang w:val="eu-ES"/>
        </w:rPr>
        <w:t xml:space="preserve">Gainera, </w:t>
      </w:r>
      <w:r w:rsidR="00AC72C2" w:rsidRPr="004A77E9">
        <w:rPr>
          <w:bCs/>
          <w:sz w:val="22"/>
          <w:lang w:val="eu-ES"/>
        </w:rPr>
        <w:t xml:space="preserve">energia elektrikoaren ekoizpenaren balioaren gaineko </w:t>
      </w:r>
      <w:r w:rsidRPr="004A77E9">
        <w:rPr>
          <w:bCs/>
          <w:sz w:val="22"/>
          <w:lang w:val="eu-ES"/>
        </w:rPr>
        <w:t>zergar</w:t>
      </w:r>
      <w:r w:rsidR="00AC72C2" w:rsidRPr="004A77E9">
        <w:rPr>
          <w:bCs/>
          <w:sz w:val="22"/>
          <w:lang w:val="eu-ES"/>
        </w:rPr>
        <w:t xml:space="preserve">i dagokionez, handizkako merkatuan elektrizitatearen prezioa ezartzen duten enpresak jasaten ari diren kostu handiagoak konpentsatzeko asmoz, salbuespen gisa, 2021eko hirugarren hiruhilekoan zehar, energia elektrikoaren ekoizpenaren balioaren gaineko </w:t>
      </w:r>
      <w:r w:rsidRPr="004A77E9">
        <w:rPr>
          <w:bCs/>
          <w:sz w:val="22"/>
          <w:lang w:val="eu-ES"/>
        </w:rPr>
        <w:t>zergaren kargatik salbuesten d</w:t>
      </w:r>
      <w:r w:rsidR="00AC72C2" w:rsidRPr="004A77E9">
        <w:rPr>
          <w:bCs/>
          <w:sz w:val="22"/>
          <w:lang w:val="eu-ES"/>
        </w:rPr>
        <w:t>ir</w:t>
      </w:r>
      <w:r w:rsidRPr="004A77E9">
        <w:rPr>
          <w:bCs/>
          <w:sz w:val="22"/>
          <w:lang w:val="eu-ES"/>
        </w:rPr>
        <w:t xml:space="preserve">a </w:t>
      </w:r>
      <w:r w:rsidR="00AC72C2" w:rsidRPr="004A77E9">
        <w:rPr>
          <w:bCs/>
          <w:sz w:val="22"/>
          <w:lang w:val="eu-ES"/>
        </w:rPr>
        <w:t>elektrizitatea sortu eta sistema elektrikoan sartzen duten instalazioak.</w:t>
      </w:r>
      <w:r w:rsidR="002322FC" w:rsidRPr="004A77E9">
        <w:rPr>
          <w:bCs/>
          <w:sz w:val="22"/>
          <w:lang w:val="es-ES"/>
        </w:rPr>
        <w:t xml:space="preserve"> </w:t>
      </w:r>
      <w:r w:rsidR="00AC72C2" w:rsidRPr="004A77E9">
        <w:rPr>
          <w:bCs/>
          <w:sz w:val="22"/>
          <w:lang w:val="eu-ES"/>
        </w:rPr>
        <w:t>Horrek berekin dakar zerga oinarria eta zergaren araudian araututako ordainketa zatikatuak kalkulatzeko modua aldatzea.</w:t>
      </w:r>
    </w:p>
    <w:p w14:paraId="47C76480" w14:textId="34990A90" w:rsidR="002322FC" w:rsidRPr="004A77E9" w:rsidRDefault="00DF00F9" w:rsidP="00DF00F9">
      <w:pPr>
        <w:spacing w:after="240"/>
        <w:jc w:val="both"/>
        <w:rPr>
          <w:bCs/>
          <w:color w:val="FFFFFF"/>
          <w:sz w:val="22"/>
          <w:lang w:val="es-ES"/>
        </w:rPr>
      </w:pPr>
      <w:r w:rsidRPr="004A77E9">
        <w:rPr>
          <w:bCs/>
          <w:sz w:val="22"/>
          <w:lang w:val="eu-ES"/>
        </w:rPr>
        <w:t>Ekonomia Itunaren 23.quater eta 26. artikuluetan xedatutakoa bete behar denez gero, aipatutako zerga neurriak Arabako zerga antolamenduan</w:t>
      </w:r>
      <w:r w:rsidR="004E70F4" w:rsidRPr="004A77E9">
        <w:rPr>
          <w:bCs/>
          <w:sz w:val="22"/>
          <w:lang w:val="eu-ES"/>
        </w:rPr>
        <w:t xml:space="preserve"> txertatu behar dira</w:t>
      </w:r>
      <w:r w:rsidRPr="004A77E9">
        <w:rPr>
          <w:bCs/>
          <w:sz w:val="22"/>
          <w:lang w:val="eu-ES"/>
        </w:rPr>
        <w:t>, zerga premiazko araugintzako dekretu honen bidez.</w:t>
      </w:r>
    </w:p>
    <w:p w14:paraId="4767621C" w14:textId="505126E7" w:rsidR="002322FC" w:rsidRPr="004A77E9" w:rsidRDefault="00DF00F9" w:rsidP="00DF00F9">
      <w:pPr>
        <w:spacing w:after="240"/>
        <w:jc w:val="both"/>
        <w:rPr>
          <w:bCs/>
          <w:color w:val="FFFFFF"/>
          <w:sz w:val="22"/>
          <w:lang w:val="es-ES"/>
        </w:rPr>
      </w:pPr>
      <w:r w:rsidRPr="004A77E9">
        <w:rPr>
          <w:bCs/>
          <w:sz w:val="22"/>
          <w:lang w:val="eu-ES"/>
        </w:rPr>
        <w:lastRenderedPageBreak/>
        <w:t>Zerga Araudiaren Zerbitzuak horri buruz emandako txostena aztertu da.</w:t>
      </w:r>
    </w:p>
    <w:p w14:paraId="5958982B" w14:textId="58EB3FC0" w:rsidR="00592F9D" w:rsidRPr="004A77E9" w:rsidRDefault="00DF00F9" w:rsidP="00DF00F9">
      <w:pPr>
        <w:spacing w:after="240"/>
        <w:jc w:val="both"/>
        <w:rPr>
          <w:bCs/>
          <w:color w:val="FFFFFF"/>
          <w:sz w:val="22"/>
          <w:lang w:val="es-ES"/>
        </w:rPr>
      </w:pPr>
      <w:r w:rsidRPr="004A77E9">
        <w:rPr>
          <w:bCs/>
          <w:sz w:val="22"/>
          <w:lang w:val="eu-ES"/>
        </w:rPr>
        <w:t xml:space="preserve">Horren ondorioz, Ogasun, Finantza eta Aurrekontu Saileko diputatuak proposatuta eta </w:t>
      </w:r>
      <w:r w:rsidR="004E70F4" w:rsidRPr="004A77E9">
        <w:rPr>
          <w:bCs/>
          <w:sz w:val="22"/>
          <w:lang w:val="eu-ES"/>
        </w:rPr>
        <w:t>Foru Gobernu</w:t>
      </w:r>
      <w:r w:rsidRPr="004A77E9">
        <w:rPr>
          <w:bCs/>
          <w:sz w:val="22"/>
          <w:lang w:val="eu-ES"/>
        </w:rPr>
        <w:t xml:space="preserve"> Kontseiluak gaur egin duen bileran gaia aztertu ondoren, Arabako Zergen Foru Arau Orokorrak </w:t>
      </w:r>
      <w:r w:rsidR="001F7345" w:rsidRPr="004A77E9">
        <w:rPr>
          <w:bCs/>
          <w:sz w:val="22"/>
          <w:lang w:val="eu-ES"/>
        </w:rPr>
        <w:t xml:space="preserve">(6/2005 Foru Araua, otsailaren 28koa) </w:t>
      </w:r>
      <w:r w:rsidRPr="004A77E9">
        <w:rPr>
          <w:bCs/>
          <w:sz w:val="22"/>
          <w:lang w:val="eu-ES"/>
        </w:rPr>
        <w:t xml:space="preserve">8. artikuluan eta Arabako Foru Aldundiaren </w:t>
      </w:r>
      <w:r w:rsidR="001F7345" w:rsidRPr="004A77E9">
        <w:rPr>
          <w:bCs/>
          <w:sz w:val="22"/>
          <w:lang w:val="eu-ES"/>
        </w:rPr>
        <w:t xml:space="preserve">Antolaketa, Funtzionamendu </w:t>
      </w:r>
      <w:r w:rsidRPr="004A77E9">
        <w:rPr>
          <w:bCs/>
          <w:sz w:val="22"/>
          <w:lang w:val="eu-ES"/>
        </w:rPr>
        <w:t xml:space="preserve">eta </w:t>
      </w:r>
      <w:r w:rsidR="001F7345" w:rsidRPr="004A77E9">
        <w:rPr>
          <w:bCs/>
          <w:sz w:val="22"/>
          <w:lang w:val="eu-ES"/>
        </w:rPr>
        <w:t>Araubide Juridikoaren</w:t>
      </w:r>
      <w:r w:rsidRPr="004A77E9">
        <w:rPr>
          <w:bCs/>
          <w:sz w:val="22"/>
          <w:lang w:val="eu-ES"/>
        </w:rPr>
        <w:t xml:space="preserve"> Foru Arauak </w:t>
      </w:r>
      <w:r w:rsidR="001F7345" w:rsidRPr="004A77E9">
        <w:rPr>
          <w:bCs/>
          <w:sz w:val="22"/>
          <w:lang w:val="eu-ES"/>
        </w:rPr>
        <w:t xml:space="preserve">(52/1992 Foru Araua, abenduaren 18koa) Foru Aldundiari </w:t>
      </w:r>
      <w:r w:rsidRPr="004A77E9">
        <w:rPr>
          <w:bCs/>
          <w:sz w:val="22"/>
          <w:lang w:val="eu-ES"/>
        </w:rPr>
        <w:t>ematen dizki</w:t>
      </w:r>
      <w:r w:rsidR="001F7345" w:rsidRPr="004A77E9">
        <w:rPr>
          <w:bCs/>
          <w:sz w:val="22"/>
          <w:lang w:val="eu-ES"/>
        </w:rPr>
        <w:t>o</w:t>
      </w:r>
      <w:r w:rsidRPr="004A77E9">
        <w:rPr>
          <w:bCs/>
          <w:sz w:val="22"/>
          <w:lang w:val="eu-ES"/>
        </w:rPr>
        <w:t xml:space="preserve">ten eskumenez baliatuz, presa arrazoiak direla eta, </w:t>
      </w:r>
      <w:r w:rsidR="001F7345" w:rsidRPr="004A77E9">
        <w:rPr>
          <w:bCs/>
          <w:sz w:val="22"/>
          <w:lang w:val="eu-ES"/>
        </w:rPr>
        <w:t>hau</w:t>
      </w:r>
    </w:p>
    <w:p w14:paraId="783F21C3" w14:textId="2AA877C4" w:rsidR="002322FC" w:rsidRPr="004A77E9" w:rsidRDefault="00DF00F9" w:rsidP="00DF00F9">
      <w:pPr>
        <w:pStyle w:val="Ttulo1"/>
        <w:keepNext w:val="0"/>
        <w:rPr>
          <w:rFonts w:ascii="Times New Roman" w:hAnsi="Times New Roman"/>
          <w:b w:val="0"/>
          <w:color w:val="FFFFFF"/>
          <w:lang w:val="es-ES"/>
        </w:rPr>
      </w:pPr>
      <w:r w:rsidRPr="004A77E9">
        <w:rPr>
          <w:rFonts w:ascii="Times New Roman" w:hAnsi="Times New Roman"/>
          <w:b w:val="0"/>
          <w:lang w:val="eu-ES"/>
        </w:rPr>
        <w:t>XEDATZEN DUT</w:t>
      </w:r>
    </w:p>
    <w:p w14:paraId="28FF20EA" w14:textId="6ED0B802" w:rsidR="002322FC" w:rsidRPr="004A77E9" w:rsidRDefault="00DF00F9" w:rsidP="00BB630F">
      <w:pPr>
        <w:spacing w:after="240"/>
        <w:jc w:val="both"/>
        <w:rPr>
          <w:bCs/>
          <w:color w:val="FFFFFF"/>
          <w:sz w:val="22"/>
          <w:lang w:val="es-ES"/>
        </w:rPr>
      </w:pPr>
      <w:r w:rsidRPr="004A77E9">
        <w:rPr>
          <w:bCs/>
          <w:sz w:val="22"/>
          <w:lang w:val="eu-ES"/>
        </w:rPr>
        <w:t>1. artikulua.</w:t>
      </w:r>
      <w:r w:rsidR="002322FC" w:rsidRPr="004A77E9">
        <w:rPr>
          <w:bCs/>
          <w:sz w:val="22"/>
          <w:lang w:val="es-ES"/>
        </w:rPr>
        <w:t xml:space="preserve"> </w:t>
      </w:r>
      <w:r w:rsidR="001F7345" w:rsidRPr="004A77E9">
        <w:rPr>
          <w:bCs/>
          <w:sz w:val="22"/>
          <w:lang w:val="eu-ES"/>
        </w:rPr>
        <w:t>EBren barruko elektri</w:t>
      </w:r>
      <w:r w:rsidR="00CA362A" w:rsidRPr="004A77E9">
        <w:rPr>
          <w:bCs/>
          <w:sz w:val="22"/>
          <w:lang w:val="eu-ES"/>
        </w:rPr>
        <w:t xml:space="preserve">zitate </w:t>
      </w:r>
      <w:r w:rsidR="001F7345" w:rsidRPr="004A77E9">
        <w:rPr>
          <w:bCs/>
          <w:sz w:val="22"/>
          <w:lang w:val="eu-ES"/>
        </w:rPr>
        <w:t>emate, inportazio eta eskura</w:t>
      </w:r>
      <w:r w:rsidR="00CA362A" w:rsidRPr="004A77E9">
        <w:rPr>
          <w:bCs/>
          <w:sz w:val="22"/>
          <w:lang w:val="eu-ES"/>
        </w:rPr>
        <w:t>tze</w:t>
      </w:r>
      <w:r w:rsidR="001F7345" w:rsidRPr="004A77E9">
        <w:rPr>
          <w:bCs/>
          <w:sz w:val="22"/>
          <w:lang w:val="eu-ES"/>
        </w:rPr>
        <w:t xml:space="preserve"> jakin batzuei aplikatzekoa zaien balio erantsiaren gaineko zergaren karga tasa.</w:t>
      </w:r>
    </w:p>
    <w:p w14:paraId="5E9E7A36" w14:textId="47B28AE7" w:rsidR="002322FC" w:rsidRPr="004A77E9" w:rsidRDefault="00CA362A" w:rsidP="00CA362A">
      <w:pPr>
        <w:spacing w:after="240"/>
        <w:jc w:val="both"/>
        <w:rPr>
          <w:bCs/>
          <w:color w:val="FFFFFF"/>
          <w:sz w:val="22"/>
          <w:lang w:val="es-ES"/>
        </w:rPr>
      </w:pPr>
      <w:r w:rsidRPr="004A77E9">
        <w:rPr>
          <w:bCs/>
          <w:sz w:val="22"/>
          <w:lang w:val="eu-ES"/>
        </w:rPr>
        <w:t>2021eko ekainaren 26tik 2021ko abenduaren 31ra arteko ondorioekin, balio erantsiaren gaineko zergaren ehuneko 10eko tasa aplikatuko zaie honako hauei egindako EBren barruko elektrizitate emate, inportazio eta eskuratzeei:</w:t>
      </w:r>
    </w:p>
    <w:p w14:paraId="00C35538" w14:textId="2A9530D5" w:rsidR="002322FC" w:rsidRPr="004A77E9" w:rsidRDefault="00CA362A" w:rsidP="00CA362A">
      <w:pPr>
        <w:spacing w:after="240"/>
        <w:jc w:val="both"/>
        <w:rPr>
          <w:bCs/>
          <w:color w:val="FFFFFF"/>
          <w:sz w:val="22"/>
          <w:lang w:val="es-ES"/>
        </w:rPr>
      </w:pPr>
      <w:r w:rsidRPr="004A77E9">
        <w:rPr>
          <w:bCs/>
          <w:sz w:val="22"/>
          <w:lang w:val="eu-ES"/>
        </w:rPr>
        <w:t xml:space="preserve">a) </w:t>
      </w:r>
      <w:r w:rsidR="00FE66DD" w:rsidRPr="00FE66DD">
        <w:rPr>
          <w:bCs/>
          <w:sz w:val="22"/>
          <w:lang w:val="eu-ES"/>
        </w:rPr>
        <w:t>Potentzia kontratatua (potentzia termino finkoa) 10 kW edo hori baino gutxiago duten elektrizitate hornikuntzako kontratuen titularrak</w:t>
      </w:r>
      <w:r w:rsidRPr="004A77E9">
        <w:rPr>
          <w:bCs/>
          <w:sz w:val="22"/>
          <w:lang w:val="eu-ES"/>
        </w:rPr>
        <w:t xml:space="preserve">, hornikuntzaren tentsio maila eta kontratazio modalitatea gorabehera, fakturazio aldiaren azken egunaren aurreko azken hilabete naturaleko eguneroko merkatuko batez besteko prezio aritmetikoa </w:t>
      </w:r>
      <w:proofErr w:type="spellStart"/>
      <w:r w:rsidRPr="004A77E9">
        <w:rPr>
          <w:bCs/>
          <w:sz w:val="22"/>
          <w:lang w:val="eu-ES"/>
        </w:rPr>
        <w:t>MWh</w:t>
      </w:r>
      <w:proofErr w:type="spellEnd"/>
      <w:r w:rsidRPr="004A77E9">
        <w:rPr>
          <w:bCs/>
          <w:sz w:val="22"/>
          <w:lang w:val="eu-ES"/>
        </w:rPr>
        <w:t>-ko 45 euro baino handiagoa izan bada.</w:t>
      </w:r>
    </w:p>
    <w:p w14:paraId="60A8F286" w14:textId="549BD3D9" w:rsidR="002322FC" w:rsidRPr="004A77E9" w:rsidRDefault="00967DCE" w:rsidP="00967DCE">
      <w:pPr>
        <w:spacing w:after="240"/>
        <w:jc w:val="both"/>
        <w:rPr>
          <w:bCs/>
          <w:color w:val="FFFFFF"/>
          <w:sz w:val="22"/>
          <w:lang w:val="es-ES"/>
        </w:rPr>
      </w:pPr>
      <w:r w:rsidRPr="004A77E9">
        <w:rPr>
          <w:bCs/>
          <w:sz w:val="22"/>
          <w:lang w:val="eu-ES"/>
        </w:rPr>
        <w:t xml:space="preserve">b) Elektrizitateko gizarte bonuaren onuradun izan eta kaltebera larritzat edo gizartetik baztertzeko arriskuan dagoen kalteberatzat aitortuta dauden elektrizitate hornikuntzako kontratuen titularrak, </w:t>
      </w:r>
      <w:r w:rsidR="00266E31" w:rsidRPr="004A77E9">
        <w:rPr>
          <w:bCs/>
          <w:sz w:val="22"/>
          <w:lang w:val="eu-ES"/>
        </w:rPr>
        <w:t xml:space="preserve">bat etorriz </w:t>
      </w:r>
      <w:r w:rsidRPr="004A77E9">
        <w:rPr>
          <w:bCs/>
          <w:sz w:val="22"/>
          <w:lang w:val="eu-ES"/>
        </w:rPr>
        <w:t>urriaren 6ko 897/2017 Errege Dekretuan, zeinaren bidez arautzen baitira kontsumitzaile kalteberaren figura, gizarte bonua eta etxean energia elektrikoa kontsumitzen dutenak babesteko beste neurri batzuk, ezarritakoarekin.</w:t>
      </w:r>
    </w:p>
    <w:p w14:paraId="6D1B6850" w14:textId="4AF244D4" w:rsidR="0062058A" w:rsidRPr="00407719" w:rsidRDefault="00967DCE" w:rsidP="00407719">
      <w:pPr>
        <w:suppressAutoHyphens/>
        <w:autoSpaceDN w:val="0"/>
        <w:spacing w:after="160" w:line="256" w:lineRule="auto"/>
        <w:jc w:val="both"/>
        <w:textAlignment w:val="baseline"/>
        <w:rPr>
          <w:bCs/>
          <w:sz w:val="22"/>
          <w:lang w:val="es-ES"/>
        </w:rPr>
      </w:pPr>
      <w:r w:rsidRPr="00407719">
        <w:rPr>
          <w:bCs/>
          <w:sz w:val="22"/>
          <w:lang w:val="eu-ES"/>
        </w:rPr>
        <w:t>2. artiku</w:t>
      </w:r>
      <w:r w:rsidR="0062058A" w:rsidRPr="00407719">
        <w:rPr>
          <w:bCs/>
          <w:sz w:val="22"/>
          <w:lang w:val="eu-ES"/>
        </w:rPr>
        <w:t>lua.</w:t>
      </w:r>
      <w:r w:rsidR="00407719" w:rsidRPr="00407719">
        <w:rPr>
          <w:bCs/>
          <w:sz w:val="22"/>
          <w:lang w:val="eu-ES"/>
        </w:rPr>
        <w:t xml:space="preserve"> 2021eko ekitaldian energia elektrikoaren ekoizpenaren balioaren gaineko zergaren zerga oinarria eta ordainketa zatikatuen zenbatekoak kalkulatzeko aplikatuko diren arauak.</w:t>
      </w:r>
    </w:p>
    <w:p w14:paraId="09C64069" w14:textId="1B8D567B" w:rsidR="002322FC" w:rsidRPr="004A77E9" w:rsidRDefault="000036F1" w:rsidP="000036F1">
      <w:pPr>
        <w:suppressAutoHyphens/>
        <w:autoSpaceDN w:val="0"/>
        <w:spacing w:after="160" w:line="256" w:lineRule="auto"/>
        <w:jc w:val="both"/>
        <w:textAlignment w:val="baseline"/>
        <w:rPr>
          <w:bCs/>
          <w:color w:val="FFFFFF"/>
          <w:sz w:val="22"/>
          <w:lang w:val="es-ES"/>
        </w:rPr>
      </w:pPr>
      <w:r w:rsidRPr="004A77E9">
        <w:rPr>
          <w:bCs/>
          <w:sz w:val="22"/>
          <w:lang w:val="eu-ES"/>
        </w:rPr>
        <w:t>2021eko ekitaldian</w:t>
      </w:r>
      <w:r w:rsidR="00EF5106" w:rsidRPr="004A77E9">
        <w:rPr>
          <w:bCs/>
          <w:sz w:val="22"/>
          <w:lang w:val="eu-ES"/>
        </w:rPr>
        <w:t>,</w:t>
      </w:r>
      <w:r w:rsidRPr="004A77E9">
        <w:rPr>
          <w:bCs/>
          <w:sz w:val="22"/>
          <w:lang w:val="eu-ES"/>
        </w:rPr>
        <w:t xml:space="preserve"> h</w:t>
      </w:r>
      <w:r w:rsidR="00EF5106" w:rsidRPr="004A77E9">
        <w:rPr>
          <w:bCs/>
          <w:sz w:val="22"/>
          <w:lang w:val="eu-ES"/>
        </w:rPr>
        <w:t xml:space="preserve">onako hau </w:t>
      </w:r>
      <w:r w:rsidRPr="004A77E9">
        <w:rPr>
          <w:bCs/>
          <w:sz w:val="22"/>
          <w:lang w:val="eu-ES"/>
        </w:rPr>
        <w:t xml:space="preserve">izango da energia elektrikoaren ekoizpenaren balioaren gaineko zergaren zerga oinarria: instalazio bakoitzean zergaldian sortutako eta sistema elektrikoan sartutako energia elektrikoagatik (zentral barretan neurtuta) zergadunak jaso behar duen guztirako zenbatekoa, hirugarren hiruhileko naturalean </w:t>
      </w:r>
      <w:r w:rsidR="00EF5106" w:rsidRPr="004A77E9">
        <w:rPr>
          <w:bCs/>
          <w:sz w:val="22"/>
          <w:lang w:val="eu-ES"/>
        </w:rPr>
        <w:t xml:space="preserve">sisteman </w:t>
      </w:r>
      <w:r w:rsidRPr="004A77E9">
        <w:rPr>
          <w:bCs/>
          <w:sz w:val="22"/>
          <w:lang w:val="eu-ES"/>
        </w:rPr>
        <w:t>sartutako elektrizitateari dagozkion ordainsariak kenduta.</w:t>
      </w:r>
    </w:p>
    <w:p w14:paraId="15A1A2E3" w14:textId="393552F2" w:rsidR="002322FC" w:rsidRPr="004A77E9" w:rsidRDefault="000036F1" w:rsidP="000036F1">
      <w:pPr>
        <w:suppressAutoHyphens/>
        <w:autoSpaceDN w:val="0"/>
        <w:spacing w:after="160" w:line="256" w:lineRule="auto"/>
        <w:jc w:val="both"/>
        <w:textAlignment w:val="baseline"/>
        <w:rPr>
          <w:bCs/>
          <w:color w:val="FFFFFF"/>
          <w:sz w:val="22"/>
          <w:lang w:val="es-ES"/>
        </w:rPr>
      </w:pPr>
      <w:r w:rsidRPr="004A77E9">
        <w:rPr>
          <w:bCs/>
          <w:sz w:val="22"/>
          <w:lang w:val="eu-ES"/>
        </w:rPr>
        <w:t>Hirugarren hiruhilekoko ordainketa zatikatuen zenbatekoa kalkulatzeko oinarria zergaldian sortutako energia elektrikoaren (zentral barretan neurtuta) balioa izango da; kopuru horretatik, hiruhileko horretan sisteman sartutako energia elektrikoari dagozkion ordainsariak kenduko dira eta emaitzaren zenbatekoari uztailaren 9ko 24/2014 Foru Arauak (energia elektrikoaren ekoizpenaren balioaren gaineko zergarena) 8. artikuluan ezartzen duen karga tasa aplikatuko zaio eta gero aurretik egindako ordainketa zatikatuen zenbatekoa kenduko da.</w:t>
      </w:r>
    </w:p>
    <w:p w14:paraId="74F28E6B" w14:textId="3C99EA14" w:rsidR="002322FC" w:rsidRPr="004A77E9" w:rsidRDefault="000036F1" w:rsidP="000036F1">
      <w:pPr>
        <w:suppressAutoHyphens/>
        <w:autoSpaceDN w:val="0"/>
        <w:spacing w:after="160" w:line="256" w:lineRule="auto"/>
        <w:jc w:val="both"/>
        <w:textAlignment w:val="baseline"/>
        <w:rPr>
          <w:bCs/>
          <w:color w:val="FFFFFF"/>
          <w:sz w:val="22"/>
          <w:lang w:val="es-ES"/>
        </w:rPr>
      </w:pPr>
      <w:r w:rsidRPr="004A77E9">
        <w:rPr>
          <w:bCs/>
          <w:sz w:val="22"/>
          <w:lang w:val="eu-ES"/>
        </w:rPr>
        <w:t>Laugarren hiruhilekoko ordainketa zatikatuen zenbatekoa kalkulatzeko oinarria zergaldian sortutako energia elektrikoaren (zentral barretan neurtuta) balioa izango da; kopuru horretatik, hirugarren hiruhileko naturalean sisteman sartutako energia elektrikoari dagozkion ordainsariak kenduko dira eta emaitzaren zenbatekoari uztailaren 9ko 24/2014 Foru Arauak (energia elektrikoaren ekoizpenaren balioaren gaineko zergarena) 8. artikuluan ezartzen duen karga tasa aplikatuko zaio eta gero aurretik egindako ordainketa zatikatuen zenbatekoa kenduko da.</w:t>
      </w:r>
    </w:p>
    <w:p w14:paraId="184E824E" w14:textId="16FF6858" w:rsidR="002322FC" w:rsidRPr="004A77E9" w:rsidRDefault="000036F1" w:rsidP="000036F1">
      <w:pPr>
        <w:pStyle w:val="Ttulo2"/>
        <w:spacing w:before="240"/>
        <w:rPr>
          <w:rFonts w:ascii="Times New Roman" w:hAnsi="Times New Roman"/>
          <w:b w:val="0"/>
          <w:bCs/>
          <w:color w:val="FFFFFF"/>
          <w:lang w:val="es-ES"/>
        </w:rPr>
      </w:pPr>
      <w:r w:rsidRPr="004A77E9">
        <w:rPr>
          <w:rFonts w:ascii="Times New Roman" w:hAnsi="Times New Roman"/>
          <w:b w:val="0"/>
          <w:bCs/>
          <w:lang w:val="eu-ES"/>
        </w:rPr>
        <w:lastRenderedPageBreak/>
        <w:t>AZKEN XEDAPENAK</w:t>
      </w:r>
    </w:p>
    <w:p w14:paraId="16E99F50" w14:textId="677C1190" w:rsidR="002322FC" w:rsidRPr="004A77E9" w:rsidRDefault="000036F1" w:rsidP="000036F1">
      <w:pPr>
        <w:widowControl w:val="0"/>
        <w:spacing w:after="240"/>
        <w:jc w:val="both"/>
        <w:rPr>
          <w:bCs/>
          <w:color w:val="FFFFFF"/>
          <w:sz w:val="22"/>
          <w:lang w:val="es-ES"/>
        </w:rPr>
      </w:pPr>
      <w:r w:rsidRPr="004A77E9">
        <w:rPr>
          <w:bCs/>
          <w:sz w:val="22"/>
          <w:lang w:val="eu-ES"/>
        </w:rPr>
        <w:t>Lehenengoa.</w:t>
      </w:r>
      <w:r w:rsidR="002322FC" w:rsidRPr="004A77E9">
        <w:rPr>
          <w:bCs/>
          <w:sz w:val="22"/>
          <w:lang w:val="es-ES"/>
        </w:rPr>
        <w:t xml:space="preserve"> </w:t>
      </w:r>
      <w:r w:rsidRPr="004A77E9">
        <w:rPr>
          <w:bCs/>
          <w:sz w:val="22"/>
          <w:lang w:val="eu-ES"/>
        </w:rPr>
        <w:t>Indarrean jartzea.</w:t>
      </w:r>
    </w:p>
    <w:p w14:paraId="1B9183A6" w14:textId="01C7F160" w:rsidR="002322FC" w:rsidRPr="004A77E9" w:rsidRDefault="000036F1" w:rsidP="000036F1">
      <w:pPr>
        <w:spacing w:after="240"/>
        <w:jc w:val="both"/>
        <w:rPr>
          <w:bCs/>
          <w:color w:val="FFFFFF"/>
          <w:sz w:val="22"/>
          <w:lang w:val="es-ES"/>
        </w:rPr>
      </w:pPr>
      <w:r w:rsidRPr="004A77E9">
        <w:rPr>
          <w:bCs/>
          <w:sz w:val="22"/>
          <w:lang w:val="eu-ES"/>
        </w:rPr>
        <w:t>Xedapen orokor hau ALHAOn argitaratu eta hurrengo egunean jarriko da indarrean</w:t>
      </w:r>
      <w:r w:rsidR="00F85E9C">
        <w:rPr>
          <w:bCs/>
          <w:sz w:val="22"/>
          <w:lang w:val="eu-ES"/>
        </w:rPr>
        <w:t>, eta, hala badagokio, haren artikuluetan xedatutakoaren arabera izango ditu ondorioak.</w:t>
      </w:r>
    </w:p>
    <w:p w14:paraId="38744B00" w14:textId="53C790F9" w:rsidR="002322FC" w:rsidRPr="004A77E9" w:rsidRDefault="000036F1" w:rsidP="000036F1">
      <w:pPr>
        <w:widowControl w:val="0"/>
        <w:spacing w:after="240"/>
        <w:jc w:val="both"/>
        <w:rPr>
          <w:bCs/>
          <w:color w:val="FFFFFF"/>
          <w:sz w:val="22"/>
          <w:lang w:val="es-ES"/>
        </w:rPr>
      </w:pPr>
      <w:r w:rsidRPr="004A77E9">
        <w:rPr>
          <w:bCs/>
          <w:sz w:val="22"/>
          <w:lang w:val="eu-ES"/>
        </w:rPr>
        <w:t>Bigarrena.</w:t>
      </w:r>
      <w:r w:rsidR="002322FC" w:rsidRPr="004A77E9">
        <w:rPr>
          <w:bCs/>
          <w:sz w:val="22"/>
          <w:lang w:val="es-ES"/>
        </w:rPr>
        <w:t xml:space="preserve"> </w:t>
      </w:r>
      <w:r w:rsidRPr="004A77E9">
        <w:rPr>
          <w:bCs/>
          <w:sz w:val="22"/>
          <w:lang w:val="eu-ES"/>
        </w:rPr>
        <w:t>Gaitzea.</w:t>
      </w:r>
    </w:p>
    <w:p w14:paraId="606E14B7" w14:textId="072C1D0B" w:rsidR="002322FC" w:rsidRPr="004A77E9" w:rsidRDefault="000036F1" w:rsidP="000036F1">
      <w:pPr>
        <w:widowControl w:val="0"/>
        <w:spacing w:after="240"/>
        <w:jc w:val="both"/>
        <w:rPr>
          <w:bCs/>
          <w:color w:val="FFFFFF"/>
          <w:sz w:val="22"/>
          <w:lang w:val="es-ES"/>
        </w:rPr>
      </w:pPr>
      <w:r w:rsidRPr="004A77E9">
        <w:rPr>
          <w:bCs/>
          <w:sz w:val="22"/>
          <w:lang w:val="eu-ES"/>
        </w:rPr>
        <w:t>Baimena ematen zaio Arabako Foru Aldundiari xedapen orokor hau garatzeko eta aplikatzeko behar diren xedapen guztiak emateko.</w:t>
      </w:r>
    </w:p>
    <w:p w14:paraId="7A1DA8E3" w14:textId="6258EA36" w:rsidR="002322FC" w:rsidRPr="004A77E9" w:rsidRDefault="000036F1" w:rsidP="000036F1">
      <w:pPr>
        <w:widowControl w:val="0"/>
        <w:spacing w:after="240"/>
        <w:rPr>
          <w:bCs/>
          <w:color w:val="FFFFFF"/>
          <w:sz w:val="22"/>
          <w:lang w:val="es-ES"/>
        </w:rPr>
      </w:pPr>
      <w:r w:rsidRPr="004A77E9">
        <w:rPr>
          <w:bCs/>
          <w:sz w:val="22"/>
          <w:lang w:val="eu-ES"/>
        </w:rPr>
        <w:t>Hirugarrena.</w:t>
      </w:r>
      <w:r w:rsidR="002322FC" w:rsidRPr="004A77E9">
        <w:rPr>
          <w:bCs/>
          <w:sz w:val="22"/>
          <w:lang w:val="es-ES"/>
        </w:rPr>
        <w:t xml:space="preserve"> </w:t>
      </w:r>
      <w:r w:rsidRPr="004A77E9">
        <w:rPr>
          <w:bCs/>
          <w:sz w:val="22"/>
          <w:lang w:val="eu-ES"/>
        </w:rPr>
        <w:t>Batzar Nagusiei bidaltzea.</w:t>
      </w:r>
    </w:p>
    <w:p w14:paraId="5EE508B2" w14:textId="6378AA0C" w:rsidR="002322FC" w:rsidRDefault="000036F1" w:rsidP="000036F1">
      <w:pPr>
        <w:widowControl w:val="0"/>
        <w:spacing w:after="240"/>
        <w:jc w:val="both"/>
        <w:rPr>
          <w:bCs/>
          <w:sz w:val="22"/>
          <w:lang w:val="eu-ES"/>
        </w:rPr>
      </w:pPr>
      <w:r w:rsidRPr="004A77E9">
        <w:rPr>
          <w:bCs/>
          <w:sz w:val="22"/>
          <w:lang w:val="eu-ES"/>
        </w:rPr>
        <w:t>Zerga premiazko araugintzako dekretu hau Arabako Batzar Nagusiei aurkeztuko zaie, indarrean dagoen arautegian ezarritakoaren arabera berretsi edo baliogabetu dezaten.</w:t>
      </w:r>
    </w:p>
    <w:p w14:paraId="27208ABE" w14:textId="77777777" w:rsidR="00413E29" w:rsidRPr="004A77E9" w:rsidRDefault="00413E29" w:rsidP="000036F1">
      <w:pPr>
        <w:widowControl w:val="0"/>
        <w:spacing w:after="240"/>
        <w:jc w:val="both"/>
        <w:rPr>
          <w:bCs/>
          <w:color w:val="FFFFFF"/>
          <w:sz w:val="22"/>
          <w:lang w:val="es-ES"/>
        </w:rPr>
      </w:pPr>
    </w:p>
    <w:sectPr w:rsidR="00413E29" w:rsidRPr="004A77E9" w:rsidSect="00420950">
      <w:headerReference w:type="default" r:id="rId6"/>
      <w:footerReference w:type="default" r:id="rId7"/>
      <w:headerReference w:type="first" r:id="rId8"/>
      <w:footerReference w:type="first" r:id="rId9"/>
      <w:pgSz w:w="11907" w:h="16840" w:code="9"/>
      <w:pgMar w:top="2835" w:right="1134" w:bottom="1418" w:left="1701" w:header="851"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D8F46C" w14:textId="77777777" w:rsidR="002322FC" w:rsidRDefault="002322FC" w:rsidP="002322FC">
      <w:r>
        <w:separator/>
      </w:r>
    </w:p>
  </w:endnote>
  <w:endnote w:type="continuationSeparator" w:id="0">
    <w:p w14:paraId="183ED966" w14:textId="77777777" w:rsidR="002322FC" w:rsidRDefault="002322FC" w:rsidP="002322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05600099"/>
      <w:docPartObj>
        <w:docPartGallery w:val="Page Numbers (Bottom of Page)"/>
        <w:docPartUnique/>
      </w:docPartObj>
    </w:sdtPr>
    <w:sdtContent>
      <w:p w14:paraId="7169A987" w14:textId="09E49FCB" w:rsidR="004C2A02" w:rsidRDefault="004C2A02">
        <w:pPr>
          <w:pStyle w:val="Piedepgina"/>
          <w:jc w:val="right"/>
        </w:pPr>
        <w:r>
          <w:fldChar w:fldCharType="begin"/>
        </w:r>
        <w:r>
          <w:instrText>PAGE   \* MERGEFORMAT</w:instrText>
        </w:r>
        <w:r>
          <w:fldChar w:fldCharType="separate"/>
        </w:r>
        <w:r>
          <w:rPr>
            <w:lang w:val="es-ES"/>
          </w:rPr>
          <w:t>2</w:t>
        </w:r>
        <w:r>
          <w:fldChar w:fldCharType="end"/>
        </w:r>
      </w:p>
    </w:sdtContent>
  </w:sdt>
  <w:p w14:paraId="3225DBAF" w14:textId="77777777" w:rsidR="004C2A02" w:rsidRDefault="004C2A0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60A6D1" w14:textId="60CD6ECB" w:rsidR="00B64085" w:rsidRDefault="002322FC">
    <w:pPr>
      <w:pStyle w:val="Piedepgina"/>
      <w:tabs>
        <w:tab w:val="clear" w:pos="4252"/>
        <w:tab w:val="clear" w:pos="8504"/>
        <w:tab w:val="right" w:pos="9072"/>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9189A9" w14:textId="77777777" w:rsidR="002322FC" w:rsidRDefault="002322FC" w:rsidP="002322FC">
      <w:r>
        <w:separator/>
      </w:r>
    </w:p>
  </w:footnote>
  <w:footnote w:type="continuationSeparator" w:id="0">
    <w:p w14:paraId="129712AF" w14:textId="77777777" w:rsidR="002322FC" w:rsidRDefault="002322FC" w:rsidP="002322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70" w:type="dxa"/>
      <w:tblBorders>
        <w:insideH w:val="single" w:sz="4" w:space="0" w:color="auto"/>
      </w:tblBorders>
      <w:tblLayout w:type="fixed"/>
      <w:tblCellMar>
        <w:left w:w="70" w:type="dxa"/>
        <w:right w:w="70" w:type="dxa"/>
      </w:tblCellMar>
      <w:tblLook w:val="0000" w:firstRow="0" w:lastRow="0" w:firstColumn="0" w:lastColumn="0" w:noHBand="0" w:noVBand="0"/>
    </w:tblPr>
    <w:tblGrid>
      <w:gridCol w:w="4139"/>
      <w:gridCol w:w="1361"/>
      <w:gridCol w:w="4139"/>
    </w:tblGrid>
    <w:tr w:rsidR="004C2A02" w14:paraId="2BBAA6C4" w14:textId="77777777" w:rsidTr="00F91B7C">
      <w:tblPrEx>
        <w:tblCellMar>
          <w:top w:w="0" w:type="dxa"/>
          <w:bottom w:w="0" w:type="dxa"/>
        </w:tblCellMar>
      </w:tblPrEx>
      <w:trPr>
        <w:cantSplit/>
        <w:trHeight w:val="338"/>
      </w:trPr>
      <w:tc>
        <w:tcPr>
          <w:tcW w:w="4139" w:type="dxa"/>
          <w:tcBorders>
            <w:top w:val="nil"/>
            <w:left w:val="nil"/>
            <w:bottom w:val="single" w:sz="4" w:space="0" w:color="auto"/>
          </w:tcBorders>
        </w:tcPr>
        <w:p w14:paraId="639FFB85" w14:textId="77777777" w:rsidR="004C2A02" w:rsidRDefault="004C2A02" w:rsidP="004C2A02">
          <w:pPr>
            <w:pStyle w:val="Encabezado"/>
          </w:pPr>
        </w:p>
      </w:tc>
      <w:tc>
        <w:tcPr>
          <w:tcW w:w="1361" w:type="dxa"/>
          <w:vMerge w:val="restart"/>
        </w:tcPr>
        <w:p w14:paraId="0B80F8E2" w14:textId="5BCD844E" w:rsidR="004C2A02" w:rsidRDefault="004C2A02" w:rsidP="004C2A02">
          <w:pPr>
            <w:pStyle w:val="Encabezado"/>
            <w:jc w:val="center"/>
          </w:pPr>
          <w:r>
            <w:rPr>
              <w:noProof/>
            </w:rPr>
            <w:drawing>
              <wp:inline distT="0" distB="0" distL="0" distR="0" wp14:anchorId="1E70ACC0" wp14:editId="264C650E">
                <wp:extent cx="428625" cy="428625"/>
                <wp:effectExtent l="0" t="0" r="952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a:noFill/>
                        <a:ln>
                          <a:noFill/>
                        </a:ln>
                      </pic:spPr>
                    </pic:pic>
                  </a:graphicData>
                </a:graphic>
              </wp:inline>
            </w:drawing>
          </w:r>
        </w:p>
      </w:tc>
      <w:tc>
        <w:tcPr>
          <w:tcW w:w="4139" w:type="dxa"/>
          <w:tcBorders>
            <w:top w:val="nil"/>
            <w:bottom w:val="single" w:sz="4" w:space="0" w:color="auto"/>
            <w:right w:val="nil"/>
          </w:tcBorders>
        </w:tcPr>
        <w:p w14:paraId="6DD8A83A" w14:textId="77777777" w:rsidR="004C2A02" w:rsidRDefault="004C2A02" w:rsidP="004C2A02">
          <w:pPr>
            <w:pStyle w:val="Encabezado"/>
          </w:pPr>
        </w:p>
      </w:tc>
    </w:tr>
    <w:tr w:rsidR="004C2A02" w14:paraId="6AE0EEB4" w14:textId="77777777" w:rsidTr="00F91B7C">
      <w:tblPrEx>
        <w:tblCellMar>
          <w:top w:w="0" w:type="dxa"/>
          <w:bottom w:w="0" w:type="dxa"/>
        </w:tblCellMar>
      </w:tblPrEx>
      <w:trPr>
        <w:cantSplit/>
        <w:trHeight w:val="337"/>
      </w:trPr>
      <w:tc>
        <w:tcPr>
          <w:tcW w:w="4139" w:type="dxa"/>
          <w:tcBorders>
            <w:top w:val="single" w:sz="4" w:space="0" w:color="auto"/>
            <w:left w:val="nil"/>
            <w:bottom w:val="nil"/>
          </w:tcBorders>
        </w:tcPr>
        <w:p w14:paraId="329C840C" w14:textId="77777777" w:rsidR="004C2A02" w:rsidRDefault="004C2A02" w:rsidP="004C2A02">
          <w:pPr>
            <w:pStyle w:val="Encabezado"/>
          </w:pPr>
        </w:p>
      </w:tc>
      <w:tc>
        <w:tcPr>
          <w:tcW w:w="1361" w:type="dxa"/>
          <w:vMerge/>
        </w:tcPr>
        <w:p w14:paraId="398287D7" w14:textId="77777777" w:rsidR="004C2A02" w:rsidRDefault="004C2A02" w:rsidP="004C2A02">
          <w:pPr>
            <w:pStyle w:val="Encabezado"/>
            <w:jc w:val="center"/>
          </w:pPr>
        </w:p>
      </w:tc>
      <w:tc>
        <w:tcPr>
          <w:tcW w:w="4139" w:type="dxa"/>
          <w:tcBorders>
            <w:top w:val="single" w:sz="4" w:space="0" w:color="auto"/>
            <w:bottom w:val="nil"/>
            <w:right w:val="nil"/>
          </w:tcBorders>
        </w:tcPr>
        <w:p w14:paraId="5FA227E2" w14:textId="77777777" w:rsidR="004C2A02" w:rsidRDefault="004C2A02" w:rsidP="004C2A02">
          <w:pPr>
            <w:pStyle w:val="Encabezado"/>
          </w:pPr>
        </w:p>
      </w:tc>
    </w:tr>
  </w:tbl>
  <w:p w14:paraId="310B7CD3" w14:textId="77777777" w:rsidR="004C2A02" w:rsidRPr="004C2A02" w:rsidRDefault="004C2A02" w:rsidP="004C2A0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70" w:type="dxa"/>
      <w:tblBorders>
        <w:insideH w:val="single" w:sz="4" w:space="0" w:color="auto"/>
      </w:tblBorders>
      <w:tblLayout w:type="fixed"/>
      <w:tblCellMar>
        <w:left w:w="70" w:type="dxa"/>
        <w:right w:w="70" w:type="dxa"/>
      </w:tblCellMar>
      <w:tblLook w:val="0000" w:firstRow="0" w:lastRow="0" w:firstColumn="0" w:lastColumn="0" w:noHBand="0" w:noVBand="0"/>
    </w:tblPr>
    <w:tblGrid>
      <w:gridCol w:w="4139"/>
      <w:gridCol w:w="1361"/>
      <w:gridCol w:w="4139"/>
    </w:tblGrid>
    <w:tr w:rsidR="004C2A02" w14:paraId="7D0BE416" w14:textId="77777777" w:rsidTr="00F91B7C">
      <w:tblPrEx>
        <w:tblCellMar>
          <w:top w:w="0" w:type="dxa"/>
          <w:bottom w:w="0" w:type="dxa"/>
        </w:tblCellMar>
      </w:tblPrEx>
      <w:trPr>
        <w:cantSplit/>
        <w:trHeight w:val="338"/>
      </w:trPr>
      <w:tc>
        <w:tcPr>
          <w:tcW w:w="4139" w:type="dxa"/>
          <w:tcBorders>
            <w:top w:val="nil"/>
            <w:left w:val="nil"/>
            <w:bottom w:val="single" w:sz="4" w:space="0" w:color="auto"/>
          </w:tcBorders>
        </w:tcPr>
        <w:p w14:paraId="17A6A85E" w14:textId="77777777" w:rsidR="004C2A02" w:rsidRDefault="004C2A02" w:rsidP="004C2A02">
          <w:pPr>
            <w:pStyle w:val="Encabezado"/>
          </w:pPr>
        </w:p>
      </w:tc>
      <w:tc>
        <w:tcPr>
          <w:tcW w:w="1361" w:type="dxa"/>
          <w:vMerge w:val="restart"/>
        </w:tcPr>
        <w:p w14:paraId="6F95CE7A" w14:textId="0421C434" w:rsidR="004C2A02" w:rsidRDefault="004C2A02" w:rsidP="004C2A02">
          <w:pPr>
            <w:pStyle w:val="Encabezado"/>
            <w:jc w:val="center"/>
          </w:pPr>
          <w:r>
            <w:rPr>
              <w:noProof/>
            </w:rPr>
            <w:drawing>
              <wp:inline distT="0" distB="0" distL="0" distR="0" wp14:anchorId="303C62CA" wp14:editId="19C3B5CA">
                <wp:extent cx="428625" cy="42862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8625" cy="428625"/>
                        </a:xfrm>
                        <a:prstGeom prst="rect">
                          <a:avLst/>
                        </a:prstGeom>
                        <a:noFill/>
                        <a:ln>
                          <a:noFill/>
                        </a:ln>
                      </pic:spPr>
                    </pic:pic>
                  </a:graphicData>
                </a:graphic>
              </wp:inline>
            </w:drawing>
          </w:r>
        </w:p>
      </w:tc>
      <w:tc>
        <w:tcPr>
          <w:tcW w:w="4139" w:type="dxa"/>
          <w:tcBorders>
            <w:top w:val="nil"/>
            <w:bottom w:val="single" w:sz="4" w:space="0" w:color="auto"/>
            <w:right w:val="nil"/>
          </w:tcBorders>
        </w:tcPr>
        <w:p w14:paraId="611EFE3A" w14:textId="77777777" w:rsidR="004C2A02" w:rsidRDefault="004C2A02" w:rsidP="004C2A02">
          <w:pPr>
            <w:pStyle w:val="Encabezado"/>
          </w:pPr>
        </w:p>
      </w:tc>
    </w:tr>
    <w:tr w:rsidR="004C2A02" w14:paraId="5F0BCE50" w14:textId="77777777" w:rsidTr="00F91B7C">
      <w:tblPrEx>
        <w:tblCellMar>
          <w:top w:w="0" w:type="dxa"/>
          <w:bottom w:w="0" w:type="dxa"/>
        </w:tblCellMar>
      </w:tblPrEx>
      <w:trPr>
        <w:cantSplit/>
        <w:trHeight w:val="337"/>
      </w:trPr>
      <w:tc>
        <w:tcPr>
          <w:tcW w:w="4139" w:type="dxa"/>
          <w:tcBorders>
            <w:top w:val="single" w:sz="4" w:space="0" w:color="auto"/>
            <w:left w:val="nil"/>
            <w:bottom w:val="nil"/>
          </w:tcBorders>
        </w:tcPr>
        <w:p w14:paraId="4C3A2B35" w14:textId="77777777" w:rsidR="004C2A02" w:rsidRDefault="004C2A02" w:rsidP="004C2A02">
          <w:pPr>
            <w:pStyle w:val="Encabezado"/>
          </w:pPr>
        </w:p>
      </w:tc>
      <w:tc>
        <w:tcPr>
          <w:tcW w:w="1361" w:type="dxa"/>
          <w:vMerge/>
        </w:tcPr>
        <w:p w14:paraId="6E987CF9" w14:textId="77777777" w:rsidR="004C2A02" w:rsidRDefault="004C2A02" w:rsidP="004C2A02">
          <w:pPr>
            <w:pStyle w:val="Encabezado"/>
            <w:jc w:val="center"/>
          </w:pPr>
        </w:p>
      </w:tc>
      <w:tc>
        <w:tcPr>
          <w:tcW w:w="4139" w:type="dxa"/>
          <w:tcBorders>
            <w:top w:val="single" w:sz="4" w:space="0" w:color="auto"/>
            <w:bottom w:val="nil"/>
            <w:right w:val="nil"/>
          </w:tcBorders>
        </w:tcPr>
        <w:p w14:paraId="6AFF4BCC" w14:textId="77777777" w:rsidR="004C2A02" w:rsidRDefault="004C2A02" w:rsidP="004C2A02">
          <w:pPr>
            <w:pStyle w:val="Encabezado"/>
          </w:pPr>
        </w:p>
      </w:tc>
    </w:tr>
  </w:tbl>
  <w:p w14:paraId="37E860B7" w14:textId="77777777" w:rsidR="004C2A02" w:rsidRDefault="004C2A02">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WtBookmark" w:val="00002"/>
  </w:docVars>
  <w:rsids>
    <w:rsidRoot w:val="002322FC"/>
    <w:rsid w:val="000036F1"/>
    <w:rsid w:val="00025B5A"/>
    <w:rsid w:val="00057925"/>
    <w:rsid w:val="000A7393"/>
    <w:rsid w:val="000B47C1"/>
    <w:rsid w:val="001B29BA"/>
    <w:rsid w:val="001C5FC8"/>
    <w:rsid w:val="001F7345"/>
    <w:rsid w:val="002322FC"/>
    <w:rsid w:val="002360AC"/>
    <w:rsid w:val="00266E31"/>
    <w:rsid w:val="003C552F"/>
    <w:rsid w:val="00407719"/>
    <w:rsid w:val="00413E29"/>
    <w:rsid w:val="004A77E9"/>
    <w:rsid w:val="004C2A02"/>
    <w:rsid w:val="004E70F4"/>
    <w:rsid w:val="00592F9D"/>
    <w:rsid w:val="005C17D0"/>
    <w:rsid w:val="0062058A"/>
    <w:rsid w:val="00716F2C"/>
    <w:rsid w:val="008267B6"/>
    <w:rsid w:val="00943117"/>
    <w:rsid w:val="00967DCE"/>
    <w:rsid w:val="00A712B1"/>
    <w:rsid w:val="00AC72C2"/>
    <w:rsid w:val="00AF2C88"/>
    <w:rsid w:val="00BB630F"/>
    <w:rsid w:val="00BC66F8"/>
    <w:rsid w:val="00C83D01"/>
    <w:rsid w:val="00C9673E"/>
    <w:rsid w:val="00CA362A"/>
    <w:rsid w:val="00DF00F9"/>
    <w:rsid w:val="00E86655"/>
    <w:rsid w:val="00EE46E7"/>
    <w:rsid w:val="00EF5106"/>
    <w:rsid w:val="00F743F5"/>
    <w:rsid w:val="00F85E9C"/>
    <w:rsid w:val="00FC60D4"/>
    <w:rsid w:val="00FE66D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69689"/>
  <w15:chartTrackingRefBased/>
  <w15:docId w15:val="{B719E215-0D5B-4F6A-A89C-7E97FFB78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22FC"/>
    <w:pPr>
      <w:spacing w:after="0" w:line="240" w:lineRule="auto"/>
    </w:pPr>
    <w:rPr>
      <w:rFonts w:ascii="Times New Roman" w:eastAsia="Times New Roman" w:hAnsi="Times New Roman" w:cs="Arial"/>
      <w:sz w:val="20"/>
      <w:szCs w:val="20"/>
      <w:lang w:val="es-ES_tradnl" w:eastAsia="es-ES" w:bidi="or-IN"/>
    </w:rPr>
  </w:style>
  <w:style w:type="paragraph" w:styleId="Ttulo1">
    <w:name w:val="heading 1"/>
    <w:basedOn w:val="Normal"/>
    <w:next w:val="Normal"/>
    <w:link w:val="Ttulo1Car"/>
    <w:qFormat/>
    <w:rsid w:val="002322FC"/>
    <w:pPr>
      <w:keepNext/>
      <w:spacing w:before="240" w:after="480"/>
      <w:jc w:val="center"/>
      <w:outlineLvl w:val="0"/>
    </w:pPr>
    <w:rPr>
      <w:rFonts w:ascii="Arial" w:hAnsi="Arial"/>
      <w:b/>
      <w:bCs/>
      <w:sz w:val="22"/>
      <w:szCs w:val="22"/>
    </w:rPr>
  </w:style>
  <w:style w:type="paragraph" w:styleId="Ttulo2">
    <w:name w:val="heading 2"/>
    <w:basedOn w:val="Normal"/>
    <w:next w:val="Normal"/>
    <w:link w:val="Ttulo2Car"/>
    <w:qFormat/>
    <w:rsid w:val="002322FC"/>
    <w:pPr>
      <w:keepNext/>
      <w:widowControl w:val="0"/>
      <w:spacing w:after="240"/>
      <w:jc w:val="both"/>
      <w:outlineLvl w:val="1"/>
    </w:pPr>
    <w:rPr>
      <w:rFonts w:ascii="Arial" w:hAnsi="Arial"/>
      <w:b/>
      <w:sz w:val="22"/>
    </w:rPr>
  </w:style>
  <w:style w:type="paragraph" w:styleId="Ttulo3">
    <w:name w:val="heading 3"/>
    <w:basedOn w:val="Normal"/>
    <w:next w:val="Normal"/>
    <w:link w:val="Ttulo3Car"/>
    <w:qFormat/>
    <w:rsid w:val="002322FC"/>
    <w:pPr>
      <w:keepNext/>
      <w:spacing w:before="240" w:after="480"/>
      <w:outlineLvl w:val="2"/>
    </w:pPr>
    <w:rPr>
      <w:b/>
      <w:sz w:val="24"/>
      <w:lang w:val="es-ES"/>
    </w:rPr>
  </w:style>
  <w:style w:type="paragraph" w:styleId="Ttulo4">
    <w:name w:val="heading 4"/>
    <w:basedOn w:val="Normal"/>
    <w:next w:val="Normal"/>
    <w:link w:val="Ttulo4Car"/>
    <w:qFormat/>
    <w:rsid w:val="002322FC"/>
    <w:pPr>
      <w:keepNext/>
      <w:spacing w:before="1560" w:after="60" w:line="240" w:lineRule="exact"/>
      <w:outlineLvl w:val="3"/>
    </w:pPr>
    <w:rPr>
      <w:b/>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2322FC"/>
    <w:rPr>
      <w:rFonts w:ascii="Arial" w:eastAsia="Times New Roman" w:hAnsi="Arial" w:cs="Arial"/>
      <w:b/>
      <w:bCs/>
      <w:lang w:val="es-ES_tradnl" w:eastAsia="es-ES" w:bidi="or-IN"/>
    </w:rPr>
  </w:style>
  <w:style w:type="character" w:customStyle="1" w:styleId="Ttulo2Car">
    <w:name w:val="Título 2 Car"/>
    <w:basedOn w:val="Fuentedeprrafopredeter"/>
    <w:link w:val="Ttulo2"/>
    <w:rsid w:val="002322FC"/>
    <w:rPr>
      <w:rFonts w:ascii="Arial" w:eastAsia="Times New Roman" w:hAnsi="Arial" w:cs="Arial"/>
      <w:b/>
      <w:szCs w:val="20"/>
      <w:lang w:val="es-ES_tradnl" w:eastAsia="es-ES" w:bidi="or-IN"/>
    </w:rPr>
  </w:style>
  <w:style w:type="character" w:customStyle="1" w:styleId="Ttulo3Car">
    <w:name w:val="Título 3 Car"/>
    <w:basedOn w:val="Fuentedeprrafopredeter"/>
    <w:link w:val="Ttulo3"/>
    <w:rsid w:val="002322FC"/>
    <w:rPr>
      <w:rFonts w:ascii="Times New Roman" w:eastAsia="Times New Roman" w:hAnsi="Times New Roman" w:cs="Arial"/>
      <w:b/>
      <w:sz w:val="24"/>
      <w:szCs w:val="20"/>
      <w:lang w:eastAsia="es-ES" w:bidi="or-IN"/>
    </w:rPr>
  </w:style>
  <w:style w:type="character" w:customStyle="1" w:styleId="Ttulo4Car">
    <w:name w:val="Título 4 Car"/>
    <w:basedOn w:val="Fuentedeprrafopredeter"/>
    <w:link w:val="Ttulo4"/>
    <w:rsid w:val="002322FC"/>
    <w:rPr>
      <w:rFonts w:ascii="Times New Roman" w:eastAsia="Times New Roman" w:hAnsi="Times New Roman" w:cs="Arial"/>
      <w:b/>
      <w:szCs w:val="20"/>
      <w:lang w:val="es-ES_tradnl" w:eastAsia="es-ES" w:bidi="or-IN"/>
    </w:rPr>
  </w:style>
  <w:style w:type="paragraph" w:styleId="Encabezado">
    <w:name w:val="header"/>
    <w:aliases w:val="encabezado"/>
    <w:basedOn w:val="Normal"/>
    <w:link w:val="EncabezadoCar"/>
    <w:semiHidden/>
    <w:rsid w:val="002322FC"/>
    <w:pPr>
      <w:tabs>
        <w:tab w:val="center" w:pos="4252"/>
        <w:tab w:val="right" w:pos="8504"/>
      </w:tabs>
    </w:pPr>
  </w:style>
  <w:style w:type="character" w:customStyle="1" w:styleId="EncabezadoCar">
    <w:name w:val="Encabezado Car"/>
    <w:basedOn w:val="Fuentedeprrafopredeter"/>
    <w:link w:val="Encabezado"/>
    <w:semiHidden/>
    <w:rsid w:val="002322FC"/>
    <w:rPr>
      <w:rFonts w:ascii="Times New Roman" w:eastAsia="Times New Roman" w:hAnsi="Times New Roman" w:cs="Arial"/>
      <w:sz w:val="20"/>
      <w:szCs w:val="20"/>
      <w:lang w:val="es-ES_tradnl" w:eastAsia="es-ES" w:bidi="or-IN"/>
    </w:rPr>
  </w:style>
  <w:style w:type="paragraph" w:styleId="Piedepgina">
    <w:name w:val="footer"/>
    <w:basedOn w:val="Normal"/>
    <w:link w:val="PiedepginaCar"/>
    <w:uiPriority w:val="99"/>
    <w:rsid w:val="002322FC"/>
    <w:pPr>
      <w:tabs>
        <w:tab w:val="center" w:pos="4252"/>
        <w:tab w:val="right" w:pos="8504"/>
      </w:tabs>
    </w:pPr>
  </w:style>
  <w:style w:type="character" w:customStyle="1" w:styleId="PiedepginaCar">
    <w:name w:val="Pie de página Car"/>
    <w:basedOn w:val="Fuentedeprrafopredeter"/>
    <w:link w:val="Piedepgina"/>
    <w:uiPriority w:val="99"/>
    <w:rsid w:val="002322FC"/>
    <w:rPr>
      <w:rFonts w:ascii="Times New Roman" w:eastAsia="Times New Roman" w:hAnsi="Times New Roman" w:cs="Arial"/>
      <w:sz w:val="20"/>
      <w:szCs w:val="20"/>
      <w:lang w:val="es-ES_tradnl" w:eastAsia="es-ES" w:bidi="or-IN"/>
    </w:rPr>
  </w:style>
  <w:style w:type="character" w:styleId="Nmerodepgina">
    <w:name w:val="page number"/>
    <w:basedOn w:val="Fuentedeprrafopredeter"/>
    <w:semiHidden/>
    <w:rsid w:val="002322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1119</Words>
  <Characters>6157</Characters>
  <Application>Microsoft Office Word</Application>
  <DocSecurity>4</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Peral Diez, Elena</dc:creator>
  <cp:keywords/>
  <dc:description/>
  <cp:lastModifiedBy>Saez de Lafuente Uzabal, Nati</cp:lastModifiedBy>
  <cp:revision>2</cp:revision>
  <dcterms:created xsi:type="dcterms:W3CDTF">2021-07-07T07:00:00Z</dcterms:created>
  <dcterms:modified xsi:type="dcterms:W3CDTF">2021-07-07T07:00:00Z</dcterms:modified>
</cp:coreProperties>
</file>