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6F4B4" w14:textId="77777777" w:rsidR="00C022DD" w:rsidRDefault="00C022DD" w:rsidP="00C022DD">
      <w:pPr>
        <w:spacing w:after="120"/>
        <w:jc w:val="center"/>
        <w:rPr>
          <w:rFonts w:cs="Times New Roman"/>
          <w:sz w:val="24"/>
          <w:szCs w:val="24"/>
        </w:rPr>
      </w:pPr>
      <w:r w:rsidRPr="005A55AC">
        <w:rPr>
          <w:rFonts w:cs="Times New Roman"/>
          <w:sz w:val="24"/>
          <w:szCs w:val="24"/>
        </w:rPr>
        <w:t>DEPARTAMENTO DE HACIENDA, FINANZAS Y PRESUPUESTOS</w:t>
      </w:r>
    </w:p>
    <w:p w14:paraId="2E467AAE" w14:textId="77777777" w:rsidR="00C022DD" w:rsidRPr="005A55AC" w:rsidRDefault="00C022DD" w:rsidP="00C022DD">
      <w:pPr>
        <w:spacing w:after="120"/>
        <w:jc w:val="center"/>
        <w:rPr>
          <w:rFonts w:cs="Times New Roman"/>
          <w:sz w:val="24"/>
          <w:szCs w:val="24"/>
        </w:rPr>
      </w:pPr>
    </w:p>
    <w:p w14:paraId="1EB4F25D" w14:textId="6E5A3F4D" w:rsidR="00E57786" w:rsidRDefault="00E57786" w:rsidP="00E57786">
      <w:pPr>
        <w:rPr>
          <w:rFonts w:cs="Times New Roman"/>
          <w:color w:val="000000"/>
          <w:sz w:val="22"/>
          <w:szCs w:val="22"/>
          <w:lang w:bidi="ar-SA"/>
        </w:rPr>
      </w:pPr>
      <w:r w:rsidRPr="00E57786">
        <w:rPr>
          <w:rFonts w:cs="Times New Roman"/>
          <w:color w:val="000000"/>
          <w:sz w:val="22"/>
          <w:szCs w:val="22"/>
          <w:lang w:bidi="ar-SA"/>
        </w:rPr>
        <w:t>Decreto Normativo de Urgencia Fiscal 6/2021, del Consejo de Gobierno Foral de 6 de julio. Aprobar medidas tributarias en el ámbito de la fiscalidad energética.</w:t>
      </w:r>
    </w:p>
    <w:p w14:paraId="173B6469" w14:textId="77777777" w:rsidR="00E57786" w:rsidRPr="00E57786" w:rsidRDefault="00E57786" w:rsidP="00E57786">
      <w:pPr>
        <w:rPr>
          <w:rFonts w:cs="Times New Roman"/>
          <w:color w:val="000000"/>
          <w:sz w:val="22"/>
          <w:szCs w:val="22"/>
          <w:lang w:bidi="ar-SA"/>
        </w:rPr>
      </w:pPr>
    </w:p>
    <w:p w14:paraId="21CB2C76" w14:textId="27329F79" w:rsidR="00E437CF" w:rsidRPr="000B0E9A" w:rsidRDefault="00E437CF" w:rsidP="00E437CF">
      <w:pPr>
        <w:spacing w:after="240"/>
        <w:jc w:val="both"/>
        <w:rPr>
          <w:bCs/>
          <w:sz w:val="22"/>
          <w:lang w:val="es-ES"/>
        </w:rPr>
      </w:pPr>
      <w:r w:rsidRPr="000B0E9A">
        <w:rPr>
          <w:bCs/>
          <w:sz w:val="22"/>
          <w:lang w:val="es-ES"/>
        </w:rPr>
        <w:t xml:space="preserve">El Concierto Económico con la Comunidad Autónoma del País Vasco establece en </w:t>
      </w:r>
      <w:r w:rsidR="005353EA" w:rsidRPr="000B0E9A">
        <w:rPr>
          <w:bCs/>
          <w:sz w:val="22"/>
          <w:lang w:val="es-ES"/>
        </w:rPr>
        <w:t>los</w:t>
      </w:r>
      <w:r w:rsidRPr="000B0E9A">
        <w:rPr>
          <w:bCs/>
          <w:sz w:val="22"/>
          <w:lang w:val="es-ES"/>
        </w:rPr>
        <w:t xml:space="preserve"> artículos 23 </w:t>
      </w:r>
      <w:proofErr w:type="spellStart"/>
      <w:r w:rsidRPr="000B0E9A">
        <w:rPr>
          <w:bCs/>
          <w:sz w:val="22"/>
          <w:lang w:val="es-ES"/>
        </w:rPr>
        <w:t>qu</w:t>
      </w:r>
      <w:r w:rsidR="00246CAD" w:rsidRPr="000B0E9A">
        <w:rPr>
          <w:bCs/>
          <w:sz w:val="22"/>
          <w:lang w:val="es-ES"/>
        </w:rPr>
        <w:t>á</w:t>
      </w:r>
      <w:r w:rsidRPr="000B0E9A">
        <w:rPr>
          <w:bCs/>
          <w:sz w:val="22"/>
          <w:lang w:val="es-ES"/>
        </w:rPr>
        <w:t>ter</w:t>
      </w:r>
      <w:proofErr w:type="spellEnd"/>
      <w:r w:rsidRPr="000B0E9A">
        <w:rPr>
          <w:bCs/>
          <w:sz w:val="22"/>
          <w:lang w:val="es-ES"/>
        </w:rPr>
        <w:t xml:space="preserve"> y 26 que el Impuesto sobre el </w:t>
      </w:r>
      <w:r w:rsidR="00065BE7" w:rsidRPr="000B0E9A">
        <w:rPr>
          <w:bCs/>
          <w:sz w:val="22"/>
          <w:lang w:val="es-ES"/>
        </w:rPr>
        <w:t>V</w:t>
      </w:r>
      <w:r w:rsidRPr="000B0E9A">
        <w:rPr>
          <w:bCs/>
          <w:sz w:val="22"/>
          <w:lang w:val="es-ES"/>
        </w:rPr>
        <w:t xml:space="preserve">alor de la </w:t>
      </w:r>
      <w:r w:rsidR="00065BE7" w:rsidRPr="000B0E9A">
        <w:rPr>
          <w:bCs/>
          <w:sz w:val="22"/>
          <w:lang w:val="es-ES"/>
        </w:rPr>
        <w:t>P</w:t>
      </w:r>
      <w:r w:rsidRPr="000B0E9A">
        <w:rPr>
          <w:bCs/>
          <w:sz w:val="22"/>
          <w:lang w:val="es-ES"/>
        </w:rPr>
        <w:t xml:space="preserve">roducción de </w:t>
      </w:r>
      <w:r w:rsidR="00065BE7" w:rsidRPr="000B0E9A">
        <w:rPr>
          <w:bCs/>
          <w:sz w:val="22"/>
          <w:lang w:val="es-ES"/>
        </w:rPr>
        <w:t>E</w:t>
      </w:r>
      <w:r w:rsidRPr="000B0E9A">
        <w:rPr>
          <w:bCs/>
          <w:sz w:val="22"/>
          <w:lang w:val="es-ES"/>
        </w:rPr>
        <w:t xml:space="preserve">nergía </w:t>
      </w:r>
      <w:r w:rsidR="00065BE7" w:rsidRPr="000B0E9A">
        <w:rPr>
          <w:bCs/>
          <w:sz w:val="22"/>
          <w:lang w:val="es-ES"/>
        </w:rPr>
        <w:t>E</w:t>
      </w:r>
      <w:r w:rsidRPr="000B0E9A">
        <w:rPr>
          <w:bCs/>
          <w:sz w:val="22"/>
          <w:lang w:val="es-ES"/>
        </w:rPr>
        <w:t>léctrica y el Impuesto sobre el Valor Añadido son impuestos concertados que se regirán por las mismas normas sustantivas y formales establecidas en cada momento en el Estado.</w:t>
      </w:r>
    </w:p>
    <w:p w14:paraId="0A75725A" w14:textId="1E305E4E" w:rsidR="00E437CF" w:rsidRPr="000B0E9A" w:rsidRDefault="00E437CF" w:rsidP="00E437CF">
      <w:pPr>
        <w:spacing w:after="240"/>
        <w:jc w:val="both"/>
        <w:rPr>
          <w:bCs/>
          <w:sz w:val="22"/>
          <w:lang w:val="es-ES"/>
        </w:rPr>
      </w:pPr>
      <w:r w:rsidRPr="000B0E9A">
        <w:rPr>
          <w:bCs/>
          <w:sz w:val="22"/>
          <w:lang w:val="es-ES"/>
        </w:rPr>
        <w:t>Recientemente</w:t>
      </w:r>
      <w:r w:rsidR="00B154E2" w:rsidRPr="000B0E9A">
        <w:rPr>
          <w:bCs/>
          <w:sz w:val="22"/>
          <w:lang w:val="es-ES"/>
        </w:rPr>
        <w:t>,</w:t>
      </w:r>
      <w:r w:rsidRPr="000B0E9A">
        <w:rPr>
          <w:bCs/>
          <w:sz w:val="22"/>
          <w:lang w:val="es-ES"/>
        </w:rPr>
        <w:t xml:space="preserve"> se ha aprobado el Real Decreto-ley 12/2021, de 24 de junio, por el que se adoptan medidas urgentes en el ámbito de la fiscalidad energética y en materia de generación de energía, y sobre gestión del canon de regulación y de la tarifa de utilización del agua mediante el cual se regulan varias medidas fiscales encaminadas a contrarrestar la subida del precio de la electricidad. </w:t>
      </w:r>
    </w:p>
    <w:p w14:paraId="56B0A51C" w14:textId="77777777" w:rsidR="00E437CF" w:rsidRPr="000B0E9A" w:rsidRDefault="00E437CF" w:rsidP="00E437CF">
      <w:pPr>
        <w:spacing w:after="240"/>
        <w:jc w:val="both"/>
        <w:rPr>
          <w:bCs/>
          <w:sz w:val="22"/>
          <w:lang w:val="es-ES"/>
        </w:rPr>
      </w:pPr>
      <w:r w:rsidRPr="000B0E9A">
        <w:rPr>
          <w:bCs/>
          <w:sz w:val="22"/>
          <w:lang w:val="es-ES"/>
        </w:rPr>
        <w:t>En relación con el Impuesto sobre el Valor Añadido (en adelante IVA), se establece de forma excepcional y transitoria, hasta el 31 de diciembre de 2021, para los contratos de energía eléctrica cuyo término fijo de potencia no supere los 10 KW, una rebaja, desde el 21 al 10 por ciento, en el tipo impositivo del IVA que recae sobre todos los componentes de la factura eléctrica cuando el precio medio mensual del mercado mayorista en el mes anterior al de la facturación haya superado los 45€/</w:t>
      </w:r>
      <w:proofErr w:type="spellStart"/>
      <w:r w:rsidRPr="000B0E9A">
        <w:rPr>
          <w:bCs/>
          <w:sz w:val="22"/>
          <w:lang w:val="es-ES"/>
        </w:rPr>
        <w:t>MWh</w:t>
      </w:r>
      <w:proofErr w:type="spellEnd"/>
      <w:r w:rsidRPr="000B0E9A">
        <w:rPr>
          <w:bCs/>
          <w:sz w:val="22"/>
          <w:lang w:val="es-ES"/>
        </w:rPr>
        <w:t xml:space="preserve">, con el objeto de reducir su importe. </w:t>
      </w:r>
    </w:p>
    <w:p w14:paraId="51BB08C6" w14:textId="77777777" w:rsidR="00E437CF" w:rsidRPr="000B0E9A" w:rsidRDefault="00E437CF" w:rsidP="00E437CF">
      <w:pPr>
        <w:spacing w:after="240"/>
        <w:jc w:val="both"/>
        <w:rPr>
          <w:bCs/>
          <w:sz w:val="22"/>
          <w:lang w:val="es-ES"/>
        </w:rPr>
      </w:pPr>
      <w:r w:rsidRPr="000B0E9A">
        <w:rPr>
          <w:bCs/>
          <w:sz w:val="22"/>
          <w:lang w:val="es-ES"/>
        </w:rPr>
        <w:t>A estos efectos debe tenerse en cuenta que este umbral de 45€/</w:t>
      </w:r>
      <w:proofErr w:type="spellStart"/>
      <w:r w:rsidRPr="000B0E9A">
        <w:rPr>
          <w:bCs/>
          <w:sz w:val="22"/>
          <w:lang w:val="es-ES"/>
        </w:rPr>
        <w:t>MWh</w:t>
      </w:r>
      <w:proofErr w:type="spellEnd"/>
      <w:r w:rsidRPr="000B0E9A">
        <w:rPr>
          <w:bCs/>
          <w:sz w:val="22"/>
          <w:lang w:val="es-ES"/>
        </w:rPr>
        <w:t xml:space="preserve"> se relaciona con la cotización media durante el mes de diciembre de 2020 de los contratos de entrega a plazo de electricidad en España para el año 2021 que, para la segunda mitad de 2021 se establece en 83,32€/</w:t>
      </w:r>
      <w:proofErr w:type="spellStart"/>
      <w:r w:rsidRPr="000B0E9A">
        <w:rPr>
          <w:bCs/>
          <w:sz w:val="22"/>
          <w:lang w:val="es-ES"/>
        </w:rPr>
        <w:t>MWh</w:t>
      </w:r>
      <w:proofErr w:type="spellEnd"/>
      <w:r w:rsidRPr="000B0E9A">
        <w:rPr>
          <w:bCs/>
          <w:sz w:val="22"/>
          <w:lang w:val="es-ES"/>
        </w:rPr>
        <w:t xml:space="preserve"> situándose, por tanto, dicho umbral por debajo de las expectativas de precios futuros de mercado. </w:t>
      </w:r>
    </w:p>
    <w:p w14:paraId="0F4C7976" w14:textId="29608D5B" w:rsidR="00E437CF" w:rsidRPr="000B0E9A" w:rsidRDefault="00E437CF" w:rsidP="00E437CF">
      <w:pPr>
        <w:spacing w:after="240"/>
        <w:jc w:val="both"/>
        <w:rPr>
          <w:bCs/>
          <w:sz w:val="22"/>
          <w:lang w:val="es-ES"/>
        </w:rPr>
      </w:pPr>
      <w:r w:rsidRPr="000B0E9A">
        <w:rPr>
          <w:bCs/>
          <w:sz w:val="22"/>
          <w:lang w:val="es-ES"/>
        </w:rPr>
        <w:t xml:space="preserve">También debe señalarse que esta medida se aplica a todos los contratos de suministro de energía eléctrica siempre que la potencia contratada no supere los 10 KW, lo que supone, en realidad, su aplicación a la práctica totalidad de los hogares consumidores finales ya que la potencia media contratada por los consumidores domésticos es aproximadamente de 4,1 KW. Del mismo modo, la medida permitirá que se beneficien de la misma un gran número de trabajadores autónomos. </w:t>
      </w:r>
    </w:p>
    <w:p w14:paraId="03DC5C11" w14:textId="77777777" w:rsidR="00E437CF" w:rsidRPr="000B0E9A" w:rsidRDefault="00E437CF" w:rsidP="00E437CF">
      <w:pPr>
        <w:spacing w:after="240"/>
        <w:jc w:val="both"/>
        <w:rPr>
          <w:bCs/>
          <w:sz w:val="22"/>
          <w:lang w:val="es-ES"/>
        </w:rPr>
      </w:pPr>
      <w:r w:rsidRPr="000B0E9A">
        <w:rPr>
          <w:bCs/>
          <w:sz w:val="22"/>
          <w:lang w:val="es-ES"/>
        </w:rPr>
        <w:t xml:space="preserve">Por otra parte, para paliar situaciones de pobreza energética de los consumidores más vulnerables también se rebaja al 10 por ciento el tipo impositivo del IVA aplicable a la factura eléctrica de los titulares de contratos de suministro de electricidad que sean perceptores del bono social y, además, tengan reconocida la condición de vulnerable severo o vulnerable con independencia del precio de la electricidad del mercado mayorista. </w:t>
      </w:r>
    </w:p>
    <w:p w14:paraId="37C4B47E" w14:textId="64168A8F" w:rsidR="00E437CF" w:rsidRPr="000B0E9A" w:rsidRDefault="00E437CF" w:rsidP="00E437CF">
      <w:pPr>
        <w:spacing w:after="240"/>
        <w:jc w:val="both"/>
        <w:rPr>
          <w:bCs/>
          <w:sz w:val="22"/>
          <w:lang w:val="es-ES"/>
        </w:rPr>
      </w:pPr>
      <w:r w:rsidRPr="000B0E9A">
        <w:rPr>
          <w:bCs/>
          <w:sz w:val="22"/>
          <w:lang w:val="es-ES"/>
        </w:rPr>
        <w:t xml:space="preserve">Adicionalmente, en lo que se refiere al Impuesto sobre el </w:t>
      </w:r>
      <w:r w:rsidR="00740616" w:rsidRPr="000B0E9A">
        <w:rPr>
          <w:bCs/>
          <w:sz w:val="22"/>
          <w:lang w:val="es-ES"/>
        </w:rPr>
        <w:t>V</w:t>
      </w:r>
      <w:r w:rsidRPr="000B0E9A">
        <w:rPr>
          <w:bCs/>
          <w:sz w:val="22"/>
          <w:lang w:val="es-ES"/>
        </w:rPr>
        <w:t xml:space="preserve">alor de la </w:t>
      </w:r>
      <w:r w:rsidR="00740616" w:rsidRPr="000B0E9A">
        <w:rPr>
          <w:bCs/>
          <w:sz w:val="22"/>
          <w:lang w:val="es-ES"/>
        </w:rPr>
        <w:t>P</w:t>
      </w:r>
      <w:r w:rsidRPr="000B0E9A">
        <w:rPr>
          <w:bCs/>
          <w:sz w:val="22"/>
          <w:lang w:val="es-ES"/>
        </w:rPr>
        <w:t xml:space="preserve">roducción de </w:t>
      </w:r>
      <w:r w:rsidR="00740616" w:rsidRPr="000B0E9A">
        <w:rPr>
          <w:bCs/>
          <w:sz w:val="22"/>
          <w:lang w:val="es-ES"/>
        </w:rPr>
        <w:t>E</w:t>
      </w:r>
      <w:r w:rsidRPr="000B0E9A">
        <w:rPr>
          <w:bCs/>
          <w:sz w:val="22"/>
          <w:lang w:val="es-ES"/>
        </w:rPr>
        <w:t xml:space="preserve">nergía </w:t>
      </w:r>
      <w:r w:rsidR="00740616" w:rsidRPr="000B0E9A">
        <w:rPr>
          <w:bCs/>
          <w:sz w:val="22"/>
          <w:lang w:val="es-ES"/>
        </w:rPr>
        <w:t>E</w:t>
      </w:r>
      <w:r w:rsidRPr="000B0E9A">
        <w:rPr>
          <w:bCs/>
          <w:sz w:val="22"/>
          <w:lang w:val="es-ES"/>
        </w:rPr>
        <w:t xml:space="preserve">léctrica, al objeto de compensar los mayores costes que están soportando las empresas que determinan el precio de la electricidad en el mercado mayorista, de forma excepcional, durante el tercer trimestre de 2021, se procede a exonerar del Impuesto sobre el </w:t>
      </w:r>
      <w:r w:rsidR="00740616" w:rsidRPr="000B0E9A">
        <w:rPr>
          <w:bCs/>
          <w:sz w:val="22"/>
          <w:lang w:val="es-ES"/>
        </w:rPr>
        <w:t>V</w:t>
      </w:r>
      <w:r w:rsidRPr="000B0E9A">
        <w:rPr>
          <w:bCs/>
          <w:sz w:val="22"/>
          <w:lang w:val="es-ES"/>
        </w:rPr>
        <w:t xml:space="preserve">alor de la </w:t>
      </w:r>
      <w:r w:rsidR="00740616" w:rsidRPr="000B0E9A">
        <w:rPr>
          <w:bCs/>
          <w:sz w:val="22"/>
          <w:lang w:val="es-ES"/>
        </w:rPr>
        <w:t>P</w:t>
      </w:r>
      <w:r w:rsidRPr="000B0E9A">
        <w:rPr>
          <w:bCs/>
          <w:sz w:val="22"/>
          <w:lang w:val="es-ES"/>
        </w:rPr>
        <w:t xml:space="preserve">roducción de </w:t>
      </w:r>
      <w:r w:rsidR="00740616" w:rsidRPr="000B0E9A">
        <w:rPr>
          <w:bCs/>
          <w:sz w:val="22"/>
          <w:lang w:val="es-ES"/>
        </w:rPr>
        <w:t>E</w:t>
      </w:r>
      <w:r w:rsidRPr="000B0E9A">
        <w:rPr>
          <w:bCs/>
          <w:sz w:val="22"/>
          <w:lang w:val="es-ES"/>
        </w:rPr>
        <w:t xml:space="preserve">nergía </w:t>
      </w:r>
      <w:r w:rsidR="00740616" w:rsidRPr="000B0E9A">
        <w:rPr>
          <w:bCs/>
          <w:sz w:val="22"/>
          <w:lang w:val="es-ES"/>
        </w:rPr>
        <w:t>E</w:t>
      </w:r>
      <w:r w:rsidRPr="000B0E9A">
        <w:rPr>
          <w:bCs/>
          <w:sz w:val="22"/>
          <w:lang w:val="es-ES"/>
        </w:rPr>
        <w:t>léctrica a las instalaciones que producen electricidad y la incorporar al sistema eléctrico. Ello conlleva modificar el cómputo de la base imponible y de los pagos fraccionados regulados en la normativa del tributo.</w:t>
      </w:r>
    </w:p>
    <w:p w14:paraId="104D2815" w14:textId="687ABF61" w:rsidR="00E437CF" w:rsidRPr="000B0E9A" w:rsidRDefault="00E437CF" w:rsidP="00E437CF">
      <w:pPr>
        <w:spacing w:after="240"/>
        <w:jc w:val="both"/>
        <w:rPr>
          <w:bCs/>
          <w:sz w:val="22"/>
          <w:lang w:val="es-ES"/>
        </w:rPr>
      </w:pPr>
      <w:r w:rsidRPr="000B0E9A">
        <w:rPr>
          <w:bCs/>
          <w:sz w:val="22"/>
          <w:lang w:val="es-ES"/>
        </w:rPr>
        <w:lastRenderedPageBreak/>
        <w:t xml:space="preserve">Por la necesidad de dar cumplimiento a lo establecido en los artículos 23 </w:t>
      </w:r>
      <w:proofErr w:type="spellStart"/>
      <w:r w:rsidRPr="000B0E9A">
        <w:rPr>
          <w:bCs/>
          <w:sz w:val="22"/>
          <w:lang w:val="es-ES"/>
        </w:rPr>
        <w:t>qu</w:t>
      </w:r>
      <w:r w:rsidR="00246CAD" w:rsidRPr="000B0E9A">
        <w:rPr>
          <w:bCs/>
          <w:sz w:val="22"/>
          <w:lang w:val="es-ES"/>
        </w:rPr>
        <w:t>á</w:t>
      </w:r>
      <w:r w:rsidRPr="000B0E9A">
        <w:rPr>
          <w:bCs/>
          <w:sz w:val="22"/>
          <w:lang w:val="es-ES"/>
        </w:rPr>
        <w:t>ter</w:t>
      </w:r>
      <w:proofErr w:type="spellEnd"/>
      <w:r w:rsidRPr="000B0E9A">
        <w:rPr>
          <w:bCs/>
          <w:sz w:val="22"/>
          <w:lang w:val="es-ES"/>
        </w:rPr>
        <w:t xml:space="preserve"> y 26 del Concierto Económico, se hace necesario mediante este Decreto Normativo de Urgencia Fiscal introducir en nuestro ordenamiento tributario las medidas fiscales aludidas.</w:t>
      </w:r>
    </w:p>
    <w:p w14:paraId="35D2EB93" w14:textId="77777777" w:rsidR="00B64085" w:rsidRPr="000B0E9A" w:rsidRDefault="00B64085">
      <w:pPr>
        <w:spacing w:after="240"/>
        <w:jc w:val="both"/>
        <w:rPr>
          <w:bCs/>
          <w:sz w:val="22"/>
          <w:lang w:val="es-ES"/>
        </w:rPr>
      </w:pPr>
      <w:r w:rsidRPr="000B0E9A">
        <w:rPr>
          <w:bCs/>
          <w:sz w:val="22"/>
          <w:lang w:val="es-ES"/>
        </w:rPr>
        <w:t>Visto el informe emitido al respecto por el Servicio de Normativa Tributaria.</w:t>
      </w:r>
    </w:p>
    <w:p w14:paraId="77A43766" w14:textId="77777777" w:rsidR="00B64085" w:rsidRPr="000B0E9A" w:rsidRDefault="00B64085">
      <w:pPr>
        <w:spacing w:after="240"/>
        <w:jc w:val="both"/>
        <w:rPr>
          <w:bCs/>
          <w:sz w:val="22"/>
          <w:lang w:val="es-ES"/>
        </w:rPr>
      </w:pPr>
      <w:r w:rsidRPr="000B0E9A">
        <w:rPr>
          <w:bCs/>
          <w:sz w:val="22"/>
          <w:lang w:val="es-ES"/>
        </w:rPr>
        <w:t>En su virtud, a propuesta de</w:t>
      </w:r>
      <w:r w:rsidR="00B33C22" w:rsidRPr="000B0E9A">
        <w:rPr>
          <w:bCs/>
          <w:sz w:val="22"/>
          <w:lang w:val="es-ES"/>
        </w:rPr>
        <w:t xml:space="preserve"> </w:t>
      </w:r>
      <w:r w:rsidRPr="000B0E9A">
        <w:rPr>
          <w:bCs/>
          <w:sz w:val="22"/>
          <w:lang w:val="es-ES"/>
        </w:rPr>
        <w:t>l</w:t>
      </w:r>
      <w:r w:rsidR="00B33C22" w:rsidRPr="000B0E9A">
        <w:rPr>
          <w:bCs/>
          <w:sz w:val="22"/>
          <w:lang w:val="es-ES"/>
        </w:rPr>
        <w:t>a Diputada</w:t>
      </w:r>
      <w:r w:rsidRPr="000B0E9A">
        <w:rPr>
          <w:bCs/>
          <w:sz w:val="22"/>
          <w:lang w:val="es-ES"/>
        </w:rPr>
        <w:t xml:space="preserve"> de Hacienda, Finanzas y Presupuestos, y previa deliberación del Consejo de </w:t>
      </w:r>
      <w:r w:rsidR="00A41DB8" w:rsidRPr="000B0E9A">
        <w:rPr>
          <w:bCs/>
          <w:sz w:val="22"/>
          <w:lang w:val="es-ES"/>
        </w:rPr>
        <w:t>Gobierno Foral</w:t>
      </w:r>
      <w:r w:rsidRPr="000B0E9A">
        <w:rPr>
          <w:bCs/>
          <w:sz w:val="22"/>
          <w:lang w:val="es-ES"/>
        </w:rPr>
        <w:t xml:space="preserve"> en Sesión celebrada en el día de hoy, en uso de las atribuciones que concede a la Diputación Foral el artículo 8 de la Norma Foral 6/2005, de 28 de febrero, General Tributaria de Álava y la Norma Foral 52/1992, de 18 de diciembre, -de Organización, Funcionamiento y Régimen Jurídico de la Diputación Foral de Álava-, por razones de urgencia, </w:t>
      </w:r>
    </w:p>
    <w:p w14:paraId="71EE2B74" w14:textId="77777777" w:rsidR="00B64085" w:rsidRPr="000B0E9A" w:rsidRDefault="00B64085">
      <w:pPr>
        <w:pStyle w:val="Ttulo1"/>
        <w:keepNext w:val="0"/>
        <w:rPr>
          <w:rFonts w:ascii="Times New Roman" w:hAnsi="Times New Roman"/>
          <w:b w:val="0"/>
          <w:lang w:val="es-ES"/>
        </w:rPr>
      </w:pPr>
      <w:r w:rsidRPr="000B0E9A">
        <w:rPr>
          <w:rFonts w:ascii="Times New Roman" w:hAnsi="Times New Roman"/>
          <w:b w:val="0"/>
          <w:lang w:val="es-ES"/>
        </w:rPr>
        <w:t>DISPONGO</w:t>
      </w:r>
    </w:p>
    <w:p w14:paraId="7BA8C6EE" w14:textId="77777777" w:rsidR="00346A56" w:rsidRPr="000B0E9A" w:rsidRDefault="00346A56" w:rsidP="00346A56">
      <w:pPr>
        <w:spacing w:after="240"/>
        <w:jc w:val="both"/>
        <w:rPr>
          <w:bCs/>
          <w:sz w:val="22"/>
          <w:lang w:val="es-ES"/>
        </w:rPr>
      </w:pPr>
      <w:r w:rsidRPr="000B0E9A">
        <w:rPr>
          <w:bCs/>
          <w:sz w:val="22"/>
          <w:lang w:val="es-ES"/>
        </w:rPr>
        <w:t>Artículo 1. Tipo impositivo aplicable del Impuesto sobre el Valor Añadido a determinadas entregas, importaciones y adquisiciones intracomunitarias de energía eléctrica.</w:t>
      </w:r>
    </w:p>
    <w:p w14:paraId="14E48DE0" w14:textId="77777777" w:rsidR="00346A56" w:rsidRPr="000B0E9A" w:rsidRDefault="00346A56" w:rsidP="00346A56">
      <w:pPr>
        <w:spacing w:after="240"/>
        <w:jc w:val="both"/>
        <w:rPr>
          <w:bCs/>
          <w:sz w:val="22"/>
          <w:lang w:val="es-ES"/>
        </w:rPr>
      </w:pPr>
      <w:r w:rsidRPr="000B0E9A">
        <w:rPr>
          <w:bCs/>
          <w:sz w:val="22"/>
          <w:lang w:val="es-ES"/>
        </w:rPr>
        <w:t>Con efectos desde el día 26 de junio de 2021 y vigencia hasta el 31 de diciembre de 2021, se aplicará el tipo del 10 por ciento del Impuesto sobre el Valor Añadido a las entregas, importaciones y adquisiciones intracomunitarias de energía eléctrica efectuadas a favor de:</w:t>
      </w:r>
    </w:p>
    <w:p w14:paraId="1F239621" w14:textId="4C330E18" w:rsidR="00346A56" w:rsidRPr="000B0E9A" w:rsidRDefault="00346A56" w:rsidP="00346A56">
      <w:pPr>
        <w:spacing w:after="240"/>
        <w:jc w:val="both"/>
        <w:rPr>
          <w:bCs/>
          <w:sz w:val="22"/>
          <w:lang w:val="es-ES"/>
        </w:rPr>
      </w:pPr>
      <w:r w:rsidRPr="000B0E9A">
        <w:rPr>
          <w:bCs/>
          <w:sz w:val="22"/>
          <w:lang w:val="es-ES"/>
        </w:rPr>
        <w:t>a) Titulares de contratos de suministro de electricidad, cuya potencia contratada (término fijo de potencia) sea inferior</w:t>
      </w:r>
      <w:r w:rsidR="004F36CE" w:rsidRPr="000B0E9A">
        <w:rPr>
          <w:bCs/>
          <w:sz w:val="22"/>
          <w:lang w:val="es-ES"/>
        </w:rPr>
        <w:t xml:space="preserve"> o igual</w:t>
      </w:r>
      <w:r w:rsidRPr="000B0E9A">
        <w:rPr>
          <w:bCs/>
          <w:sz w:val="22"/>
          <w:lang w:val="es-ES"/>
        </w:rPr>
        <w:t xml:space="preserve"> a 10 kW, con independencia del nivel de tensión del suministro y la modalidad de contratación, cuando el precio medio aritmético del mercado diario correspondiente al último mes natural anterior al del último día del periodo de facturación haya superado los 45 €/</w:t>
      </w:r>
      <w:proofErr w:type="spellStart"/>
      <w:r w:rsidRPr="000B0E9A">
        <w:rPr>
          <w:bCs/>
          <w:sz w:val="22"/>
          <w:lang w:val="es-ES"/>
        </w:rPr>
        <w:t>MWh</w:t>
      </w:r>
      <w:proofErr w:type="spellEnd"/>
      <w:r w:rsidRPr="000B0E9A">
        <w:rPr>
          <w:bCs/>
          <w:sz w:val="22"/>
          <w:lang w:val="es-ES"/>
        </w:rPr>
        <w:t>.</w:t>
      </w:r>
    </w:p>
    <w:p w14:paraId="33433BF7" w14:textId="77777777" w:rsidR="00346A56" w:rsidRPr="000B0E9A" w:rsidRDefault="00346A56" w:rsidP="00346A56">
      <w:pPr>
        <w:spacing w:after="240"/>
        <w:jc w:val="both"/>
        <w:rPr>
          <w:bCs/>
          <w:sz w:val="22"/>
          <w:lang w:val="es-ES"/>
        </w:rPr>
      </w:pPr>
      <w:r w:rsidRPr="000B0E9A">
        <w:rPr>
          <w:bCs/>
          <w:sz w:val="22"/>
          <w:lang w:val="es-ES"/>
        </w:rPr>
        <w:t>b) Titulares de contratos de suministro de electricidad que sean perceptores del bono social de electricidad y tengan reconocida la condición de vulnerable severo o vulnerable severo en riesgo de exclusión social, de conformidad con lo establecido en el Real Decreto 897/2017, de 6 de octubre, por el que se regula la figura del consumidor vulnerable, el bono social y otras medidas de protección para los consumidores domésticos de energía eléctrica.</w:t>
      </w:r>
    </w:p>
    <w:p w14:paraId="6733DC11" w14:textId="6F079372" w:rsidR="0013501A" w:rsidRPr="000B0E9A" w:rsidRDefault="0013501A" w:rsidP="0013501A">
      <w:pPr>
        <w:suppressAutoHyphens/>
        <w:autoSpaceDN w:val="0"/>
        <w:spacing w:after="160" w:line="256" w:lineRule="auto"/>
        <w:jc w:val="both"/>
        <w:textAlignment w:val="baseline"/>
        <w:rPr>
          <w:bCs/>
          <w:sz w:val="22"/>
          <w:lang w:val="es-ES"/>
        </w:rPr>
      </w:pPr>
      <w:r w:rsidRPr="000B0E9A">
        <w:rPr>
          <w:bCs/>
          <w:sz w:val="22"/>
          <w:lang w:val="es-ES"/>
        </w:rPr>
        <w:t xml:space="preserve">Artículo 2. Determinación de la base imponible y del importe de los pagos fraccionados del Impuesto sobre el </w:t>
      </w:r>
      <w:r w:rsidR="00740616" w:rsidRPr="000B0E9A">
        <w:rPr>
          <w:bCs/>
          <w:sz w:val="22"/>
          <w:lang w:val="es-ES"/>
        </w:rPr>
        <w:t>V</w:t>
      </w:r>
      <w:r w:rsidRPr="000B0E9A">
        <w:rPr>
          <w:bCs/>
          <w:sz w:val="22"/>
          <w:lang w:val="es-ES"/>
        </w:rPr>
        <w:t xml:space="preserve">alor de la </w:t>
      </w:r>
      <w:r w:rsidR="00740616" w:rsidRPr="000B0E9A">
        <w:rPr>
          <w:bCs/>
          <w:sz w:val="22"/>
          <w:lang w:val="es-ES"/>
        </w:rPr>
        <w:t>P</w:t>
      </w:r>
      <w:r w:rsidRPr="000B0E9A">
        <w:rPr>
          <w:bCs/>
          <w:sz w:val="22"/>
          <w:lang w:val="es-ES"/>
        </w:rPr>
        <w:t xml:space="preserve">roducción de </w:t>
      </w:r>
      <w:r w:rsidR="00740616" w:rsidRPr="000B0E9A">
        <w:rPr>
          <w:bCs/>
          <w:sz w:val="22"/>
          <w:lang w:val="es-ES"/>
        </w:rPr>
        <w:t>E</w:t>
      </w:r>
      <w:r w:rsidRPr="000B0E9A">
        <w:rPr>
          <w:bCs/>
          <w:sz w:val="22"/>
          <w:lang w:val="es-ES"/>
        </w:rPr>
        <w:t xml:space="preserve">nergía </w:t>
      </w:r>
      <w:r w:rsidR="00740616" w:rsidRPr="000B0E9A">
        <w:rPr>
          <w:bCs/>
          <w:sz w:val="22"/>
          <w:lang w:val="es-ES"/>
        </w:rPr>
        <w:t>E</w:t>
      </w:r>
      <w:r w:rsidRPr="000B0E9A">
        <w:rPr>
          <w:bCs/>
          <w:sz w:val="22"/>
          <w:lang w:val="es-ES"/>
        </w:rPr>
        <w:t>léctrica durante el ejercicio 2021.</w:t>
      </w:r>
    </w:p>
    <w:p w14:paraId="4B8E7096" w14:textId="6BD5AE32" w:rsidR="0013501A" w:rsidRPr="000B0E9A" w:rsidRDefault="0013501A" w:rsidP="0013501A">
      <w:pPr>
        <w:suppressAutoHyphens/>
        <w:autoSpaceDN w:val="0"/>
        <w:spacing w:after="160" w:line="256" w:lineRule="auto"/>
        <w:jc w:val="both"/>
        <w:textAlignment w:val="baseline"/>
        <w:rPr>
          <w:bCs/>
          <w:sz w:val="22"/>
          <w:lang w:val="es-ES"/>
        </w:rPr>
      </w:pPr>
      <w:r w:rsidRPr="000B0E9A">
        <w:rPr>
          <w:bCs/>
          <w:sz w:val="22"/>
          <w:lang w:val="es-ES"/>
        </w:rPr>
        <w:t xml:space="preserve">Para el ejercicio 2021 la base imponible del Impuesto sobre el </w:t>
      </w:r>
      <w:r w:rsidR="00970DB7" w:rsidRPr="000B0E9A">
        <w:rPr>
          <w:bCs/>
          <w:sz w:val="22"/>
          <w:lang w:val="es-ES"/>
        </w:rPr>
        <w:t>V</w:t>
      </w:r>
      <w:r w:rsidRPr="000B0E9A">
        <w:rPr>
          <w:bCs/>
          <w:sz w:val="22"/>
          <w:lang w:val="es-ES"/>
        </w:rPr>
        <w:t xml:space="preserve">alor de la </w:t>
      </w:r>
      <w:r w:rsidR="00970DB7" w:rsidRPr="000B0E9A">
        <w:rPr>
          <w:bCs/>
          <w:sz w:val="22"/>
          <w:lang w:val="es-ES"/>
        </w:rPr>
        <w:t>P</w:t>
      </w:r>
      <w:r w:rsidRPr="000B0E9A">
        <w:rPr>
          <w:bCs/>
          <w:sz w:val="22"/>
          <w:lang w:val="es-ES"/>
        </w:rPr>
        <w:t xml:space="preserve">roducción de </w:t>
      </w:r>
      <w:r w:rsidR="00970DB7" w:rsidRPr="000B0E9A">
        <w:rPr>
          <w:bCs/>
          <w:sz w:val="22"/>
          <w:lang w:val="es-ES"/>
        </w:rPr>
        <w:t>E</w:t>
      </w:r>
      <w:r w:rsidRPr="000B0E9A">
        <w:rPr>
          <w:bCs/>
          <w:sz w:val="22"/>
          <w:lang w:val="es-ES"/>
        </w:rPr>
        <w:t xml:space="preserve">nergía </w:t>
      </w:r>
      <w:r w:rsidR="00970DB7" w:rsidRPr="000B0E9A">
        <w:rPr>
          <w:bCs/>
          <w:sz w:val="22"/>
          <w:lang w:val="es-ES"/>
        </w:rPr>
        <w:t>E</w:t>
      </w:r>
      <w:r w:rsidRPr="000B0E9A">
        <w:rPr>
          <w:bCs/>
          <w:sz w:val="22"/>
          <w:lang w:val="es-ES"/>
        </w:rPr>
        <w:t>léctrica estará constituida por el importe total que corresponda percibir al contribuyente por la producción e incorporación al sistema eléctrico de energía eléctrica, medida en barras de central, por cada instalación en el período impositivo minorada en las retribuciones correspondientes a la electricidad incorporada al sistema durante el tercer trimestre natural.</w:t>
      </w:r>
    </w:p>
    <w:p w14:paraId="3282005C" w14:textId="53AF9EAB" w:rsidR="0013501A" w:rsidRPr="000B0E9A" w:rsidRDefault="0013501A" w:rsidP="0013501A">
      <w:pPr>
        <w:suppressAutoHyphens/>
        <w:autoSpaceDN w:val="0"/>
        <w:spacing w:after="160" w:line="256" w:lineRule="auto"/>
        <w:jc w:val="both"/>
        <w:textAlignment w:val="baseline"/>
        <w:rPr>
          <w:bCs/>
          <w:sz w:val="22"/>
          <w:lang w:val="es-ES"/>
        </w:rPr>
      </w:pPr>
      <w:r w:rsidRPr="000B0E9A">
        <w:rPr>
          <w:bCs/>
          <w:sz w:val="22"/>
          <w:lang w:val="es-ES"/>
        </w:rPr>
        <w:t xml:space="preserve">Los pagos fraccionados del tercer trimestre se calcularán en función del valor de la producción de energía eléctrica en barras de central realizada durante el período impositivo minorado en las retribuciones correspondientes a la electricidad incorporada al sistema durante dicho trimestre, aplicándose el tipo impositivo previsto en el artículo 8 de la Norma Foral 24/2014, de 9 de julio, del Impuesto sobre el </w:t>
      </w:r>
      <w:r w:rsidR="00740616" w:rsidRPr="000B0E9A">
        <w:rPr>
          <w:bCs/>
          <w:sz w:val="22"/>
          <w:lang w:val="es-ES"/>
        </w:rPr>
        <w:t>V</w:t>
      </w:r>
      <w:r w:rsidRPr="000B0E9A">
        <w:rPr>
          <w:bCs/>
          <w:sz w:val="22"/>
          <w:lang w:val="es-ES"/>
        </w:rPr>
        <w:t xml:space="preserve">alor de la </w:t>
      </w:r>
      <w:r w:rsidR="00740616" w:rsidRPr="000B0E9A">
        <w:rPr>
          <w:bCs/>
          <w:sz w:val="22"/>
          <w:lang w:val="es-ES"/>
        </w:rPr>
        <w:t>P</w:t>
      </w:r>
      <w:r w:rsidRPr="000B0E9A">
        <w:rPr>
          <w:bCs/>
          <w:sz w:val="22"/>
          <w:lang w:val="es-ES"/>
        </w:rPr>
        <w:t xml:space="preserve">roducción de la </w:t>
      </w:r>
      <w:r w:rsidR="00740616" w:rsidRPr="000B0E9A">
        <w:rPr>
          <w:bCs/>
          <w:sz w:val="22"/>
          <w:lang w:val="es-ES"/>
        </w:rPr>
        <w:t>E</w:t>
      </w:r>
      <w:r w:rsidRPr="000B0E9A">
        <w:rPr>
          <w:bCs/>
          <w:sz w:val="22"/>
          <w:lang w:val="es-ES"/>
        </w:rPr>
        <w:t xml:space="preserve">nergía </w:t>
      </w:r>
      <w:r w:rsidR="00740616" w:rsidRPr="000B0E9A">
        <w:rPr>
          <w:bCs/>
          <w:sz w:val="22"/>
          <w:lang w:val="es-ES"/>
        </w:rPr>
        <w:t>E</w:t>
      </w:r>
      <w:r w:rsidRPr="000B0E9A">
        <w:rPr>
          <w:bCs/>
          <w:sz w:val="22"/>
          <w:lang w:val="es-ES"/>
        </w:rPr>
        <w:t>léctrica, y deduciendo el importe de los pagos fraccionados previamente realizados.</w:t>
      </w:r>
    </w:p>
    <w:p w14:paraId="4054A968" w14:textId="643FC371" w:rsidR="0013501A" w:rsidRPr="000B0E9A" w:rsidRDefault="0013501A" w:rsidP="0013501A">
      <w:pPr>
        <w:suppressAutoHyphens/>
        <w:autoSpaceDN w:val="0"/>
        <w:spacing w:after="160" w:line="256" w:lineRule="auto"/>
        <w:jc w:val="both"/>
        <w:textAlignment w:val="baseline"/>
        <w:rPr>
          <w:bCs/>
          <w:sz w:val="22"/>
          <w:lang w:val="es-ES"/>
        </w:rPr>
      </w:pPr>
      <w:r w:rsidRPr="000B0E9A">
        <w:rPr>
          <w:bCs/>
          <w:sz w:val="22"/>
          <w:lang w:val="es-ES"/>
        </w:rPr>
        <w:lastRenderedPageBreak/>
        <w:t xml:space="preserve">Los pagos fraccionados del cuarto trimestre se calcularán en función del valor de la producción de energía eléctrica en barras de central realizada durante el período impositivo minorado en las retribuciones correspondientes a la electricidad incorporada al sistema durante el tercer trimestre natural, aplicándose el tipo impositivo previsto en el artículo 8 de la Norma Foral 24/2014, de 9 de julio, del Impuesto sobre el </w:t>
      </w:r>
      <w:r w:rsidR="00740616" w:rsidRPr="000B0E9A">
        <w:rPr>
          <w:bCs/>
          <w:sz w:val="22"/>
          <w:lang w:val="es-ES"/>
        </w:rPr>
        <w:t>V</w:t>
      </w:r>
      <w:r w:rsidRPr="000B0E9A">
        <w:rPr>
          <w:bCs/>
          <w:sz w:val="22"/>
          <w:lang w:val="es-ES"/>
        </w:rPr>
        <w:t xml:space="preserve">alor de la </w:t>
      </w:r>
      <w:r w:rsidR="00740616" w:rsidRPr="000B0E9A">
        <w:rPr>
          <w:bCs/>
          <w:sz w:val="22"/>
          <w:lang w:val="es-ES"/>
        </w:rPr>
        <w:t>P</w:t>
      </w:r>
      <w:r w:rsidRPr="000B0E9A">
        <w:rPr>
          <w:bCs/>
          <w:sz w:val="22"/>
          <w:lang w:val="es-ES"/>
        </w:rPr>
        <w:t xml:space="preserve">roducción de la </w:t>
      </w:r>
      <w:r w:rsidR="00740616" w:rsidRPr="000B0E9A">
        <w:rPr>
          <w:bCs/>
          <w:sz w:val="22"/>
          <w:lang w:val="es-ES"/>
        </w:rPr>
        <w:t>E</w:t>
      </w:r>
      <w:r w:rsidRPr="000B0E9A">
        <w:rPr>
          <w:bCs/>
          <w:sz w:val="22"/>
          <w:lang w:val="es-ES"/>
        </w:rPr>
        <w:t xml:space="preserve">nergía </w:t>
      </w:r>
      <w:r w:rsidR="00740616" w:rsidRPr="000B0E9A">
        <w:rPr>
          <w:bCs/>
          <w:sz w:val="22"/>
          <w:lang w:val="es-ES"/>
        </w:rPr>
        <w:t>E</w:t>
      </w:r>
      <w:r w:rsidRPr="000B0E9A">
        <w:rPr>
          <w:bCs/>
          <w:sz w:val="22"/>
          <w:lang w:val="es-ES"/>
        </w:rPr>
        <w:t>léctrica, y deduciendo el importe de los pagos fraccionados previamente realizados.</w:t>
      </w:r>
    </w:p>
    <w:p w14:paraId="4BE54DA5" w14:textId="3FE8CB3A" w:rsidR="00B64085" w:rsidRPr="000B0E9A" w:rsidRDefault="00B64085">
      <w:pPr>
        <w:pStyle w:val="Ttulo2"/>
        <w:spacing w:before="240"/>
        <w:rPr>
          <w:rFonts w:ascii="Times New Roman" w:hAnsi="Times New Roman"/>
          <w:b w:val="0"/>
          <w:bCs/>
          <w:lang w:val="es-ES"/>
        </w:rPr>
      </w:pPr>
      <w:r w:rsidRPr="000B0E9A">
        <w:rPr>
          <w:rFonts w:ascii="Times New Roman" w:hAnsi="Times New Roman"/>
          <w:b w:val="0"/>
          <w:bCs/>
          <w:lang w:val="es-ES"/>
        </w:rPr>
        <w:t>DISPOSICIONES FINALES</w:t>
      </w:r>
    </w:p>
    <w:p w14:paraId="36E08956" w14:textId="77777777" w:rsidR="00B64085" w:rsidRPr="000B0E9A" w:rsidRDefault="00B64085">
      <w:pPr>
        <w:widowControl w:val="0"/>
        <w:spacing w:after="240"/>
        <w:jc w:val="both"/>
        <w:rPr>
          <w:bCs/>
          <w:sz w:val="22"/>
          <w:lang w:val="es-ES"/>
        </w:rPr>
      </w:pPr>
      <w:r w:rsidRPr="000B0E9A">
        <w:rPr>
          <w:bCs/>
          <w:sz w:val="22"/>
          <w:lang w:val="es-ES"/>
        </w:rPr>
        <w:t>Primera. Entrada en vigor.</w:t>
      </w:r>
    </w:p>
    <w:p w14:paraId="5F016C47" w14:textId="09B8FC60" w:rsidR="00B64085" w:rsidRPr="000B0E9A" w:rsidRDefault="00B64085">
      <w:pPr>
        <w:spacing w:after="240"/>
        <w:jc w:val="both"/>
        <w:rPr>
          <w:bCs/>
          <w:sz w:val="22"/>
          <w:lang w:val="es-ES"/>
        </w:rPr>
      </w:pPr>
      <w:r w:rsidRPr="000B0E9A">
        <w:rPr>
          <w:bCs/>
          <w:sz w:val="22"/>
          <w:lang w:val="es-ES"/>
        </w:rPr>
        <w:t>La presente disposición general entrará en vigor el día siguiente al de su publicación en el BOTHA</w:t>
      </w:r>
      <w:r w:rsidR="00E45D65" w:rsidRPr="000B0E9A">
        <w:rPr>
          <w:bCs/>
          <w:sz w:val="22"/>
          <w:lang w:val="es-ES"/>
        </w:rPr>
        <w:t xml:space="preserve">, y en su caso, producirá efectos de acuerdo con lo dispuesto en su </w:t>
      </w:r>
      <w:r w:rsidR="00711323" w:rsidRPr="000B0E9A">
        <w:rPr>
          <w:bCs/>
          <w:sz w:val="22"/>
          <w:lang w:val="es-ES"/>
        </w:rPr>
        <w:t>articulado</w:t>
      </w:r>
      <w:r w:rsidR="00E45D65" w:rsidRPr="000B0E9A">
        <w:rPr>
          <w:bCs/>
          <w:sz w:val="22"/>
          <w:lang w:val="es-ES"/>
        </w:rPr>
        <w:t>.</w:t>
      </w:r>
    </w:p>
    <w:p w14:paraId="54A3B6EF" w14:textId="77777777" w:rsidR="00B64085" w:rsidRPr="000B0E9A" w:rsidRDefault="00B64085">
      <w:pPr>
        <w:widowControl w:val="0"/>
        <w:spacing w:after="240"/>
        <w:jc w:val="both"/>
        <w:rPr>
          <w:bCs/>
          <w:sz w:val="22"/>
          <w:lang w:val="es-ES"/>
        </w:rPr>
      </w:pPr>
      <w:r w:rsidRPr="000B0E9A">
        <w:rPr>
          <w:bCs/>
          <w:sz w:val="22"/>
          <w:lang w:val="es-ES"/>
        </w:rPr>
        <w:t>Segunda. Habilitación.</w:t>
      </w:r>
    </w:p>
    <w:p w14:paraId="27ADD22E" w14:textId="77777777" w:rsidR="00B64085" w:rsidRPr="000B0E9A" w:rsidRDefault="00B64085">
      <w:pPr>
        <w:widowControl w:val="0"/>
        <w:spacing w:after="240"/>
        <w:jc w:val="both"/>
        <w:rPr>
          <w:bCs/>
          <w:sz w:val="22"/>
          <w:lang w:val="es-ES"/>
        </w:rPr>
      </w:pPr>
      <w:r w:rsidRPr="000B0E9A">
        <w:rPr>
          <w:bCs/>
          <w:sz w:val="22"/>
          <w:lang w:val="es-ES"/>
        </w:rPr>
        <w:t>Se autoriza a la Diputación Foral de Álava para dictar cuantas disposiciones sean necesarias para el desarrollo y aplicación de la presente disposición general.</w:t>
      </w:r>
    </w:p>
    <w:p w14:paraId="52650301" w14:textId="77777777" w:rsidR="00B64085" w:rsidRPr="000B0E9A" w:rsidRDefault="00B64085">
      <w:pPr>
        <w:widowControl w:val="0"/>
        <w:spacing w:after="240"/>
        <w:rPr>
          <w:bCs/>
          <w:sz w:val="22"/>
          <w:lang w:val="es-ES"/>
        </w:rPr>
      </w:pPr>
      <w:r w:rsidRPr="000B0E9A">
        <w:rPr>
          <w:bCs/>
          <w:sz w:val="22"/>
          <w:lang w:val="es-ES"/>
        </w:rPr>
        <w:t>Tercera. Remisión a Juntas Generales.</w:t>
      </w:r>
    </w:p>
    <w:p w14:paraId="08312478" w14:textId="1CB0E73A" w:rsidR="00B64085" w:rsidRDefault="00B64085">
      <w:pPr>
        <w:widowControl w:val="0"/>
        <w:spacing w:after="240"/>
        <w:jc w:val="both"/>
        <w:rPr>
          <w:bCs/>
          <w:sz w:val="22"/>
          <w:lang w:val="es-ES"/>
        </w:rPr>
      </w:pPr>
      <w:r w:rsidRPr="000B0E9A">
        <w:rPr>
          <w:bCs/>
          <w:sz w:val="22"/>
          <w:lang w:val="es-ES"/>
        </w:rPr>
        <w:t>Este Decreto Normativo de Urgencia Fiscal se someterá a las Juntas Generales de Álava, para su convalidación o revocación, de conformidad con lo establecido en la normativa vigente.</w:t>
      </w:r>
    </w:p>
    <w:p w14:paraId="49A36E91" w14:textId="77777777" w:rsidR="00316E34" w:rsidRPr="000B0E9A" w:rsidRDefault="00316E34">
      <w:pPr>
        <w:widowControl w:val="0"/>
        <w:spacing w:after="240"/>
        <w:jc w:val="both"/>
        <w:rPr>
          <w:bCs/>
          <w:sz w:val="22"/>
          <w:lang w:val="es-ES"/>
        </w:rPr>
      </w:pPr>
    </w:p>
    <w:sectPr w:rsidR="00316E34" w:rsidRPr="000B0E9A" w:rsidSect="00420950">
      <w:headerReference w:type="even" r:id="rId6"/>
      <w:headerReference w:type="default" r:id="rId7"/>
      <w:footerReference w:type="even" r:id="rId8"/>
      <w:footerReference w:type="default" r:id="rId9"/>
      <w:headerReference w:type="first" r:id="rId10"/>
      <w:footerReference w:type="first" r:id="rId11"/>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913296" w14:textId="77777777" w:rsidR="000E56A4" w:rsidRDefault="000E56A4">
      <w:r>
        <w:separator/>
      </w:r>
    </w:p>
  </w:endnote>
  <w:endnote w:type="continuationSeparator" w:id="0">
    <w:p w14:paraId="3EDDABC2" w14:textId="77777777" w:rsidR="000E56A4" w:rsidRDefault="000E5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88E3E0" w14:textId="77777777" w:rsidR="00A22B2D" w:rsidRDefault="00A22B2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9239261"/>
      <w:docPartObj>
        <w:docPartGallery w:val="Page Numbers (Bottom of Page)"/>
        <w:docPartUnique/>
      </w:docPartObj>
    </w:sdtPr>
    <w:sdtContent>
      <w:p w14:paraId="5EC0DC59" w14:textId="47A2DB33" w:rsidR="00A22B2D" w:rsidRDefault="00A22B2D">
        <w:pPr>
          <w:pStyle w:val="Piedepgina"/>
          <w:jc w:val="center"/>
        </w:pPr>
        <w:r>
          <w:fldChar w:fldCharType="begin"/>
        </w:r>
        <w:r>
          <w:instrText>PAGE   \* MERGEFORMAT</w:instrText>
        </w:r>
        <w:r>
          <w:fldChar w:fldCharType="separate"/>
        </w:r>
        <w:r>
          <w:rPr>
            <w:lang w:val="es-ES"/>
          </w:rPr>
          <w:t>2</w:t>
        </w:r>
        <w:r>
          <w:fldChar w:fldCharType="end"/>
        </w:r>
      </w:p>
    </w:sdtContent>
  </w:sdt>
  <w:p w14:paraId="09E34ED8" w14:textId="77777777" w:rsidR="00A22B2D" w:rsidRDefault="00A22B2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80231" w14:textId="77777777" w:rsidR="00A22B2D" w:rsidRDefault="00A22B2D">
    <w:pPr>
      <w:pStyle w:val="Piedepgina"/>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lang w:val="es-ES"/>
      </w:rPr>
      <w:t>2</w:t>
    </w:r>
    <w:r>
      <w:rPr>
        <w:caps/>
        <w:color w:val="4472C4" w:themeColor="accent1"/>
      </w:rPr>
      <w:fldChar w:fldCharType="end"/>
    </w:r>
  </w:p>
  <w:p w14:paraId="4CE5085B" w14:textId="7054798D" w:rsidR="00B64085" w:rsidRDefault="00B64085">
    <w:pPr>
      <w:pStyle w:val="Piedepgina"/>
      <w:tabs>
        <w:tab w:val="clear" w:pos="4252"/>
        <w:tab w:val="clear" w:pos="8504"/>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E93065" w14:textId="77777777" w:rsidR="000E56A4" w:rsidRDefault="000E56A4">
      <w:r>
        <w:separator/>
      </w:r>
    </w:p>
  </w:footnote>
  <w:footnote w:type="continuationSeparator" w:id="0">
    <w:p w14:paraId="1D935F90" w14:textId="77777777" w:rsidR="000E56A4" w:rsidRDefault="000E5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1328E" w14:textId="77777777" w:rsidR="00A22B2D" w:rsidRDefault="00A22B2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A22B2D" w14:paraId="46BA42A0" w14:textId="77777777" w:rsidTr="004F74EC">
      <w:tblPrEx>
        <w:tblCellMar>
          <w:top w:w="0" w:type="dxa"/>
          <w:bottom w:w="0" w:type="dxa"/>
        </w:tblCellMar>
      </w:tblPrEx>
      <w:trPr>
        <w:cantSplit/>
        <w:trHeight w:val="338"/>
      </w:trPr>
      <w:tc>
        <w:tcPr>
          <w:tcW w:w="4139" w:type="dxa"/>
          <w:tcBorders>
            <w:top w:val="nil"/>
            <w:left w:val="nil"/>
            <w:bottom w:val="single" w:sz="4" w:space="0" w:color="auto"/>
          </w:tcBorders>
        </w:tcPr>
        <w:p w14:paraId="5DB9BC88" w14:textId="77777777" w:rsidR="00A22B2D" w:rsidRDefault="00A22B2D" w:rsidP="00A22B2D">
          <w:pPr>
            <w:pStyle w:val="Encabezado"/>
          </w:pPr>
        </w:p>
      </w:tc>
      <w:tc>
        <w:tcPr>
          <w:tcW w:w="1361" w:type="dxa"/>
          <w:vMerge w:val="restart"/>
        </w:tcPr>
        <w:p w14:paraId="39829362" w14:textId="3698868F" w:rsidR="00A22B2D" w:rsidRDefault="00A22B2D" w:rsidP="00A22B2D">
          <w:pPr>
            <w:pStyle w:val="Encabezado"/>
            <w:jc w:val="center"/>
          </w:pPr>
          <w:r>
            <w:rPr>
              <w:noProof/>
            </w:rPr>
            <w:drawing>
              <wp:inline distT="0" distB="0" distL="0" distR="0" wp14:anchorId="691ECD60" wp14:editId="394C1398">
                <wp:extent cx="428625" cy="4286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14:paraId="615CF89B" w14:textId="77777777" w:rsidR="00A22B2D" w:rsidRDefault="00A22B2D" w:rsidP="00A22B2D">
          <w:pPr>
            <w:pStyle w:val="Encabezado"/>
          </w:pPr>
        </w:p>
      </w:tc>
    </w:tr>
    <w:tr w:rsidR="00A22B2D" w14:paraId="3254E64B" w14:textId="77777777" w:rsidTr="004F74EC">
      <w:tblPrEx>
        <w:tblCellMar>
          <w:top w:w="0" w:type="dxa"/>
          <w:bottom w:w="0" w:type="dxa"/>
        </w:tblCellMar>
      </w:tblPrEx>
      <w:trPr>
        <w:cantSplit/>
        <w:trHeight w:val="337"/>
      </w:trPr>
      <w:tc>
        <w:tcPr>
          <w:tcW w:w="4139" w:type="dxa"/>
          <w:tcBorders>
            <w:top w:val="single" w:sz="4" w:space="0" w:color="auto"/>
            <w:left w:val="nil"/>
            <w:bottom w:val="nil"/>
          </w:tcBorders>
        </w:tcPr>
        <w:p w14:paraId="729AD8AD" w14:textId="77777777" w:rsidR="00A22B2D" w:rsidRDefault="00A22B2D" w:rsidP="00A22B2D">
          <w:pPr>
            <w:pStyle w:val="Encabezado"/>
          </w:pPr>
        </w:p>
      </w:tc>
      <w:tc>
        <w:tcPr>
          <w:tcW w:w="1361" w:type="dxa"/>
          <w:vMerge/>
        </w:tcPr>
        <w:p w14:paraId="39775BE9" w14:textId="77777777" w:rsidR="00A22B2D" w:rsidRDefault="00A22B2D" w:rsidP="00A22B2D">
          <w:pPr>
            <w:pStyle w:val="Encabezado"/>
            <w:jc w:val="center"/>
          </w:pPr>
        </w:p>
      </w:tc>
      <w:tc>
        <w:tcPr>
          <w:tcW w:w="4139" w:type="dxa"/>
          <w:tcBorders>
            <w:top w:val="single" w:sz="4" w:space="0" w:color="auto"/>
            <w:bottom w:val="nil"/>
            <w:right w:val="nil"/>
          </w:tcBorders>
        </w:tcPr>
        <w:p w14:paraId="330DC540" w14:textId="77777777" w:rsidR="00A22B2D" w:rsidRDefault="00A22B2D" w:rsidP="00A22B2D">
          <w:pPr>
            <w:pStyle w:val="Encabezado"/>
          </w:pPr>
        </w:p>
      </w:tc>
    </w:tr>
  </w:tbl>
  <w:p w14:paraId="7BB8ECF0" w14:textId="77777777" w:rsidR="00A22B2D" w:rsidRPr="00A22B2D" w:rsidRDefault="00A22B2D" w:rsidP="00A22B2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139"/>
      <w:gridCol w:w="1361"/>
      <w:gridCol w:w="4139"/>
    </w:tblGrid>
    <w:tr w:rsidR="00A22B2D" w14:paraId="29B38444" w14:textId="77777777" w:rsidTr="004F74EC">
      <w:tblPrEx>
        <w:tblCellMar>
          <w:top w:w="0" w:type="dxa"/>
          <w:bottom w:w="0" w:type="dxa"/>
        </w:tblCellMar>
      </w:tblPrEx>
      <w:trPr>
        <w:cantSplit/>
        <w:trHeight w:val="338"/>
      </w:trPr>
      <w:tc>
        <w:tcPr>
          <w:tcW w:w="4139" w:type="dxa"/>
          <w:tcBorders>
            <w:top w:val="nil"/>
            <w:left w:val="nil"/>
            <w:bottom w:val="single" w:sz="4" w:space="0" w:color="auto"/>
          </w:tcBorders>
        </w:tcPr>
        <w:p w14:paraId="190EC38F" w14:textId="77777777" w:rsidR="00A22B2D" w:rsidRDefault="00A22B2D" w:rsidP="00A22B2D">
          <w:pPr>
            <w:pStyle w:val="Encabezado"/>
          </w:pPr>
        </w:p>
      </w:tc>
      <w:tc>
        <w:tcPr>
          <w:tcW w:w="1361" w:type="dxa"/>
          <w:vMerge w:val="restart"/>
        </w:tcPr>
        <w:p w14:paraId="66710C6E" w14:textId="259891D1" w:rsidR="00A22B2D" w:rsidRDefault="00A22B2D" w:rsidP="00A22B2D">
          <w:pPr>
            <w:pStyle w:val="Encabezado"/>
            <w:jc w:val="center"/>
          </w:pPr>
          <w:r>
            <w:rPr>
              <w:noProof/>
            </w:rPr>
            <w:drawing>
              <wp:inline distT="0" distB="0" distL="0" distR="0" wp14:anchorId="23088623" wp14:editId="6B0E7B2E">
                <wp:extent cx="428625" cy="4286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4139" w:type="dxa"/>
          <w:tcBorders>
            <w:top w:val="nil"/>
            <w:bottom w:val="single" w:sz="4" w:space="0" w:color="auto"/>
            <w:right w:val="nil"/>
          </w:tcBorders>
        </w:tcPr>
        <w:p w14:paraId="19F6BCBE" w14:textId="77777777" w:rsidR="00A22B2D" w:rsidRDefault="00A22B2D" w:rsidP="00A22B2D">
          <w:pPr>
            <w:pStyle w:val="Encabezado"/>
          </w:pPr>
        </w:p>
      </w:tc>
    </w:tr>
    <w:tr w:rsidR="00A22B2D" w14:paraId="41F94421" w14:textId="77777777" w:rsidTr="004F74EC">
      <w:tblPrEx>
        <w:tblCellMar>
          <w:top w:w="0" w:type="dxa"/>
          <w:bottom w:w="0" w:type="dxa"/>
        </w:tblCellMar>
      </w:tblPrEx>
      <w:trPr>
        <w:cantSplit/>
        <w:trHeight w:val="337"/>
      </w:trPr>
      <w:tc>
        <w:tcPr>
          <w:tcW w:w="4139" w:type="dxa"/>
          <w:tcBorders>
            <w:top w:val="single" w:sz="4" w:space="0" w:color="auto"/>
            <w:left w:val="nil"/>
            <w:bottom w:val="nil"/>
          </w:tcBorders>
        </w:tcPr>
        <w:p w14:paraId="66E5E3DE" w14:textId="77777777" w:rsidR="00A22B2D" w:rsidRDefault="00A22B2D" w:rsidP="00A22B2D">
          <w:pPr>
            <w:pStyle w:val="Encabezado"/>
          </w:pPr>
        </w:p>
      </w:tc>
      <w:tc>
        <w:tcPr>
          <w:tcW w:w="1361" w:type="dxa"/>
          <w:vMerge/>
        </w:tcPr>
        <w:p w14:paraId="1C639A36" w14:textId="77777777" w:rsidR="00A22B2D" w:rsidRDefault="00A22B2D" w:rsidP="00A22B2D">
          <w:pPr>
            <w:pStyle w:val="Encabezado"/>
            <w:jc w:val="center"/>
          </w:pPr>
        </w:p>
      </w:tc>
      <w:tc>
        <w:tcPr>
          <w:tcW w:w="4139" w:type="dxa"/>
          <w:tcBorders>
            <w:top w:val="single" w:sz="4" w:space="0" w:color="auto"/>
            <w:bottom w:val="nil"/>
            <w:right w:val="nil"/>
          </w:tcBorders>
        </w:tcPr>
        <w:p w14:paraId="341FC5EF" w14:textId="77777777" w:rsidR="00A22B2D" w:rsidRDefault="00A22B2D" w:rsidP="00A22B2D">
          <w:pPr>
            <w:pStyle w:val="Encabezado"/>
          </w:pPr>
        </w:p>
      </w:tc>
    </w:tr>
  </w:tbl>
  <w:p w14:paraId="5533B39D" w14:textId="77777777" w:rsidR="00A22B2D" w:rsidRPr="00A22B2D" w:rsidRDefault="00A22B2D" w:rsidP="00A22B2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ES_tradnl" w:vendorID="9" w:dllVersion="512" w:checkStyle="1"/>
  <w:activeWritingStyle w:appName="MSWord" w:lang="es-ES" w:vendorID="9" w:dllVersion="512" w:checkStyle="1"/>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76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F"/>
    <w:rsid w:val="0005538A"/>
    <w:rsid w:val="00057D2D"/>
    <w:rsid w:val="00065BE7"/>
    <w:rsid w:val="000830AE"/>
    <w:rsid w:val="000B0E9A"/>
    <w:rsid w:val="000E56A4"/>
    <w:rsid w:val="0013501A"/>
    <w:rsid w:val="001A3F98"/>
    <w:rsid w:val="00201B38"/>
    <w:rsid w:val="00246CAD"/>
    <w:rsid w:val="002D296D"/>
    <w:rsid w:val="002E165E"/>
    <w:rsid w:val="002F15D0"/>
    <w:rsid w:val="0030604F"/>
    <w:rsid w:val="00316E34"/>
    <w:rsid w:val="00346A56"/>
    <w:rsid w:val="0035201D"/>
    <w:rsid w:val="00412A76"/>
    <w:rsid w:val="00420950"/>
    <w:rsid w:val="004F36CE"/>
    <w:rsid w:val="005322DC"/>
    <w:rsid w:val="00534A8C"/>
    <w:rsid w:val="005353EA"/>
    <w:rsid w:val="005A701B"/>
    <w:rsid w:val="005D3C8A"/>
    <w:rsid w:val="006473FA"/>
    <w:rsid w:val="006A0388"/>
    <w:rsid w:val="006B5B58"/>
    <w:rsid w:val="006B78EE"/>
    <w:rsid w:val="00711323"/>
    <w:rsid w:val="00740616"/>
    <w:rsid w:val="0074091E"/>
    <w:rsid w:val="007B00AB"/>
    <w:rsid w:val="007F4C11"/>
    <w:rsid w:val="008D1430"/>
    <w:rsid w:val="008F01F7"/>
    <w:rsid w:val="00970DB7"/>
    <w:rsid w:val="00997571"/>
    <w:rsid w:val="00A0092F"/>
    <w:rsid w:val="00A22B2D"/>
    <w:rsid w:val="00A41DB8"/>
    <w:rsid w:val="00A46BE3"/>
    <w:rsid w:val="00A61D84"/>
    <w:rsid w:val="00A95776"/>
    <w:rsid w:val="00A96B31"/>
    <w:rsid w:val="00B154E2"/>
    <w:rsid w:val="00B33C22"/>
    <w:rsid w:val="00B64085"/>
    <w:rsid w:val="00B86DF5"/>
    <w:rsid w:val="00BB72F9"/>
    <w:rsid w:val="00C022DD"/>
    <w:rsid w:val="00D13AE0"/>
    <w:rsid w:val="00DD5BEF"/>
    <w:rsid w:val="00E06F2F"/>
    <w:rsid w:val="00E437CF"/>
    <w:rsid w:val="00E45D65"/>
    <w:rsid w:val="00E57786"/>
    <w:rsid w:val="00ED0C9A"/>
    <w:rsid w:val="00EE53D3"/>
    <w:rsid w:val="00EF2B3E"/>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53633D4E"/>
  <w15:chartTrackingRefBased/>
  <w15:docId w15:val="{F1F7AD33-E684-4A48-B3C4-A4E3041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semiHidden/>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paragraph" w:styleId="Textodeglobo">
    <w:name w:val="Balloon Text"/>
    <w:basedOn w:val="Normal"/>
    <w:link w:val="TextodegloboCar"/>
    <w:uiPriority w:val="99"/>
    <w:semiHidden/>
    <w:unhideWhenUsed/>
    <w:rsid w:val="002D296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296D"/>
    <w:rPr>
      <w:rFonts w:ascii="Segoe UI" w:hAnsi="Segoe UI" w:cs="Segoe UI"/>
      <w:sz w:val="18"/>
      <w:szCs w:val="18"/>
      <w:lang w:val="es-ES_tradnl" w:bidi="or-IN"/>
    </w:rPr>
  </w:style>
  <w:style w:type="character" w:customStyle="1" w:styleId="EncabezadoCar">
    <w:name w:val="Encabezado Car"/>
    <w:link w:val="Encabezado"/>
    <w:semiHidden/>
    <w:rsid w:val="00A22B2D"/>
    <w:rPr>
      <w:rFonts w:cs="Arial"/>
      <w:lang w:val="es-ES_tradnl" w:bidi="or-IN"/>
    </w:rPr>
  </w:style>
  <w:style w:type="character" w:customStyle="1" w:styleId="PiedepginaCar">
    <w:name w:val="Pie de página Car"/>
    <w:basedOn w:val="Fuentedeprrafopredeter"/>
    <w:link w:val="Piedepgina"/>
    <w:uiPriority w:val="99"/>
    <w:rsid w:val="00A22B2D"/>
    <w:rPr>
      <w:rFonts w:cs="Arial"/>
      <w:lang w:val="es-ES_tradnl"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1243</Words>
  <Characters>6598</Characters>
  <Application>Microsoft Office Word</Application>
  <DocSecurity>4</DocSecurity>
  <Lines>54</Lines>
  <Paragraphs>15</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subject/>
  <dc:creator>HALARREA_ANA</dc:creator>
  <cp:keywords/>
  <cp:lastModifiedBy>Saez de Lafuente Uzabal, Nati</cp:lastModifiedBy>
  <cp:revision>2</cp:revision>
  <cp:lastPrinted>2021-07-01T07:03:00Z</cp:lastPrinted>
  <dcterms:created xsi:type="dcterms:W3CDTF">2021-07-07T07:08:00Z</dcterms:created>
  <dcterms:modified xsi:type="dcterms:W3CDTF">2021-07-07T07:08:00Z</dcterms:modified>
</cp:coreProperties>
</file>