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78E6" w14:textId="77777777" w:rsidR="00445A52" w:rsidRDefault="00445A52" w:rsidP="00445A52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/>
          <w:sz w:val="16"/>
        </w:rPr>
      </w:pPr>
      <w:bookmarkStart w:id="0" w:name="RESOLUCION"/>
    </w:p>
    <w:p w14:paraId="223D4DE6" w14:textId="77777777" w:rsidR="00FF6F93" w:rsidRDefault="00FF6F93" w:rsidP="00445A52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26"/>
          <w:szCs w:val="26"/>
          <w:lang w:val="es-ES"/>
        </w:rPr>
      </w:pPr>
    </w:p>
    <w:p w14:paraId="69E70F4E" w14:textId="61EAAD80" w:rsidR="00445A52" w:rsidRDefault="00FF6F93" w:rsidP="00445A52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/>
          <w:sz w:val="16"/>
        </w:rPr>
      </w:pPr>
      <w:r>
        <w:rPr>
          <w:rFonts w:ascii="Arial" w:hAnsi="Arial" w:cs="Arial"/>
          <w:sz w:val="26"/>
          <w:szCs w:val="26"/>
          <w:lang w:val="es-ES"/>
        </w:rPr>
        <w:t xml:space="preserve"> </w:t>
      </w:r>
      <w:r>
        <w:rPr>
          <w:rFonts w:ascii="Arial" w:hAnsi="Arial" w:cs="Arial"/>
          <w:sz w:val="26"/>
          <w:szCs w:val="26"/>
          <w:lang w:val="es-ES"/>
        </w:rPr>
        <w:tab/>
      </w:r>
      <w:r>
        <w:rPr>
          <w:rFonts w:ascii="Arial" w:hAnsi="Arial" w:cs="Arial"/>
          <w:sz w:val="26"/>
          <w:szCs w:val="26"/>
          <w:lang w:val="es-ES"/>
        </w:rPr>
        <w:t>291/2020, de 20 de noviembre</w:t>
      </w:r>
    </w:p>
    <w:p w14:paraId="0C01D938" w14:textId="77777777" w:rsidR="00FF6F93" w:rsidRDefault="00FF6F93" w:rsidP="00445A52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/>
          <w:sz w:val="16"/>
        </w:rPr>
      </w:pPr>
    </w:p>
    <w:p w14:paraId="46973290" w14:textId="77777777" w:rsidR="00FF6F93" w:rsidRDefault="00FF6F93" w:rsidP="00445A52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/>
          <w:sz w:val="16"/>
        </w:rPr>
      </w:pPr>
    </w:p>
    <w:p w14:paraId="63EF4989" w14:textId="3DF6F80F" w:rsidR="00445A52" w:rsidRDefault="00FF6F93" w:rsidP="00445A52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CD40A" wp14:editId="7608E4B4">
                <wp:simplePos x="0" y="0"/>
                <wp:positionH relativeFrom="column">
                  <wp:posOffset>13335</wp:posOffset>
                </wp:positionH>
                <wp:positionV relativeFrom="paragraph">
                  <wp:posOffset>49530</wp:posOffset>
                </wp:positionV>
                <wp:extent cx="5981700" cy="1905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BF5B6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.9pt" to="472.0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jRpwEAAJYDAAAOAAAAZHJzL2Uyb0RvYy54bWysU01P3DAQvVfqf7B87yZBgkK0WQ4gekEt&#10;6tfdOOONhb9km03233c82Q1VKRJCXCx/zHsz7814fTlZw3YQk/au482q5gyc9L12247/+nnz6Zyz&#10;lIXrhfEOOr6HxC83Hz+sx9DCiR+86SEyJHGpHUPHh5xDW1VJDmBFWvkADh+Vj1ZkPMZt1UcxIrs1&#10;1Uldn1Wjj32IXkJKeHs9P/IN8SsFMn9TKkFmpuNYW6Y10npf1mqzFu02ijBoeShDvKEKK7TDpAvV&#10;tciCPUb9jMpqGX3yKq+kt5VXSksgDaimqf9R82MQAUgLmpPCYlN6P1r5dXfl7iLaMIbUpnAXi4pJ&#10;RcuU0eE39pR0YaVsItv2i20wZSbx8vTivPlco7sS35qL+pRsrWaaQhdiyl/AW1Y2HTfaFVWiFbvb&#10;lDE1hh5D8PBUCO3y3kAJNu47KKZ7TDiXRDMCVyayncDu9g9N6SZyUWSBKG3MAqop5YugQ2yBAc3N&#10;a4FLNGX0Li9Aq52P/8uap2Opao4/qp61Ftn3vt9TW8gObD4pOwxqma6/zwR/+k6bPwAAAP//AwBQ&#10;SwMEFAAGAAgAAAAhAFP0fXDaAAAABgEAAA8AAABkcnMvZG93bnJldi54bWxMjsFOwzAQRO9I/IO1&#10;SFwq6jQqbQhxKlSJCxyAwgc48ZJE2OsQu6n79ywnOI7maeZVu+SsmHEKgycFq2UGAqn1ZqBOwcf7&#10;400BIkRNRltPqOCMAXb15UWlS+NP9IbzIXaCRyiUWkEf41hKGdoenQ5LPyJx9+knpyPHqZNm0ice&#10;d1bmWbaRTg/ED70ecd9j+3U4OgVPL6+Lc542i+/tbbNPc2HTc7BKXV+lh3sQEVP8g+FXn9WhZqfG&#10;H8kEYRXkKwYVbNmf27v1mnPDWFaArCv5X7/+AQAA//8DAFBLAQItABQABgAIAAAAIQC2gziS/gAA&#10;AOEBAAATAAAAAAAAAAAAAAAAAAAAAABbQ29udGVudF9UeXBlc10ueG1sUEsBAi0AFAAGAAgAAAAh&#10;ADj9If/WAAAAlAEAAAsAAAAAAAAAAAAAAAAALwEAAF9yZWxzLy5yZWxzUEsBAi0AFAAGAAgAAAAh&#10;AGDlWNGnAQAAlgMAAA4AAAAAAAAAAAAAAAAALgIAAGRycy9lMm9Eb2MueG1sUEsBAi0AFAAGAAgA&#10;AAAhAFP0fXDaAAAABgEAAA8AAAAAAAAAAAAAAAAAAQQAAGRycy9kb3ducmV2LnhtbFBLBQYAAAAA&#10;BAAEAPMAAAAIBQAAAAA=&#10;" strokecolor="black [3040]"/>
            </w:pict>
          </mc:Fallback>
        </mc:AlternateContent>
      </w:r>
    </w:p>
    <w:p w14:paraId="6DE4F43E" w14:textId="77777777" w:rsidR="00445A52" w:rsidRDefault="00445A52" w:rsidP="00445A52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/>
          <w:sz w:val="16"/>
        </w:rPr>
      </w:pPr>
    </w:p>
    <w:p w14:paraId="0AA4A18E" w14:textId="77777777" w:rsidR="00445A52" w:rsidRPr="00D221EB" w:rsidRDefault="00445A52" w:rsidP="00445A52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16"/>
          <w:szCs w:val="16"/>
        </w:rPr>
      </w:pPr>
    </w:p>
    <w:p w14:paraId="68D67536" w14:textId="77777777" w:rsidR="00A641DD" w:rsidRPr="00010544" w:rsidRDefault="00926CF8" w:rsidP="00FB406E">
      <w:pPr>
        <w:pStyle w:val="Normal0"/>
        <w:spacing w:before="240" w:after="480"/>
        <w:jc w:val="left"/>
        <w:rPr>
          <w:b/>
          <w:sz w:val="24"/>
        </w:rPr>
      </w:pPr>
      <w:r w:rsidRPr="00010544">
        <w:rPr>
          <w:b/>
          <w:sz w:val="24"/>
        </w:rPr>
        <w:t xml:space="preserve">ORDEN FORAL </w:t>
      </w:r>
    </w:p>
    <w:p w14:paraId="065B9467" w14:textId="77777777" w:rsidR="00933770" w:rsidRPr="00010544" w:rsidRDefault="00926CF8" w:rsidP="00FB406E">
      <w:pPr>
        <w:pStyle w:val="Normal0"/>
        <w:spacing w:after="480"/>
        <w:jc w:val="left"/>
      </w:pPr>
      <w:r w:rsidRPr="00010544">
        <w:rPr>
          <w:b/>
        </w:rPr>
        <w:t>Departamento:</w:t>
      </w:r>
      <w:r w:rsidRPr="00010544">
        <w:t xml:space="preserve"> Secretaría Técnica del Departamento de Medio Ambiente y Urbanismo</w:t>
      </w:r>
      <w:r w:rsidRPr="00010544">
        <w:br/>
      </w:r>
      <w:r w:rsidRPr="00010544">
        <w:rPr>
          <w:b/>
        </w:rPr>
        <w:t>Nº Expte.:</w:t>
      </w:r>
      <w:r w:rsidRPr="00010544">
        <w:t xml:space="preserve"> INFOPU 2020/</w:t>
      </w:r>
      <w:r>
        <w:t>50</w:t>
      </w:r>
      <w:r w:rsidRPr="00010544">
        <w:t xml:space="preserve"> </w:t>
      </w:r>
    </w:p>
    <w:p w14:paraId="0258E998" w14:textId="46BE31C2" w:rsidR="00805328" w:rsidRPr="00010544" w:rsidRDefault="00926CF8" w:rsidP="00805328">
      <w:pPr>
        <w:pStyle w:val="Normal0"/>
        <w:rPr>
          <w:b/>
        </w:rPr>
      </w:pPr>
      <w:r>
        <w:rPr>
          <w:b/>
        </w:rPr>
        <w:t>Inadmiti</w:t>
      </w:r>
      <w:r w:rsidRPr="00010544">
        <w:rPr>
          <w:b/>
        </w:rPr>
        <w:t>r la solicitud de acceso a información pública correspondiente al expediente INFOPU 2020/</w:t>
      </w:r>
      <w:r>
        <w:rPr>
          <w:b/>
        </w:rPr>
        <w:t>50</w:t>
      </w:r>
      <w:r w:rsidRPr="00010544">
        <w:rPr>
          <w:b/>
        </w:rPr>
        <w:t xml:space="preserve"> incoado a instancias </w:t>
      </w:r>
      <w:proofErr w:type="gramStart"/>
      <w:r>
        <w:rPr>
          <w:b/>
        </w:rPr>
        <w:t xml:space="preserve">de </w:t>
      </w:r>
      <w:r w:rsidR="00FF6F93">
        <w:rPr>
          <w:b/>
        </w:rPr>
        <w:t xml:space="preserve"> </w:t>
      </w:r>
      <w:proofErr w:type="spellStart"/>
      <w:r w:rsidR="00FF6F93" w:rsidRPr="000C1CA3">
        <w:rPr>
          <w:highlight w:val="black"/>
        </w:rPr>
        <w:t>xxxxx</w:t>
      </w:r>
      <w:proofErr w:type="spellEnd"/>
      <w:proofErr w:type="gramEnd"/>
      <w:r w:rsidR="00FF6F93">
        <w:rPr>
          <w:b/>
        </w:rPr>
        <w:t xml:space="preserve"> </w:t>
      </w:r>
      <w:r>
        <w:rPr>
          <w:b/>
        </w:rPr>
        <w:t xml:space="preserve">sobre </w:t>
      </w:r>
      <w:r w:rsidRPr="00976F47">
        <w:rPr>
          <w:b/>
        </w:rPr>
        <w:t>informe técnico jurídico referido a la complejidad del proceso de adaptación del Consorcio de Aguas de la Rioja Alavesa</w:t>
      </w:r>
      <w:r>
        <w:rPr>
          <w:b/>
        </w:rPr>
        <w:t xml:space="preserve">. </w:t>
      </w:r>
    </w:p>
    <w:p w14:paraId="28062C36" w14:textId="77777777" w:rsidR="00A0679E" w:rsidRPr="00010544" w:rsidRDefault="00926CF8" w:rsidP="00A0679E">
      <w:pPr>
        <w:pStyle w:val="Normal0"/>
        <w:jc w:val="center"/>
        <w:rPr>
          <w:b/>
        </w:rPr>
      </w:pPr>
      <w:r w:rsidRPr="00010544">
        <w:rPr>
          <w:b/>
        </w:rPr>
        <w:t xml:space="preserve">ANTECEDENTES DE HECHO </w:t>
      </w:r>
    </w:p>
    <w:p w14:paraId="0FDACBBE" w14:textId="49C1FE33" w:rsidR="00414712" w:rsidRDefault="00926CF8" w:rsidP="00414712">
      <w:pPr>
        <w:pStyle w:val="Normal0"/>
      </w:pPr>
      <w:bookmarkStart w:id="1" w:name="_Hlk56757875"/>
      <w:r w:rsidRPr="00ED50EE">
        <w:rPr>
          <w:b/>
          <w:bCs/>
        </w:rPr>
        <w:t>Primero.</w:t>
      </w:r>
      <w:r>
        <w:t xml:space="preserve"> </w:t>
      </w:r>
      <w:r w:rsidRPr="00010544">
        <w:t xml:space="preserve">Con fecha </w:t>
      </w:r>
      <w:r>
        <w:t xml:space="preserve">19 de octubre de 2020, tuvo entrada en el Registro de la Diputación Foral de Álava un escrito de </w:t>
      </w:r>
      <w:r w:rsidRPr="00414712">
        <w:t>solicitud de acceso a información pública</w:t>
      </w:r>
      <w:r>
        <w:t xml:space="preserve"> (con núm. de Registro de Entrada 202090000043866) instada por</w:t>
      </w:r>
      <w:r w:rsidR="00FF6F93">
        <w:t xml:space="preserve"> </w:t>
      </w:r>
      <w:proofErr w:type="spellStart"/>
      <w:r w:rsidR="00FF6F93" w:rsidRPr="000C1CA3">
        <w:rPr>
          <w:highlight w:val="black"/>
        </w:rPr>
        <w:t>xxxxx</w:t>
      </w:r>
      <w:proofErr w:type="spellEnd"/>
      <w:r>
        <w:t>, con DNI</w:t>
      </w:r>
      <w:r w:rsidR="00FF6F93">
        <w:rPr>
          <w:spacing w:val="-5"/>
        </w:rPr>
        <w:t xml:space="preserve"> </w:t>
      </w:r>
      <w:proofErr w:type="spellStart"/>
      <w:proofErr w:type="gramStart"/>
      <w:r w:rsidR="00FF6F93" w:rsidRPr="000C1CA3">
        <w:rPr>
          <w:highlight w:val="black"/>
        </w:rPr>
        <w:t>xxxxx</w:t>
      </w:r>
      <w:proofErr w:type="spellEnd"/>
      <w:r>
        <w:t xml:space="preserve"> </w:t>
      </w:r>
      <w:r w:rsidRPr="00414712">
        <w:t xml:space="preserve"> </w:t>
      </w:r>
      <w:r>
        <w:t>(</w:t>
      </w:r>
      <w:proofErr w:type="gramEnd"/>
      <w:r>
        <w:t xml:space="preserve">en adelante, interesado) solicitando “conocer los aspectos de viabilidad técnico-jurídica del proceso de adaptación iniciado por el Consorcio de aguas de la Rioja Alavesa que está en trámite”. </w:t>
      </w:r>
    </w:p>
    <w:p w14:paraId="57C70460" w14:textId="77777777" w:rsidR="00414712" w:rsidRDefault="00926CF8" w:rsidP="00414712">
      <w:pPr>
        <w:pStyle w:val="Normal0"/>
      </w:pPr>
      <w:r w:rsidRPr="00ED50EE">
        <w:rPr>
          <w:b/>
          <w:bCs/>
        </w:rPr>
        <w:t>Segundo.</w:t>
      </w:r>
      <w:r w:rsidRPr="00010544">
        <w:t xml:space="preserve"> Concretamente, </w:t>
      </w:r>
      <w:r>
        <w:t>el interesado</w:t>
      </w:r>
      <w:r w:rsidRPr="00010544">
        <w:t xml:space="preserve"> solicita </w:t>
      </w:r>
      <w:r>
        <w:t>copia en soporte digital del informe técnico jurídico referido a</w:t>
      </w:r>
      <w:r w:rsidRPr="00B91FAC">
        <w:t xml:space="preserve"> la complejidad del proceso de adaptación del Consorcio de Aguas de la Rioja Alavesa</w:t>
      </w:r>
      <w:r>
        <w:t>,</w:t>
      </w:r>
      <w:r w:rsidRPr="00B91FAC">
        <w:t xml:space="preserve"> </w:t>
      </w:r>
      <w:r>
        <w:t xml:space="preserve">al que aludió </w:t>
      </w:r>
      <w:r w:rsidRPr="00414712">
        <w:t xml:space="preserve">la Directora de Medio Ambiente </w:t>
      </w:r>
      <w:r>
        <w:t>en la comparecencia realizada en la sesión de control de</w:t>
      </w:r>
      <w:r w:rsidRPr="00B91FAC">
        <w:t xml:space="preserve"> las Juntas Generales de Álava de fecha 31 de enero de 2019</w:t>
      </w:r>
      <w:r>
        <w:t>,</w:t>
      </w:r>
      <w:r w:rsidRPr="00B91FAC">
        <w:t xml:space="preserve"> </w:t>
      </w:r>
      <w:r>
        <w:t xml:space="preserve">con número de expediente 10/C/14/0003416. </w:t>
      </w:r>
    </w:p>
    <w:p w14:paraId="08FFB43D" w14:textId="77777777" w:rsidR="00995C14" w:rsidRDefault="00926CF8" w:rsidP="00625DCD">
      <w:pPr>
        <w:pStyle w:val="Normal0"/>
      </w:pPr>
      <w:r w:rsidRPr="00ED50EE">
        <w:rPr>
          <w:b/>
          <w:bCs/>
        </w:rPr>
        <w:t>Tercero.</w:t>
      </w:r>
      <w:r>
        <w:t xml:space="preserve"> </w:t>
      </w:r>
      <w:r w:rsidRPr="00010544">
        <w:t>Trasladada dicha solicitud al Departamento de Medio Ambiente y Urbanismo de esta Diputación Foral de Álava, desde su Servicio de Secretaría Técnica se da traslado de la misma a</w:t>
      </w:r>
      <w:r>
        <w:t xml:space="preserve"> </w:t>
      </w:r>
      <w:r w:rsidRPr="00010544">
        <w:t>l</w:t>
      </w:r>
      <w:r>
        <w:t>a</w:t>
      </w:r>
      <w:r w:rsidRPr="00010544">
        <w:t xml:space="preserve"> </w:t>
      </w:r>
      <w:r>
        <w:t>Dirección del Departamento</w:t>
      </w:r>
      <w:r w:rsidRPr="00010544">
        <w:t xml:space="preserve">, al objeto de determinar </w:t>
      </w:r>
      <w:r>
        <w:t xml:space="preserve">la documentación e información </w:t>
      </w:r>
      <w:r w:rsidRPr="00010544">
        <w:t xml:space="preserve">existente </w:t>
      </w:r>
      <w:r>
        <w:t xml:space="preserve">en relación con el objeto de la solicitud instada </w:t>
      </w:r>
      <w:r w:rsidRPr="00010544">
        <w:t xml:space="preserve">y, en su caso, facilitar </w:t>
      </w:r>
      <w:r>
        <w:t>su</w:t>
      </w:r>
      <w:r w:rsidRPr="00010544">
        <w:t xml:space="preserve"> acceso a la misma</w:t>
      </w:r>
      <w:r>
        <w:t xml:space="preserve">; informándose que el informe solicitado no ha sido elaborado y, por tanto, no obra en poder de DFA. </w:t>
      </w:r>
    </w:p>
    <w:bookmarkEnd w:id="1"/>
    <w:p w14:paraId="54B24813" w14:textId="77777777" w:rsidR="00A0679E" w:rsidRPr="00010544" w:rsidRDefault="00926CF8" w:rsidP="00A0679E">
      <w:pPr>
        <w:pStyle w:val="Normal0"/>
        <w:jc w:val="center"/>
        <w:rPr>
          <w:b/>
        </w:rPr>
      </w:pPr>
      <w:r w:rsidRPr="00010544">
        <w:rPr>
          <w:b/>
        </w:rPr>
        <w:t xml:space="preserve">FUNDAMENTOS DE DERECHO </w:t>
      </w:r>
    </w:p>
    <w:p w14:paraId="5683D86B" w14:textId="77777777" w:rsidR="00D7583B" w:rsidRDefault="00926CF8" w:rsidP="00D7583B">
      <w:pPr>
        <w:pStyle w:val="Normal0"/>
      </w:pPr>
      <w:bookmarkStart w:id="2" w:name="_Hlk56757930"/>
      <w:r w:rsidRPr="00ED50EE">
        <w:rPr>
          <w:b/>
          <w:bCs/>
        </w:rPr>
        <w:t>PRIMERO.–</w:t>
      </w:r>
      <w:r w:rsidRPr="00010544">
        <w:t xml:space="preserve"> Es competente para la tramitación de la citada solicitud de acceso a información pública el Servicio de Secretaría Técnica de Medio Ambiente y Urbanismo, en virtud de lo dispuesto en los artículos 32.3 y 37 de la Norma Foral 1/2017, de 8 febrero, de transparencia, participación ciudadana y buen gobierno del sector público del Territorio Histórico de Álava (BOTHA n. 21 de 20/02/2017, pág. 588), puestos en relación con lo dispuesto en el artículo 9 l) del Decreto Foral 17/2016, del Consejo de Diputados de 9 de febrero, que aprueba la estructura orgánica y funcional del Departamento de Medio Ambiente y Urbanismo (BOTHA n. 25 de 2/03/2016, pág. 590). Asimismo, y en virtud de lo dispuesto en el artículo 35 de la Norma Foral 1/2017, de 8 febrero, de transparencia, participación ciudadana y buen gobierno del sector público del Territorio Histórico de </w:t>
      </w:r>
      <w:r w:rsidRPr="00010544">
        <w:lastRenderedPageBreak/>
        <w:t xml:space="preserve">Álava (en adelante, NF 1/2017), puesto en relación con los citados artículos 32.3 y 37 de la misma, y demás concordantes y de aplicación, la competencia para dictar las resoluciones finalizadoras en los procedimientos de acceso a información pública corresponde al Diputado Foral del Departamento de Medio Ambiente y Urbanismo de la DFA. </w:t>
      </w:r>
    </w:p>
    <w:p w14:paraId="1B1260B5" w14:textId="77777777" w:rsidR="00C7698D" w:rsidRPr="009A7DC6" w:rsidRDefault="00926CF8" w:rsidP="00C7698D">
      <w:pPr>
        <w:pStyle w:val="Normal0"/>
      </w:pPr>
      <w:r w:rsidRPr="00ED50EE">
        <w:rPr>
          <w:b/>
          <w:bCs/>
        </w:rPr>
        <w:t>SEGUNDO.–</w:t>
      </w:r>
      <w:r>
        <w:t xml:space="preserve"> El artículo 13 de la </w:t>
      </w:r>
      <w:r w:rsidRPr="00C7698D">
        <w:t>Ley 19/2013, de 9 de diciembre, de transparencia, acceso a la información pública y buen gobierno</w:t>
      </w:r>
      <w:r>
        <w:t xml:space="preserve"> (“Información pública”) establece que “se entiende por información pública los contenidos o documentos, cualquiera que sea su formato o soporte</w:t>
      </w:r>
      <w:r w:rsidRPr="009A7DC6">
        <w:t xml:space="preserve">, </w:t>
      </w:r>
      <w:r w:rsidRPr="009A7DC6">
        <w:rPr>
          <w:u w:val="single"/>
        </w:rPr>
        <w:t>que obren en poder de alguno de los sujetos incluidos en el ámbito de aplicación [del Título “Transparencia de la actividad pública”] y que hayan sido elaborados o adquiridos en el ejercicio de sus funciones</w:t>
      </w:r>
      <w:r w:rsidRPr="009A7DC6">
        <w:t xml:space="preserve">”. </w:t>
      </w:r>
    </w:p>
    <w:p w14:paraId="2B14BF72" w14:textId="77777777" w:rsidR="003032C3" w:rsidRPr="00010544" w:rsidRDefault="00926CF8" w:rsidP="007C01A7">
      <w:pPr>
        <w:pStyle w:val="Normal0"/>
      </w:pPr>
      <w:r>
        <w:t xml:space="preserve">En consecuencia, teniendo en cuenta que la información solicitada no ha sido elaborada por DFA y, por tanto, no obra en poder de DFA, procede </w:t>
      </w:r>
      <w:r w:rsidRPr="007C01A7">
        <w:rPr>
          <w:b/>
          <w:bCs/>
        </w:rPr>
        <w:t>inadmitir</w:t>
      </w:r>
      <w:r w:rsidRPr="00A65E4A">
        <w:rPr>
          <w:b/>
        </w:rPr>
        <w:t xml:space="preserve"> </w:t>
      </w:r>
      <w:r w:rsidRPr="00010544">
        <w:t xml:space="preserve">el acceso a la información pública </w:t>
      </w:r>
      <w:r>
        <w:t>solicitada</w:t>
      </w:r>
      <w:r w:rsidRPr="00010544">
        <w:t xml:space="preserve">, </w:t>
      </w:r>
      <w:r>
        <w:t xml:space="preserve">por cuanto si la información solicitada no existe, no estamos en presencia de una “información pública”, tal y como queda definida en el artículo 13 </w:t>
      </w:r>
      <w:r w:rsidRPr="00ED50EE">
        <w:t>de la Ley 19/2013, de 9 de diciembre, de transparencia, acceso a la información pública y buen gobierno</w:t>
      </w:r>
      <w:r>
        <w:t xml:space="preserve">. </w:t>
      </w:r>
    </w:p>
    <w:p w14:paraId="56013B06" w14:textId="77777777" w:rsidR="0009710F" w:rsidRPr="00010544" w:rsidRDefault="00926CF8" w:rsidP="0009710F">
      <w:pPr>
        <w:pStyle w:val="Normal0"/>
      </w:pPr>
      <w:bookmarkStart w:id="3" w:name="_Hlk56757963"/>
      <w:bookmarkEnd w:id="2"/>
      <w:r w:rsidRPr="00010544">
        <w:t xml:space="preserve">Por cuanto antecede, visto el expediente, de conformidad con los preceptos legales citados y demás de general y pertinente aplicación, </w:t>
      </w:r>
      <w:r>
        <w:t xml:space="preserve">y </w:t>
      </w:r>
      <w:r w:rsidRPr="00010544">
        <w:t xml:space="preserve">en el ejercicio de las facultades que me competen y de la competencia que tengo atribuida, </w:t>
      </w:r>
    </w:p>
    <w:bookmarkEnd w:id="3"/>
    <w:p w14:paraId="08424161" w14:textId="77777777" w:rsidR="00933770" w:rsidRPr="002B2EFF" w:rsidRDefault="00926CF8" w:rsidP="0009710F">
      <w:pPr>
        <w:pStyle w:val="Normal0"/>
        <w:jc w:val="center"/>
        <w:rPr>
          <w:b/>
        </w:rPr>
      </w:pPr>
      <w:r w:rsidRPr="00010544">
        <w:rPr>
          <w:b/>
        </w:rPr>
        <w:t>DISPONGO</w:t>
      </w:r>
      <w:r w:rsidRPr="002B2EFF">
        <w:rPr>
          <w:b/>
        </w:rPr>
        <w:t xml:space="preserve"> </w:t>
      </w:r>
    </w:p>
    <w:p w14:paraId="70D2E4CD" w14:textId="06040403" w:rsidR="00997201" w:rsidRDefault="00926CF8" w:rsidP="0009710F">
      <w:pPr>
        <w:pStyle w:val="Normal0"/>
        <w:spacing w:before="240" w:after="0"/>
      </w:pPr>
      <w:r w:rsidRPr="00ED50EE">
        <w:rPr>
          <w:b/>
          <w:bCs/>
        </w:rPr>
        <w:t>Único.</w:t>
      </w:r>
      <w:r>
        <w:t xml:space="preserve"> </w:t>
      </w:r>
      <w:bookmarkStart w:id="4" w:name="_Hlk56757987"/>
      <w:r w:rsidRPr="00ED50EE">
        <w:t xml:space="preserve">Inadmitir la solicitud de acceso a información pública correspondiente al expediente INFOPU 2020/50 incoado a instancias de </w:t>
      </w:r>
      <w:proofErr w:type="spellStart"/>
      <w:r w:rsidR="00FF6F93" w:rsidRPr="000C1CA3">
        <w:rPr>
          <w:highlight w:val="black"/>
        </w:rPr>
        <w:t>xxxxx</w:t>
      </w:r>
      <w:proofErr w:type="spellEnd"/>
      <w:r w:rsidR="00FF6F93" w:rsidRPr="00ED50EE">
        <w:t xml:space="preserve"> </w:t>
      </w:r>
      <w:r w:rsidRPr="00ED50EE">
        <w:t>sobre informe técnico jurídico referido a la complejidad del proceso de adaptación del Consorcio de Aguas de la Rioja Alavesa</w:t>
      </w:r>
      <w:r>
        <w:t xml:space="preserve">. </w:t>
      </w:r>
    </w:p>
    <w:p w14:paraId="65A08003" w14:textId="77777777" w:rsidR="00D442E3" w:rsidRDefault="00926CF8" w:rsidP="0087019C">
      <w:pPr>
        <w:pStyle w:val="Normal0"/>
        <w:spacing w:before="240" w:after="0"/>
      </w:pPr>
      <w:r w:rsidRPr="00D442E3">
        <w:t>Contra la presente resolución, que pone fin a la vía administrativa, podrá interponerse recurso con</w:t>
      </w:r>
      <w:r>
        <w:t xml:space="preserve">tencioso-administrativo </w:t>
      </w:r>
      <w:r w:rsidRPr="00D442E3">
        <w:t>ante los Juzgados de lo Contencioso-Administrativo de Vitoria-Gasteiz en el plazo de dos meses</w:t>
      </w:r>
      <w:r>
        <w:t xml:space="preserve">, de conformidad con lo dispuesto en la </w:t>
      </w:r>
      <w:r w:rsidRPr="00D442E3">
        <w:t>Ley 29/1998, de 13 de julio, reguladora de la jurisdic</w:t>
      </w:r>
      <w:r>
        <w:t xml:space="preserve">ción contencioso-administrativa; </w:t>
      </w:r>
      <w:r w:rsidRPr="00D442E3">
        <w:t>o</w:t>
      </w:r>
      <w:r>
        <w:t xml:space="preserve"> bien</w:t>
      </w:r>
      <w:r w:rsidRPr="00D442E3">
        <w:t xml:space="preserve">, previa y potestativamente, </w:t>
      </w:r>
      <w:r>
        <w:t xml:space="preserve">podrá interponerse </w:t>
      </w:r>
      <w:r w:rsidRPr="00D442E3">
        <w:t>reclamación ante el Consejo Foral de Tran</w:t>
      </w:r>
      <w:r>
        <w:t xml:space="preserve">sparencia en el plazo de un mes. </w:t>
      </w:r>
    </w:p>
    <w:bookmarkEnd w:id="4"/>
    <w:p w14:paraId="595BD086" w14:textId="77777777" w:rsidR="00F13B19" w:rsidRDefault="00926CF8" w:rsidP="00ED7CEB">
      <w:pPr>
        <w:pStyle w:val="Normal0"/>
        <w:spacing w:before="240" w:after="0"/>
      </w:pPr>
      <w:r>
        <w:t xml:space="preserve">Vitoria-Gasteiz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614552" w14:paraId="438D4C8D" w14:textId="77777777" w:rsidTr="00ED50EE">
        <w:trPr>
          <w:trHeight w:val="1291"/>
          <w:jc w:val="center"/>
        </w:trPr>
        <w:tc>
          <w:tcPr>
            <w:tcW w:w="4605" w:type="dxa"/>
          </w:tcPr>
          <w:p w14:paraId="325B91ED" w14:textId="77777777" w:rsidR="00D84262" w:rsidRDefault="0038209F">
            <w:pPr>
              <w:pStyle w:val="Normal0"/>
              <w:spacing w:after="120"/>
              <w:rPr>
                <w:rFonts w:cs="Times New Roman"/>
                <w:bCs/>
                <w:szCs w:val="24"/>
              </w:rPr>
            </w:pPr>
          </w:p>
          <w:p w14:paraId="7DFA047D" w14:textId="77777777" w:rsidR="00D84262" w:rsidRDefault="0038209F">
            <w:pPr>
              <w:pStyle w:val="Normal0"/>
              <w:spacing w:after="120"/>
              <w:rPr>
                <w:rFonts w:cs="Times New Roman"/>
                <w:bCs/>
                <w:szCs w:val="24"/>
              </w:rPr>
            </w:pPr>
          </w:p>
          <w:p w14:paraId="7B8B35FA" w14:textId="77777777" w:rsidR="00D84262" w:rsidRDefault="0038209F">
            <w:pPr>
              <w:pStyle w:val="Normal0"/>
              <w:spacing w:after="120"/>
              <w:rPr>
                <w:rFonts w:cs="Times New Roman"/>
                <w:bCs/>
                <w:szCs w:val="24"/>
              </w:rPr>
            </w:pPr>
          </w:p>
          <w:p w14:paraId="26A2C0B7" w14:textId="77777777" w:rsidR="00D84262" w:rsidRDefault="0038209F">
            <w:pPr>
              <w:pStyle w:val="Normal0"/>
              <w:spacing w:after="120"/>
              <w:rPr>
                <w:rFonts w:cs="Times New Roman"/>
                <w:bCs/>
                <w:szCs w:val="24"/>
              </w:rPr>
            </w:pPr>
          </w:p>
          <w:p w14:paraId="4CC800ED" w14:textId="77777777" w:rsidR="00D84262" w:rsidRDefault="00926CF8" w:rsidP="00ED50EE">
            <w:pPr>
              <w:pStyle w:val="Normal0"/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Josean Galera Carrillo</w:t>
            </w:r>
          </w:p>
          <w:p w14:paraId="2FD852C6" w14:textId="77777777" w:rsidR="00D84262" w:rsidRDefault="00926CF8" w:rsidP="00ED50EE">
            <w:pPr>
              <w:pStyle w:val="Normal0"/>
              <w:spacing w:after="12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Ingurumen eta Hirigintza Foru Diputatua</w:t>
            </w:r>
            <w:r>
              <w:rPr>
                <w:rFonts w:cs="Times New Roman"/>
                <w:bCs/>
                <w:szCs w:val="24"/>
              </w:rPr>
              <w:br/>
              <w:t>Diputado Foral de Medio Ambiente y Urbanismo</w:t>
            </w:r>
          </w:p>
        </w:tc>
        <w:tc>
          <w:tcPr>
            <w:tcW w:w="4605" w:type="dxa"/>
          </w:tcPr>
          <w:p w14:paraId="18EC4522" w14:textId="77777777" w:rsidR="00D84262" w:rsidRDefault="0038209F">
            <w:pPr>
              <w:pStyle w:val="Normal0"/>
              <w:spacing w:after="120"/>
              <w:rPr>
                <w:rFonts w:cs="Times New Roman"/>
                <w:bCs/>
                <w:szCs w:val="24"/>
              </w:rPr>
            </w:pPr>
          </w:p>
          <w:p w14:paraId="3B24DC9A" w14:textId="77777777" w:rsidR="00D84262" w:rsidRDefault="0038209F">
            <w:pPr>
              <w:pStyle w:val="Normal0"/>
              <w:spacing w:after="120"/>
              <w:rPr>
                <w:rFonts w:cs="Times New Roman"/>
                <w:bCs/>
                <w:szCs w:val="24"/>
              </w:rPr>
            </w:pPr>
          </w:p>
          <w:p w14:paraId="102FE314" w14:textId="77777777" w:rsidR="00D84262" w:rsidRDefault="0038209F">
            <w:pPr>
              <w:pStyle w:val="Normal0"/>
              <w:spacing w:after="120"/>
              <w:rPr>
                <w:rFonts w:cs="Times New Roman"/>
                <w:bCs/>
                <w:szCs w:val="24"/>
              </w:rPr>
            </w:pPr>
          </w:p>
          <w:p w14:paraId="182735A8" w14:textId="77777777" w:rsidR="00D84262" w:rsidRDefault="0038209F">
            <w:pPr>
              <w:pStyle w:val="Normal0"/>
              <w:spacing w:after="120"/>
              <w:rPr>
                <w:rFonts w:cs="Times New Roman"/>
                <w:bCs/>
                <w:szCs w:val="24"/>
              </w:rPr>
            </w:pPr>
          </w:p>
          <w:p w14:paraId="33423B22" w14:textId="77777777" w:rsidR="00D84262" w:rsidRDefault="00926CF8" w:rsidP="00ED50EE">
            <w:pPr>
              <w:pStyle w:val="Normal0"/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María Natividad López de Munain Alzola</w:t>
            </w:r>
          </w:p>
          <w:p w14:paraId="0EE35DAC" w14:textId="77777777" w:rsidR="00D84262" w:rsidRDefault="00926CF8" w:rsidP="00ED50EE">
            <w:pPr>
              <w:pStyle w:val="Normal0"/>
              <w:spacing w:after="12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Ingurumen eta Hirigintza Zuzendaria</w:t>
            </w:r>
            <w:r>
              <w:rPr>
                <w:rFonts w:cs="Times New Roman"/>
                <w:bCs/>
                <w:szCs w:val="24"/>
              </w:rPr>
              <w:br/>
              <w:t>Directora de Medio Ambiente y Urbanismo</w:t>
            </w:r>
          </w:p>
        </w:tc>
      </w:tr>
      <w:bookmarkEnd w:id="0"/>
    </w:tbl>
    <w:p w14:paraId="1EBE987D" w14:textId="77777777" w:rsidR="00663BA9" w:rsidRDefault="0038209F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0ECB008" w14:textId="77777777" w:rsidR="00663BA9" w:rsidRDefault="0038209F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329D45B" w14:textId="77777777" w:rsidR="00663BA9" w:rsidRDefault="0038209F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6C4A2C4" w14:textId="77777777" w:rsidR="00663BA9" w:rsidRDefault="0038209F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0A50EC5" w14:textId="77777777" w:rsidR="00663BA9" w:rsidRDefault="0038209F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734860A" w14:textId="77777777" w:rsidR="00663BA9" w:rsidRDefault="0038209F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5070BBE" w14:textId="77777777" w:rsidR="00663BA9" w:rsidRPr="00663BA9" w:rsidRDefault="0038209F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A5A5742" w14:textId="77777777" w:rsidR="00E47DB3" w:rsidRPr="00663BA9" w:rsidRDefault="0038209F" w:rsidP="00663BA9">
      <w:pPr>
        <w:pStyle w:val="Textoindependiente"/>
        <w:spacing w:after="0"/>
        <w:rPr>
          <w:rFonts w:cs="Arial"/>
          <w:color w:val="4F81BD" w:themeColor="accent1"/>
          <w:sz w:val="16"/>
          <w:szCs w:val="16"/>
          <w:u w:val="single"/>
        </w:rPr>
      </w:pPr>
    </w:p>
    <w:sectPr w:rsidR="00E47DB3" w:rsidRPr="00663BA9" w:rsidSect="00E53B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567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DBF0" w14:textId="77777777" w:rsidR="00926CF8" w:rsidRDefault="00926CF8">
      <w:r>
        <w:separator/>
      </w:r>
    </w:p>
  </w:endnote>
  <w:endnote w:type="continuationSeparator" w:id="0">
    <w:p w14:paraId="00CE03D7" w14:textId="77777777" w:rsidR="00926CF8" w:rsidRDefault="0092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808080" w:themeColor="background1" w:themeShade="8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781"/>
    </w:tblGrid>
    <w:tr w:rsidR="00614552" w14:paraId="2FDA3657" w14:textId="77777777" w:rsidTr="00E47DB3">
      <w:trPr>
        <w:trHeight w:val="567"/>
      </w:trPr>
      <w:tc>
        <w:tcPr>
          <w:tcW w:w="9921" w:type="dxa"/>
        </w:tcPr>
        <w:p w14:paraId="42DCE8C2" w14:textId="77777777" w:rsidR="00007960" w:rsidRPr="00E47DB3" w:rsidRDefault="00926CF8" w:rsidP="00E47DB3">
          <w:pPr>
            <w:pStyle w:val="Piedepgina"/>
            <w:jc w:val="right"/>
            <w:rPr>
              <w:rFonts w:ascii="Arial" w:hAnsi="Arial" w:cs="Arial"/>
            </w:rPr>
          </w:pP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  <w:r w:rsidRPr="00E47DB3">
            <w:rPr>
              <w:rFonts w:ascii="Arial" w:hAnsi="Arial" w:cs="Arial"/>
              <w:color w:val="808080"/>
              <w:sz w:val="16"/>
            </w:rPr>
            <w:t xml:space="preserve"> / 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6163759B" w14:textId="77777777" w:rsidR="00007960" w:rsidRDefault="003820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B74F" w14:textId="77777777" w:rsidR="00BE3C89" w:rsidRPr="0013291F" w:rsidRDefault="00926CF8" w:rsidP="00BE3C89">
    <w:pPr>
      <w:pBdr>
        <w:bottom w:val="single" w:sz="4" w:space="1" w:color="auto"/>
      </w:pBdr>
      <w:spacing w:line="180" w:lineRule="exact"/>
      <w:rPr>
        <w:sz w:val="22"/>
      </w:rPr>
    </w:pPr>
    <w:r w:rsidRPr="0013291F">
      <w:rPr>
        <w:rFonts w:ascii="Arial" w:hAnsi="Arial"/>
        <w:noProof/>
        <w:color w:val="000000"/>
        <w:sz w:val="14"/>
      </w:rPr>
      <w:t>CORE02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118"/>
      <w:gridCol w:w="2268"/>
    </w:tblGrid>
    <w:tr w:rsidR="00445A52" w14:paraId="32BA6D34" w14:textId="77777777" w:rsidTr="008403A6">
      <w:trPr>
        <w:trHeight w:val="433"/>
      </w:trPr>
      <w:tc>
        <w:tcPr>
          <w:tcW w:w="4323" w:type="dxa"/>
        </w:tcPr>
        <w:p w14:paraId="29304C82" w14:textId="77777777" w:rsidR="00445A52" w:rsidRDefault="00445A52" w:rsidP="00445A52">
          <w:pPr>
            <w:spacing w:before="60" w:after="360"/>
            <w:rPr>
              <w:rFonts w:ascii="Arial" w:hAnsi="Arial"/>
              <w:sz w:val="16"/>
            </w:rPr>
          </w:pPr>
          <w:proofErr w:type="spellStart"/>
          <w:r>
            <w:rPr>
              <w:rFonts w:ascii="Arial" w:hAnsi="Arial"/>
              <w:sz w:val="16"/>
            </w:rPr>
            <w:t>Ingurumen</w:t>
          </w:r>
          <w:proofErr w:type="spellEnd"/>
          <w:r>
            <w:rPr>
              <w:rFonts w:ascii="Arial" w:hAnsi="Arial"/>
              <w:sz w:val="16"/>
            </w:rPr>
            <w:t xml:space="preserve"> eta </w:t>
          </w:r>
          <w:proofErr w:type="spellStart"/>
          <w:r>
            <w:rPr>
              <w:rFonts w:ascii="Arial" w:hAnsi="Arial"/>
              <w:sz w:val="16"/>
            </w:rPr>
            <w:t>Hirigintza</w:t>
          </w:r>
          <w:proofErr w:type="spellEnd"/>
          <w:r>
            <w:rPr>
              <w:rFonts w:ascii="Arial" w:hAnsi="Arial"/>
              <w:sz w:val="16"/>
            </w:rPr>
            <w:t xml:space="preserve"> Saila</w:t>
          </w:r>
        </w:p>
        <w:p w14:paraId="3CF3E5E7" w14:textId="77777777" w:rsidR="00445A52" w:rsidRDefault="00445A52" w:rsidP="00445A52">
          <w:pPr>
            <w:pStyle w:val="Textoindependiente"/>
            <w:spacing w:before="240" w:after="100" w:afterAutospacing="1" w:line="200" w:lineRule="exact"/>
            <w:jc w:val="left"/>
            <w:rPr>
              <w:sz w:val="16"/>
            </w:rPr>
          </w:pPr>
          <w:r>
            <w:rPr>
              <w:sz w:val="16"/>
            </w:rPr>
            <w:t>Departamento de Medio Ambiente y Urbanismo</w:t>
          </w:r>
        </w:p>
        <w:p w14:paraId="73C79E1D" w14:textId="77777777" w:rsidR="00445A52" w:rsidRPr="0013291F" w:rsidRDefault="00445A52" w:rsidP="00445A52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sz w:val="16"/>
              <w:szCs w:val="16"/>
            </w:rPr>
          </w:pPr>
        </w:p>
      </w:tc>
      <w:tc>
        <w:tcPr>
          <w:tcW w:w="3118" w:type="dxa"/>
        </w:tcPr>
        <w:p w14:paraId="4C09BE83" w14:textId="77777777" w:rsidR="00445A52" w:rsidRDefault="00445A52" w:rsidP="00445A52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proofErr w:type="spellStart"/>
          <w:r>
            <w:rPr>
              <w:sz w:val="16"/>
            </w:rPr>
            <w:t>Ingurumen</w:t>
          </w:r>
          <w:proofErr w:type="spellEnd"/>
          <w:r>
            <w:rPr>
              <w:sz w:val="16"/>
            </w:rPr>
            <w:t xml:space="preserve"> eta </w:t>
          </w:r>
          <w:proofErr w:type="spellStart"/>
          <w:r>
            <w:rPr>
              <w:sz w:val="16"/>
            </w:rPr>
            <w:t>Hirigintzako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idazkaritza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teknikoko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zerbitzua</w:t>
          </w:r>
          <w:proofErr w:type="spellEnd"/>
        </w:p>
        <w:p w14:paraId="2CDE8AB9" w14:textId="77777777" w:rsidR="00445A52" w:rsidRPr="0013291F" w:rsidRDefault="00445A52" w:rsidP="00445A52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DB506B">
            <w:rPr>
              <w:sz w:val="16"/>
            </w:rPr>
            <w:t>Secretaría Técnica de Medio Ambiente y Urbanismo</w:t>
          </w:r>
        </w:p>
      </w:tc>
      <w:tc>
        <w:tcPr>
          <w:tcW w:w="2268" w:type="dxa"/>
        </w:tcPr>
        <w:p w14:paraId="707C9A98" w14:textId="77777777" w:rsidR="00445A52" w:rsidRPr="0013291F" w:rsidRDefault="00445A52" w:rsidP="00445A52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Probintzia plaza, </w:t>
          </w:r>
        </w:p>
        <w:p w14:paraId="7743ACAE" w14:textId="77777777" w:rsidR="00445A52" w:rsidRPr="0013291F" w:rsidRDefault="00445A52" w:rsidP="00445A52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01001 Vitoria-Gasteiz</w:t>
          </w:r>
        </w:p>
        <w:p w14:paraId="7A448BF7" w14:textId="77777777" w:rsidR="00445A52" w:rsidRPr="0013291F" w:rsidRDefault="00445A52" w:rsidP="00445A52">
          <w:pPr>
            <w:pStyle w:val="Piedepgina"/>
            <w:spacing w:after="2" w:line="220" w:lineRule="exact"/>
            <w:ind w:left="40"/>
            <w:rPr>
              <w:rFonts w:ascii="Arial" w:hAnsi="Arial" w:cs="Arial"/>
              <w:sz w:val="22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Tel.: 945 18 18 18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br/>
            <w:t>Fax: 945 18 19 47</w:t>
          </w:r>
        </w:p>
      </w:tc>
    </w:tr>
  </w:tbl>
  <w:p w14:paraId="34FC4214" w14:textId="77777777" w:rsidR="00007960" w:rsidRPr="00BE3C89" w:rsidRDefault="0038209F" w:rsidP="00BE3C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53A5" w14:textId="77777777" w:rsidR="00926CF8" w:rsidRDefault="00926CF8">
      <w:r>
        <w:separator/>
      </w:r>
    </w:p>
  </w:footnote>
  <w:footnote w:type="continuationSeparator" w:id="0">
    <w:p w14:paraId="6C830B83" w14:textId="77777777" w:rsidR="00926CF8" w:rsidRDefault="00926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614552" w14:paraId="55B2BEB4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1A179948" w14:textId="77777777" w:rsidR="00007960" w:rsidRDefault="0038209F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16602405" w14:textId="77777777" w:rsidR="00007960" w:rsidRDefault="00926CF8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53BFB403" wp14:editId="7C69BCC4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01528486" w14:textId="77777777" w:rsidR="00007960" w:rsidRDefault="0038209F" w:rsidP="0078412B">
          <w:pPr>
            <w:pStyle w:val="Encabezado"/>
          </w:pPr>
        </w:p>
      </w:tc>
    </w:tr>
    <w:tr w:rsidR="00614552" w14:paraId="2365E72C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454AD7CF" w14:textId="77777777" w:rsidR="00007960" w:rsidRDefault="0038209F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6345EC06" w14:textId="77777777" w:rsidR="00007960" w:rsidRDefault="0038209F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0C7C9B7E" w14:textId="77777777" w:rsidR="00007960" w:rsidRDefault="0038209F" w:rsidP="0078412B">
          <w:pPr>
            <w:pStyle w:val="Encabezado"/>
          </w:pPr>
        </w:p>
      </w:tc>
    </w:tr>
  </w:tbl>
  <w:p w14:paraId="176257E2" w14:textId="77777777" w:rsidR="00007960" w:rsidRPr="0013766D" w:rsidRDefault="0038209F">
    <w:pPr>
      <w:pStyle w:val="Encabezado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614552" w14:paraId="57E94F54" w14:textId="77777777" w:rsidTr="001F2BE9">
      <w:trPr>
        <w:trHeight w:val="2041"/>
      </w:trPr>
      <w:tc>
        <w:tcPr>
          <w:tcW w:w="3969" w:type="dxa"/>
        </w:tcPr>
        <w:p w14:paraId="021EFEA9" w14:textId="77777777" w:rsidR="00007960" w:rsidRPr="007F2571" w:rsidRDefault="00926CF8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7F7B97B2" wp14:editId="43778877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7A1C52C9" w14:textId="77777777" w:rsidR="00007960" w:rsidRDefault="0038209F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14B8DD98" w14:textId="77777777" w:rsidR="00FF6F93" w:rsidRDefault="00FF6F93" w:rsidP="00FF6F93">
          <w:pPr>
            <w:autoSpaceDE w:val="0"/>
            <w:autoSpaceDN w:val="0"/>
            <w:adjustRightInd w:val="0"/>
            <w:rPr>
              <w:rFonts w:ascii="Arial-BoldMT" w:hAnsi="Arial-BoldMT" w:cs="Arial-BoldMT"/>
              <w:b/>
              <w:bCs/>
              <w:sz w:val="18"/>
              <w:szCs w:val="18"/>
              <w:lang w:val="es-ES"/>
            </w:rPr>
          </w:pPr>
        </w:p>
        <w:p w14:paraId="4CEEAC7A" w14:textId="43EDCC06" w:rsidR="00FF6F93" w:rsidRDefault="00FF6F93" w:rsidP="00FF6F93">
          <w:pPr>
            <w:autoSpaceDE w:val="0"/>
            <w:autoSpaceDN w:val="0"/>
            <w:adjustRightInd w:val="0"/>
            <w:rPr>
              <w:rFonts w:ascii="Arial-BoldMT" w:hAnsi="Arial-BoldMT" w:cs="Arial-BoldMT"/>
              <w:b/>
              <w:bCs/>
              <w:sz w:val="18"/>
              <w:szCs w:val="18"/>
              <w:lang w:val="es-ES"/>
            </w:rPr>
          </w:pPr>
          <w:proofErr w:type="spellStart"/>
          <w:r>
            <w:rPr>
              <w:rFonts w:ascii="Arial-BoldMT" w:hAnsi="Arial-BoldMT" w:cs="Arial-BoldMT"/>
              <w:b/>
              <w:bCs/>
              <w:sz w:val="18"/>
              <w:szCs w:val="18"/>
              <w:lang w:val="es-ES"/>
            </w:rPr>
            <w:t>Ingurumen</w:t>
          </w:r>
          <w:proofErr w:type="spellEnd"/>
          <w:r>
            <w:rPr>
              <w:rFonts w:ascii="Arial-BoldMT" w:hAnsi="Arial-BoldMT" w:cs="Arial-BoldMT"/>
              <w:b/>
              <w:bCs/>
              <w:sz w:val="18"/>
              <w:szCs w:val="18"/>
              <w:lang w:val="es-ES"/>
            </w:rPr>
            <w:t xml:space="preserve"> eta </w:t>
          </w:r>
          <w:proofErr w:type="spellStart"/>
          <w:r>
            <w:rPr>
              <w:rFonts w:ascii="Arial-BoldMT" w:hAnsi="Arial-BoldMT" w:cs="Arial-BoldMT"/>
              <w:b/>
              <w:bCs/>
              <w:sz w:val="18"/>
              <w:szCs w:val="18"/>
              <w:lang w:val="es-ES"/>
            </w:rPr>
            <w:t>Hirigintza</w:t>
          </w:r>
          <w:proofErr w:type="spellEnd"/>
          <w:r>
            <w:rPr>
              <w:rFonts w:ascii="Arial-BoldMT" w:hAnsi="Arial-BoldMT" w:cs="Arial-BoldMT"/>
              <w:b/>
              <w:bCs/>
              <w:sz w:val="18"/>
              <w:szCs w:val="18"/>
              <w:lang w:val="es-ES"/>
            </w:rPr>
            <w:t xml:space="preserve"> Saila</w:t>
          </w:r>
        </w:p>
        <w:p w14:paraId="7B5B9936" w14:textId="77777777" w:rsidR="00FF6F93" w:rsidRDefault="00FF6F93" w:rsidP="00FF6F93">
          <w:pPr>
            <w:autoSpaceDE w:val="0"/>
            <w:autoSpaceDN w:val="0"/>
            <w:adjustRightInd w:val="0"/>
            <w:rPr>
              <w:rFonts w:ascii="Arial-BoldMT" w:hAnsi="Arial-BoldMT" w:cs="Arial-BoldMT"/>
              <w:b/>
              <w:bCs/>
              <w:sz w:val="18"/>
              <w:szCs w:val="18"/>
              <w:lang w:val="es-ES"/>
            </w:rPr>
          </w:pPr>
          <w:r>
            <w:rPr>
              <w:rFonts w:ascii="Arial-BoldMT" w:hAnsi="Arial-BoldMT" w:cs="Arial-BoldMT"/>
              <w:b/>
              <w:bCs/>
              <w:sz w:val="18"/>
              <w:szCs w:val="18"/>
              <w:lang w:val="es-ES"/>
            </w:rPr>
            <w:t>Departamento de Medio Ambiente y</w:t>
          </w:r>
        </w:p>
        <w:p w14:paraId="0411A51B" w14:textId="77777777" w:rsidR="00FF6F93" w:rsidRDefault="00FF6F93" w:rsidP="00FF6F93">
          <w:pPr>
            <w:autoSpaceDE w:val="0"/>
            <w:autoSpaceDN w:val="0"/>
            <w:adjustRightInd w:val="0"/>
            <w:rPr>
              <w:rFonts w:ascii="Arial-BoldMT" w:hAnsi="Arial-BoldMT" w:cs="Arial-BoldMT"/>
              <w:b/>
              <w:bCs/>
              <w:sz w:val="18"/>
              <w:szCs w:val="18"/>
              <w:lang w:val="es-ES"/>
            </w:rPr>
          </w:pPr>
          <w:r>
            <w:rPr>
              <w:rFonts w:ascii="Arial-BoldMT" w:hAnsi="Arial-BoldMT" w:cs="Arial-BoldMT"/>
              <w:b/>
              <w:bCs/>
              <w:sz w:val="18"/>
              <w:szCs w:val="18"/>
              <w:lang w:val="es-ES"/>
            </w:rPr>
            <w:t>Urbanismo</w:t>
          </w:r>
        </w:p>
        <w:p w14:paraId="33F7B348" w14:textId="77777777" w:rsidR="00FF6F93" w:rsidRDefault="00FF6F93" w:rsidP="00FF6F93">
          <w:pPr>
            <w:autoSpaceDE w:val="0"/>
            <w:autoSpaceDN w:val="0"/>
            <w:adjustRightInd w:val="0"/>
            <w:rPr>
              <w:rFonts w:ascii="ArialMT" w:hAnsi="ArialMT" w:cs="ArialMT"/>
              <w:sz w:val="16"/>
              <w:szCs w:val="16"/>
              <w:lang w:val="es-ES"/>
            </w:rPr>
          </w:pPr>
          <w:proofErr w:type="spellStart"/>
          <w:r>
            <w:rPr>
              <w:rFonts w:ascii="ArialMT" w:hAnsi="ArialMT" w:cs="ArialMT"/>
              <w:sz w:val="16"/>
              <w:szCs w:val="16"/>
              <w:lang w:val="es-ES"/>
            </w:rPr>
            <w:t>Ingurumen</w:t>
          </w:r>
          <w:proofErr w:type="spellEnd"/>
          <w:r>
            <w:rPr>
              <w:rFonts w:ascii="ArialMT" w:hAnsi="ArialMT" w:cs="ArialMT"/>
              <w:sz w:val="16"/>
              <w:szCs w:val="16"/>
              <w:lang w:val="es-ES"/>
            </w:rPr>
            <w:t xml:space="preserve"> eta </w:t>
          </w:r>
          <w:proofErr w:type="spellStart"/>
          <w:r>
            <w:rPr>
              <w:rFonts w:ascii="ArialMT" w:hAnsi="ArialMT" w:cs="ArialMT"/>
              <w:sz w:val="16"/>
              <w:szCs w:val="16"/>
              <w:lang w:val="es-ES"/>
            </w:rPr>
            <w:t>Hirigintza</w:t>
          </w:r>
          <w:proofErr w:type="spellEnd"/>
        </w:p>
        <w:p w14:paraId="40A5AD05" w14:textId="77777777" w:rsidR="00FF6F93" w:rsidRDefault="00FF6F93" w:rsidP="00FF6F93">
          <w:pPr>
            <w:autoSpaceDE w:val="0"/>
            <w:autoSpaceDN w:val="0"/>
            <w:adjustRightInd w:val="0"/>
            <w:rPr>
              <w:rFonts w:ascii="ArialMT" w:hAnsi="ArialMT" w:cs="ArialMT"/>
              <w:sz w:val="16"/>
              <w:szCs w:val="16"/>
              <w:lang w:val="es-ES"/>
            </w:rPr>
          </w:pPr>
          <w:proofErr w:type="spellStart"/>
          <w:r>
            <w:rPr>
              <w:rFonts w:ascii="ArialMT" w:hAnsi="ArialMT" w:cs="ArialMT"/>
              <w:sz w:val="16"/>
              <w:szCs w:val="16"/>
              <w:lang w:val="es-ES"/>
            </w:rPr>
            <w:t>Zuzendaritza</w:t>
          </w:r>
          <w:proofErr w:type="spellEnd"/>
        </w:p>
        <w:p w14:paraId="2EEB66D1" w14:textId="77777777" w:rsidR="00FF6F93" w:rsidRDefault="00FF6F93" w:rsidP="00FF6F93">
          <w:pPr>
            <w:autoSpaceDE w:val="0"/>
            <w:autoSpaceDN w:val="0"/>
            <w:adjustRightInd w:val="0"/>
            <w:rPr>
              <w:rFonts w:ascii="ArialMT" w:hAnsi="ArialMT" w:cs="ArialMT"/>
              <w:sz w:val="16"/>
              <w:szCs w:val="16"/>
              <w:lang w:val="es-ES"/>
            </w:rPr>
          </w:pPr>
          <w:r>
            <w:rPr>
              <w:rFonts w:ascii="ArialMT" w:hAnsi="ArialMT" w:cs="ArialMT"/>
              <w:sz w:val="16"/>
              <w:szCs w:val="16"/>
              <w:lang w:val="es-ES"/>
            </w:rPr>
            <w:t>Dirección</w:t>
          </w:r>
        </w:p>
        <w:p w14:paraId="2BA0EE79" w14:textId="17D43D24" w:rsidR="00007960" w:rsidRPr="000B6392" w:rsidRDefault="00FF6F93" w:rsidP="00FF6F93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ArialMT" w:hAnsi="ArialMT" w:cs="ArialMT"/>
              <w:sz w:val="16"/>
              <w:szCs w:val="16"/>
              <w:lang w:val="es-ES"/>
            </w:rPr>
            <w:t>de Medio Ambiente y Urbanismo</w:t>
          </w:r>
        </w:p>
      </w:tc>
    </w:tr>
  </w:tbl>
  <w:p w14:paraId="2C952C46" w14:textId="77777777" w:rsidR="00007960" w:rsidRPr="0013766D" w:rsidRDefault="0038209F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52"/>
    <w:rsid w:val="00445A52"/>
    <w:rsid w:val="00614552"/>
    <w:rsid w:val="00926CF8"/>
    <w:rsid w:val="00FF6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D54F2D"/>
  <w15:docId w15:val="{037F7281-AF53-4501-9A93-1F243C52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Normal0">
    <w:name w:val="Normal_0"/>
    <w:qFormat/>
    <w:rsid w:val="002D38A9"/>
    <w:pPr>
      <w:spacing w:after="240"/>
      <w:jc w:val="both"/>
    </w:pPr>
    <w:rPr>
      <w:rFonts w:ascii="Times New Roman" w:hAnsi="Times New Roman" w:cs="Arial"/>
      <w:sz w:val="22"/>
      <w:lang w:val="es-ES_tradnl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C0922-0086-46FA-895A-E49DAAE1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1</TotalTime>
  <Pages>2</Pages>
  <Words>803</Words>
  <Characters>4358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Orobengoa San Vicente, Galder</cp:lastModifiedBy>
  <cp:revision>2</cp:revision>
  <cp:lastPrinted>2015-02-16T14:04:00Z</cp:lastPrinted>
  <dcterms:created xsi:type="dcterms:W3CDTF">2022-10-28T09:11:00Z</dcterms:created>
  <dcterms:modified xsi:type="dcterms:W3CDTF">2022-10-28T09:11:00Z</dcterms:modified>
</cp:coreProperties>
</file>