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39"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5103"/>
      </w:tblGrid>
      <w:tr w:rsidR="0053644F" w14:paraId="0F4DA047" w14:textId="77777777" w:rsidTr="00627FAF">
        <w:trPr>
          <w:trHeight w:val="168"/>
        </w:trPr>
        <w:tc>
          <w:tcPr>
            <w:tcW w:w="4253" w:type="dxa"/>
            <w:shd w:val="clear" w:color="auto" w:fill="auto"/>
            <w:vAlign w:val="bottom"/>
          </w:tcPr>
          <w:p w14:paraId="2175E22A" w14:textId="77777777" w:rsidR="00EE0139" w:rsidRPr="005D24EE" w:rsidRDefault="00444F0C" w:rsidP="005C6341">
            <w:pPr>
              <w:rPr>
                <w:rFonts w:ascii="Arial" w:hAnsi="Arial" w:cs="Arial"/>
                <w:b/>
                <w:color w:val="000000" w:themeColor="text1"/>
                <w:sz w:val="12"/>
                <w:szCs w:val="12"/>
              </w:rPr>
            </w:pPr>
          </w:p>
        </w:tc>
        <w:tc>
          <w:tcPr>
            <w:tcW w:w="283" w:type="dxa"/>
          </w:tcPr>
          <w:p w14:paraId="42722CF7" w14:textId="77777777" w:rsidR="00EE0139" w:rsidRPr="00DF0910" w:rsidRDefault="00444F0C" w:rsidP="005C6341">
            <w:pPr>
              <w:rPr>
                <w:rFonts w:ascii="Arial" w:hAnsi="Arial" w:cs="Arial"/>
                <w:color w:val="000000" w:themeColor="text1"/>
                <w:sz w:val="12"/>
                <w:szCs w:val="12"/>
              </w:rPr>
            </w:pPr>
          </w:p>
        </w:tc>
        <w:tc>
          <w:tcPr>
            <w:tcW w:w="5103" w:type="dxa"/>
            <w:vMerge w:val="restart"/>
            <w:shd w:val="clear" w:color="auto" w:fill="auto"/>
          </w:tcPr>
          <w:p w14:paraId="15BD03F6" w14:textId="0619BCE0" w:rsidR="00EE0139" w:rsidRPr="00D76AF9" w:rsidRDefault="00444F0C" w:rsidP="00FE3E62">
            <w:pPr>
              <w:spacing w:after="60"/>
              <w:rPr>
                <w:rFonts w:ascii="Arial" w:hAnsi="Arial" w:cs="Arial"/>
                <w:b/>
                <w:noProof/>
                <w:color w:val="000000"/>
                <w:sz w:val="16"/>
                <w:szCs w:val="16"/>
              </w:rPr>
            </w:pPr>
          </w:p>
        </w:tc>
      </w:tr>
      <w:tr w:rsidR="0053644F" w14:paraId="66CD45C5" w14:textId="77777777" w:rsidTr="00627FAF">
        <w:trPr>
          <w:trHeight w:val="168"/>
        </w:trPr>
        <w:tc>
          <w:tcPr>
            <w:tcW w:w="4253" w:type="dxa"/>
            <w:shd w:val="clear" w:color="auto" w:fill="auto"/>
            <w:vAlign w:val="bottom"/>
          </w:tcPr>
          <w:p w14:paraId="300A8834" w14:textId="77777777" w:rsidR="00FE3E62" w:rsidRPr="005D24EE" w:rsidRDefault="00444F0C" w:rsidP="005C6341">
            <w:pPr>
              <w:rPr>
                <w:rFonts w:ascii="Arial" w:hAnsi="Arial" w:cs="Arial"/>
                <w:b/>
                <w:color w:val="000000" w:themeColor="text1"/>
                <w:sz w:val="12"/>
                <w:szCs w:val="12"/>
              </w:rPr>
            </w:pPr>
          </w:p>
        </w:tc>
        <w:tc>
          <w:tcPr>
            <w:tcW w:w="283" w:type="dxa"/>
          </w:tcPr>
          <w:p w14:paraId="1F180683" w14:textId="77777777" w:rsidR="00FE3E62" w:rsidRPr="00DF0910" w:rsidRDefault="00444F0C" w:rsidP="005C6341">
            <w:pPr>
              <w:rPr>
                <w:rFonts w:ascii="Arial" w:hAnsi="Arial" w:cs="Arial"/>
                <w:color w:val="000000" w:themeColor="text1"/>
                <w:sz w:val="12"/>
                <w:szCs w:val="12"/>
              </w:rPr>
            </w:pPr>
          </w:p>
        </w:tc>
        <w:tc>
          <w:tcPr>
            <w:tcW w:w="5103" w:type="dxa"/>
            <w:vMerge/>
            <w:shd w:val="clear" w:color="auto" w:fill="auto"/>
          </w:tcPr>
          <w:p w14:paraId="77BE9E56" w14:textId="77777777" w:rsidR="00FE3E62" w:rsidRPr="00D76AF9" w:rsidRDefault="00444F0C" w:rsidP="005C6341">
            <w:pPr>
              <w:rPr>
                <w:rFonts w:ascii="Arial" w:hAnsi="Arial" w:cs="Arial"/>
                <w:b/>
                <w:noProof/>
                <w:color w:val="000000"/>
                <w:sz w:val="16"/>
                <w:szCs w:val="16"/>
              </w:rPr>
            </w:pPr>
          </w:p>
        </w:tc>
      </w:tr>
      <w:tr w:rsidR="0053644F" w14:paraId="7F8F49D5" w14:textId="77777777" w:rsidTr="00627FAF">
        <w:trPr>
          <w:trHeight w:val="168"/>
        </w:trPr>
        <w:tc>
          <w:tcPr>
            <w:tcW w:w="4253" w:type="dxa"/>
            <w:shd w:val="clear" w:color="auto" w:fill="auto"/>
            <w:vAlign w:val="bottom"/>
          </w:tcPr>
          <w:p w14:paraId="6BFA9292" w14:textId="77777777" w:rsidR="00FE3E62" w:rsidRPr="005D24EE" w:rsidRDefault="00444F0C" w:rsidP="005C6341">
            <w:pPr>
              <w:rPr>
                <w:rFonts w:ascii="Arial" w:hAnsi="Arial" w:cs="Arial"/>
                <w:b/>
                <w:color w:val="000000" w:themeColor="text1"/>
                <w:sz w:val="12"/>
                <w:szCs w:val="12"/>
              </w:rPr>
            </w:pPr>
          </w:p>
        </w:tc>
        <w:tc>
          <w:tcPr>
            <w:tcW w:w="283" w:type="dxa"/>
          </w:tcPr>
          <w:p w14:paraId="06D5DC7C" w14:textId="77777777" w:rsidR="00FE3E62" w:rsidRPr="00DF0910" w:rsidRDefault="00444F0C" w:rsidP="005C6341">
            <w:pPr>
              <w:rPr>
                <w:rFonts w:ascii="Arial" w:hAnsi="Arial" w:cs="Arial"/>
                <w:color w:val="000000" w:themeColor="text1"/>
                <w:sz w:val="12"/>
                <w:szCs w:val="12"/>
              </w:rPr>
            </w:pPr>
          </w:p>
        </w:tc>
        <w:tc>
          <w:tcPr>
            <w:tcW w:w="5103" w:type="dxa"/>
            <w:vMerge/>
            <w:shd w:val="clear" w:color="auto" w:fill="auto"/>
          </w:tcPr>
          <w:p w14:paraId="557834D2" w14:textId="77777777" w:rsidR="00FE3E62" w:rsidRPr="00D76AF9" w:rsidRDefault="00444F0C" w:rsidP="005C6341">
            <w:pPr>
              <w:rPr>
                <w:rFonts w:ascii="Arial" w:hAnsi="Arial" w:cs="Arial"/>
                <w:b/>
                <w:noProof/>
                <w:color w:val="000000"/>
                <w:sz w:val="16"/>
                <w:szCs w:val="16"/>
              </w:rPr>
            </w:pPr>
          </w:p>
        </w:tc>
      </w:tr>
      <w:tr w:rsidR="0053644F" w14:paraId="0D2A7294" w14:textId="77777777" w:rsidTr="00627FAF">
        <w:trPr>
          <w:trHeight w:val="168"/>
        </w:trPr>
        <w:tc>
          <w:tcPr>
            <w:tcW w:w="4253" w:type="dxa"/>
            <w:shd w:val="clear" w:color="auto" w:fill="auto"/>
            <w:vAlign w:val="bottom"/>
          </w:tcPr>
          <w:p w14:paraId="37105FA6" w14:textId="77777777" w:rsidR="00FE3E62" w:rsidRPr="005D24EE" w:rsidRDefault="00444F0C" w:rsidP="005C6341">
            <w:pPr>
              <w:rPr>
                <w:rFonts w:ascii="Arial" w:hAnsi="Arial" w:cs="Arial"/>
                <w:b/>
                <w:color w:val="000000" w:themeColor="text1"/>
                <w:sz w:val="12"/>
                <w:szCs w:val="12"/>
              </w:rPr>
            </w:pPr>
          </w:p>
        </w:tc>
        <w:tc>
          <w:tcPr>
            <w:tcW w:w="283" w:type="dxa"/>
          </w:tcPr>
          <w:p w14:paraId="0A32331B" w14:textId="77777777" w:rsidR="00FE3E62" w:rsidRPr="00DF0910" w:rsidRDefault="00444F0C" w:rsidP="005C6341">
            <w:pPr>
              <w:rPr>
                <w:rFonts w:ascii="Arial" w:hAnsi="Arial" w:cs="Arial"/>
                <w:color w:val="000000" w:themeColor="text1"/>
                <w:sz w:val="12"/>
                <w:szCs w:val="12"/>
              </w:rPr>
            </w:pPr>
          </w:p>
        </w:tc>
        <w:tc>
          <w:tcPr>
            <w:tcW w:w="5103" w:type="dxa"/>
            <w:vMerge/>
            <w:shd w:val="clear" w:color="auto" w:fill="auto"/>
          </w:tcPr>
          <w:p w14:paraId="42DF5771" w14:textId="77777777" w:rsidR="00FE3E62" w:rsidRPr="00D76AF9" w:rsidRDefault="00444F0C" w:rsidP="005C6341">
            <w:pPr>
              <w:rPr>
                <w:rFonts w:ascii="Arial" w:hAnsi="Arial" w:cs="Arial"/>
                <w:b/>
                <w:noProof/>
                <w:color w:val="000000"/>
                <w:sz w:val="16"/>
                <w:szCs w:val="16"/>
              </w:rPr>
            </w:pPr>
          </w:p>
        </w:tc>
      </w:tr>
    </w:tbl>
    <w:p w14:paraId="2A4B50FC" w14:textId="77777777" w:rsidR="00402017" w:rsidRPr="00426B3C" w:rsidRDefault="00444F0C"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7BF6638D" w14:textId="77777777" w:rsidR="00D20995" w:rsidRPr="00D221EB" w:rsidRDefault="00444F0C"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36561820" w14:textId="2249D8CF" w:rsidR="00827D86" w:rsidRDefault="00C26866">
      <w:pPr>
        <w:pStyle w:val="Normal0"/>
        <w:spacing w:before="240" w:after="480"/>
        <w:rPr>
          <w:b/>
          <w:sz w:val="24"/>
        </w:rPr>
      </w:pPr>
      <w:r>
        <w:rPr>
          <w:b/>
          <w:sz w:val="24"/>
        </w:rPr>
        <w:t>RESOLUCIÓN</w:t>
      </w:r>
      <w:r w:rsidR="00627FAF">
        <w:rPr>
          <w:b/>
          <w:sz w:val="24"/>
        </w:rPr>
        <w:t xml:space="preserve"> 2064/2020, de 20 de julio</w:t>
      </w:r>
    </w:p>
    <w:p w14:paraId="1FE85FDD" w14:textId="56607AD0" w:rsidR="00827D86" w:rsidRDefault="00444F0C">
      <w:pPr>
        <w:pStyle w:val="Normal0"/>
        <w:tabs>
          <w:tab w:val="right" w:pos="8789"/>
        </w:tabs>
        <w:spacing w:after="480"/>
        <w:rPr>
          <w:sz w:val="22"/>
        </w:rPr>
      </w:pPr>
      <w:r>
        <w:rPr>
          <w:sz w:val="22"/>
        </w:rPr>
        <w:t xml:space="preserve">Servicio </w:t>
      </w:r>
      <w:r w:rsidR="00C26866" w:rsidRPr="00444F0C">
        <w:rPr>
          <w:sz w:val="22"/>
        </w:rPr>
        <w:t>de Financiación Local</w:t>
      </w:r>
      <w:r w:rsidR="00C26866">
        <w:rPr>
          <w:sz w:val="22"/>
        </w:rPr>
        <w:t xml:space="preserve"> y Gestión Administrativa</w:t>
      </w:r>
      <w:r w:rsidR="00C26866">
        <w:rPr>
          <w:sz w:val="22"/>
        </w:rPr>
        <w:br/>
        <w:t>Nº expte.: 20/33-AL</w:t>
      </w:r>
    </w:p>
    <w:p w14:paraId="30B26BC4" w14:textId="4D46D7BF" w:rsidR="00827D86" w:rsidRPr="004C7C6E" w:rsidRDefault="00C26866">
      <w:pPr>
        <w:pStyle w:val="Normal0"/>
        <w:spacing w:after="240"/>
        <w:jc w:val="both"/>
        <w:rPr>
          <w:b/>
          <w:sz w:val="22"/>
        </w:rPr>
      </w:pPr>
      <w:r>
        <w:rPr>
          <w:b/>
          <w:sz w:val="22"/>
          <w:szCs w:val="22"/>
        </w:rPr>
        <w:t>Inadmisión de la s</w:t>
      </w:r>
      <w:r w:rsidRPr="004C7C6E">
        <w:rPr>
          <w:b/>
          <w:sz w:val="22"/>
          <w:szCs w:val="22"/>
        </w:rPr>
        <w:t xml:space="preserve">olicitud de acceso realizada por la empresa </w:t>
      </w:r>
      <w:r w:rsidR="00627FAF" w:rsidRPr="000C1CA3">
        <w:rPr>
          <w:highlight w:val="black"/>
        </w:rPr>
        <w:t>xxxxx</w:t>
      </w:r>
      <w:r w:rsidR="00627FAF" w:rsidRPr="004C7C6E">
        <w:rPr>
          <w:b/>
          <w:sz w:val="22"/>
          <w:szCs w:val="22"/>
        </w:rPr>
        <w:t xml:space="preserve"> </w:t>
      </w:r>
      <w:r w:rsidRPr="004C7C6E">
        <w:rPr>
          <w:b/>
          <w:sz w:val="22"/>
          <w:szCs w:val="22"/>
        </w:rPr>
        <w:t>a la información pública sobre el procedimiento “Suministro de 210 chaquetas contra el frío para el Organismo Autónomo Arabako Foru Suhiltzaileak.-Bomberos Forales de Álava”</w:t>
      </w:r>
      <w:r w:rsidRPr="004C7C6E">
        <w:rPr>
          <w:b/>
          <w:sz w:val="22"/>
        </w:rPr>
        <w:t>.</w:t>
      </w:r>
    </w:p>
    <w:p w14:paraId="47DD06CF" w14:textId="23485BEA" w:rsidR="004C7C6E" w:rsidRDefault="00C26866" w:rsidP="004C7C6E">
      <w:pPr>
        <w:pStyle w:val="Normal0"/>
        <w:spacing w:after="240"/>
        <w:jc w:val="both"/>
        <w:rPr>
          <w:sz w:val="22"/>
          <w:szCs w:val="22"/>
        </w:rPr>
      </w:pPr>
      <w:r w:rsidRPr="00B066FA">
        <w:rPr>
          <w:sz w:val="22"/>
          <w:szCs w:val="22"/>
        </w:rPr>
        <w:t>Con fecha de 1</w:t>
      </w:r>
      <w:r>
        <w:rPr>
          <w:sz w:val="22"/>
          <w:szCs w:val="22"/>
        </w:rPr>
        <w:t>3</w:t>
      </w:r>
      <w:r w:rsidRPr="00B066FA">
        <w:rPr>
          <w:sz w:val="22"/>
          <w:szCs w:val="22"/>
        </w:rPr>
        <w:t xml:space="preserve"> de </w:t>
      </w:r>
      <w:r>
        <w:rPr>
          <w:sz w:val="22"/>
          <w:szCs w:val="22"/>
        </w:rPr>
        <w:t xml:space="preserve">julio </w:t>
      </w:r>
      <w:r w:rsidRPr="00B066FA">
        <w:rPr>
          <w:sz w:val="22"/>
          <w:szCs w:val="22"/>
        </w:rPr>
        <w:t xml:space="preserve">de 2020, tuvo entrada en la Sede Electrónica de la Diputación Foral de Álava </w:t>
      </w:r>
      <w:r>
        <w:rPr>
          <w:sz w:val="22"/>
          <w:szCs w:val="22"/>
        </w:rPr>
        <w:t xml:space="preserve">la solicitud del </w:t>
      </w:r>
      <w:r w:rsidRPr="004E1BC1">
        <w:rPr>
          <w:sz w:val="22"/>
          <w:szCs w:val="22"/>
        </w:rPr>
        <w:t>informe técnico realizado por los responsables del contrato de Suministro de 210 chaquetas contra el frío para el Organismo Autónomo Arabako Foru Suhi</w:t>
      </w:r>
      <w:r>
        <w:rPr>
          <w:sz w:val="22"/>
          <w:szCs w:val="22"/>
        </w:rPr>
        <w:t>ltzaileak- Bomberos Forales de Á</w:t>
      </w:r>
      <w:r w:rsidRPr="004E1BC1">
        <w:rPr>
          <w:sz w:val="22"/>
          <w:szCs w:val="22"/>
        </w:rPr>
        <w:t>lava</w:t>
      </w:r>
      <w:r>
        <w:rPr>
          <w:sz w:val="22"/>
          <w:szCs w:val="22"/>
        </w:rPr>
        <w:t>, por parte de la empresa</w:t>
      </w:r>
      <w:r w:rsidR="00627FAF">
        <w:rPr>
          <w:sz w:val="22"/>
          <w:szCs w:val="22"/>
        </w:rPr>
        <w:t xml:space="preserve"> </w:t>
      </w:r>
      <w:r w:rsidR="00627FAF" w:rsidRPr="000C1CA3">
        <w:rPr>
          <w:highlight w:val="black"/>
        </w:rPr>
        <w:t>xxxxx</w:t>
      </w:r>
      <w:r>
        <w:rPr>
          <w:sz w:val="22"/>
          <w:szCs w:val="22"/>
        </w:rPr>
        <w:t xml:space="preserve">, al haber quedado excluida en la citada licitación por no cumplir con los </w:t>
      </w:r>
      <w:r w:rsidRPr="004E1BC1">
        <w:rPr>
          <w:sz w:val="22"/>
          <w:szCs w:val="22"/>
        </w:rPr>
        <w:t>requisitos establecidos en el P</w:t>
      </w:r>
      <w:r>
        <w:rPr>
          <w:sz w:val="22"/>
          <w:szCs w:val="22"/>
        </w:rPr>
        <w:t>liego de prescripciones técnicas.</w:t>
      </w:r>
    </w:p>
    <w:p w14:paraId="055B0D6B" w14:textId="77777777" w:rsidR="004C7C6E" w:rsidRDefault="00C26866" w:rsidP="004C7C6E">
      <w:pPr>
        <w:pStyle w:val="Normal0"/>
        <w:spacing w:after="240"/>
        <w:jc w:val="both"/>
        <w:rPr>
          <w:sz w:val="22"/>
          <w:szCs w:val="22"/>
        </w:rPr>
      </w:pPr>
      <w:r>
        <w:rPr>
          <w:sz w:val="22"/>
          <w:szCs w:val="22"/>
        </w:rPr>
        <w:t xml:space="preserve">La Norma Foral </w:t>
      </w:r>
      <w:r w:rsidRPr="008A3F2E">
        <w:rPr>
          <w:sz w:val="22"/>
          <w:szCs w:val="22"/>
        </w:rPr>
        <w:t xml:space="preserve">1/2017, de 8 febrero, de transparencia, participación ciudadana y buen gobierno del sector público del Territorio Histórico de Álava, en su artículo 34.1 establece que serán de aplicación las causas de inadmisión de solicitudes de acceso previstas en la legislación básica. La legislación básica </w:t>
      </w:r>
      <w:r>
        <w:rPr>
          <w:sz w:val="22"/>
          <w:szCs w:val="22"/>
        </w:rPr>
        <w:t xml:space="preserve">citada </w:t>
      </w:r>
      <w:r w:rsidRPr="008A3F2E">
        <w:rPr>
          <w:sz w:val="22"/>
          <w:szCs w:val="22"/>
        </w:rPr>
        <w:t xml:space="preserve">se encuentra recogida en la Ley 19/2013, de 9 de diciembre, de transparencia, acceso a la información pública y buen gobierno, en la que, en su </w:t>
      </w:r>
      <w:r>
        <w:rPr>
          <w:sz w:val="22"/>
          <w:szCs w:val="22"/>
        </w:rPr>
        <w:t>Disposición Adicional Primera dispone: “</w:t>
      </w:r>
      <w:r w:rsidRPr="008D5EFE">
        <w:rPr>
          <w:i/>
          <w:sz w:val="22"/>
          <w:szCs w:val="22"/>
        </w:rPr>
        <w:t>1. La normativa reguladora del correspondiente procedimiento administrativo será la aplicable al acceso por parte de quienes tengan la consideración de interesados en un procedimiento administrativo en curso a los documentos que se integren en el mismo”</w:t>
      </w:r>
      <w:r>
        <w:rPr>
          <w:sz w:val="22"/>
          <w:szCs w:val="22"/>
        </w:rPr>
        <w:t>.</w:t>
      </w:r>
    </w:p>
    <w:p w14:paraId="111E69A9" w14:textId="77777777" w:rsidR="00EB49D2" w:rsidRDefault="00C26866" w:rsidP="004C7C6E">
      <w:pPr>
        <w:pStyle w:val="Normal0"/>
        <w:spacing w:after="240"/>
        <w:jc w:val="both"/>
        <w:rPr>
          <w:rFonts w:cs="Times New Roman"/>
          <w:sz w:val="22"/>
          <w:szCs w:val="22"/>
        </w:rPr>
      </w:pPr>
      <w:r w:rsidRPr="00B94EBB">
        <w:rPr>
          <w:sz w:val="22"/>
          <w:szCs w:val="22"/>
        </w:rPr>
        <w:t xml:space="preserve">En consecuencia, </w:t>
      </w:r>
      <w:r>
        <w:rPr>
          <w:sz w:val="22"/>
          <w:szCs w:val="22"/>
        </w:rPr>
        <w:t>dado que en este caso la empresa solicitante es parte interesada en el procedimiento de contratación a que hace referencia, la solicitud de información se regirá por la normativa específica del procedimiento en el que es parte interesada, por lo que procede dar traslado de dicha petición al Organismo Autónomo citado para su correcta tramitación</w:t>
      </w:r>
      <w:r w:rsidRPr="00EB49D2">
        <w:rPr>
          <w:rFonts w:cs="Times New Roman"/>
          <w:sz w:val="22"/>
          <w:szCs w:val="22"/>
        </w:rPr>
        <w:t>.</w:t>
      </w:r>
    </w:p>
    <w:p w14:paraId="56C83D2D" w14:textId="77777777" w:rsidR="00827D86" w:rsidRDefault="00C26866">
      <w:pPr>
        <w:pStyle w:val="Normal0"/>
        <w:spacing w:after="240"/>
        <w:jc w:val="both"/>
        <w:rPr>
          <w:sz w:val="22"/>
        </w:rPr>
      </w:pPr>
      <w:r>
        <w:rPr>
          <w:sz w:val="22"/>
          <w:szCs w:val="22"/>
        </w:rPr>
        <w:t xml:space="preserve">En virtud de lo dispuesto en la </w:t>
      </w:r>
      <w:r>
        <w:rPr>
          <w:rFonts w:cs="Times New Roman"/>
          <w:sz w:val="22"/>
          <w:szCs w:val="22"/>
        </w:rPr>
        <w:t>Orden Foral 84/2020, de 17 de junio</w:t>
      </w:r>
      <w:r>
        <w:rPr>
          <w:sz w:val="22"/>
          <w:szCs w:val="22"/>
        </w:rPr>
        <w:t xml:space="preserve">, según la cual, se delega en </w:t>
      </w:r>
      <w:r>
        <w:rPr>
          <w:rFonts w:cs="Times New Roman"/>
          <w:sz w:val="22"/>
          <w:szCs w:val="22"/>
        </w:rPr>
        <w:t xml:space="preserve">la persona titular de la Dirección de Equilibrio Territorial, la </w:t>
      </w:r>
      <w:r w:rsidRPr="002775AD">
        <w:rPr>
          <w:sz w:val="22"/>
        </w:rPr>
        <w:t>resol</w:t>
      </w:r>
      <w:r>
        <w:rPr>
          <w:sz w:val="22"/>
        </w:rPr>
        <w:t xml:space="preserve">ución de </w:t>
      </w:r>
      <w:r w:rsidRPr="002775AD">
        <w:rPr>
          <w:sz w:val="22"/>
        </w:rPr>
        <w:t>las solicitudes de acceso a la información pública previstas en la Norma Foral 1/2017, de 8 febrero, de transparencia, participación ciudadana y buen gobierno del sector público del Territorio Histórico de Álava, que se tramiten en dicha Dirección</w:t>
      </w:r>
      <w:r>
        <w:rPr>
          <w:sz w:val="22"/>
        </w:rPr>
        <w:t>,</w:t>
      </w:r>
    </w:p>
    <w:p w14:paraId="5ADFDDCF" w14:textId="77777777" w:rsidR="00827D86" w:rsidRDefault="00C26866">
      <w:pPr>
        <w:pStyle w:val="Ttulo11"/>
        <w:rPr>
          <w:rFonts w:ascii="Times New Roman" w:hAnsi="Times New Roman"/>
        </w:rPr>
      </w:pPr>
      <w:r>
        <w:rPr>
          <w:rFonts w:ascii="Times New Roman" w:hAnsi="Times New Roman"/>
        </w:rPr>
        <w:t>RESUELVO</w:t>
      </w:r>
    </w:p>
    <w:p w14:paraId="594D2EB5" w14:textId="13760966" w:rsidR="004C7C6E" w:rsidRDefault="00C26866" w:rsidP="004C7C6E">
      <w:pPr>
        <w:pStyle w:val="Normal0"/>
        <w:spacing w:after="240"/>
        <w:jc w:val="both"/>
        <w:rPr>
          <w:sz w:val="22"/>
          <w:szCs w:val="22"/>
        </w:rPr>
      </w:pPr>
      <w:r>
        <w:rPr>
          <w:sz w:val="22"/>
          <w:szCs w:val="22"/>
        </w:rPr>
        <w:t xml:space="preserve">Primero. Inadmitir a trámite la solicitud </w:t>
      </w:r>
      <w:r w:rsidRPr="005947DC">
        <w:rPr>
          <w:sz w:val="22"/>
          <w:szCs w:val="22"/>
        </w:rPr>
        <w:t>de acceso a la información pública</w:t>
      </w:r>
      <w:r>
        <w:rPr>
          <w:sz w:val="22"/>
          <w:szCs w:val="22"/>
        </w:rPr>
        <w:t xml:space="preserve"> solicitada</w:t>
      </w:r>
      <w:r w:rsidRPr="005947DC">
        <w:rPr>
          <w:sz w:val="22"/>
          <w:szCs w:val="22"/>
        </w:rPr>
        <w:t xml:space="preserve"> por </w:t>
      </w:r>
      <w:r>
        <w:rPr>
          <w:sz w:val="22"/>
          <w:szCs w:val="22"/>
        </w:rPr>
        <w:t xml:space="preserve">la empresa </w:t>
      </w:r>
      <w:r w:rsidR="00627FAF" w:rsidRPr="000C1CA3">
        <w:rPr>
          <w:highlight w:val="black"/>
        </w:rPr>
        <w:t>xxxxx</w:t>
      </w:r>
      <w:r w:rsidR="00627FAF">
        <w:rPr>
          <w:sz w:val="22"/>
          <w:szCs w:val="22"/>
        </w:rPr>
        <w:t xml:space="preserve"> </w:t>
      </w:r>
      <w:r>
        <w:rPr>
          <w:sz w:val="22"/>
          <w:szCs w:val="22"/>
        </w:rPr>
        <w:t>con NIF</w:t>
      </w:r>
      <w:r w:rsidR="00627FAF">
        <w:rPr>
          <w:sz w:val="22"/>
          <w:szCs w:val="22"/>
        </w:rPr>
        <w:t xml:space="preserve"> </w:t>
      </w:r>
      <w:r w:rsidR="00627FAF" w:rsidRPr="000C1CA3">
        <w:rPr>
          <w:highlight w:val="black"/>
        </w:rPr>
        <w:t>xxxxx</w:t>
      </w:r>
      <w:r>
        <w:rPr>
          <w:sz w:val="22"/>
          <w:szCs w:val="22"/>
        </w:rPr>
        <w:t>, en aplicación de lo dispuesto en la disposición adicional primera de la Ley 19/2013, de 9 de diciembre.</w:t>
      </w:r>
    </w:p>
    <w:p w14:paraId="0105ADCC" w14:textId="77777777" w:rsidR="00EB49D2" w:rsidRDefault="00C26866" w:rsidP="00C40112">
      <w:pPr>
        <w:pStyle w:val="Normal0"/>
        <w:spacing w:after="240"/>
        <w:jc w:val="both"/>
        <w:rPr>
          <w:sz w:val="22"/>
          <w:szCs w:val="22"/>
        </w:rPr>
      </w:pPr>
      <w:r>
        <w:rPr>
          <w:sz w:val="22"/>
          <w:szCs w:val="22"/>
        </w:rPr>
        <w:t xml:space="preserve">Segundo. Dar traslado de la citada petición al Organismo Autónomo </w:t>
      </w:r>
      <w:r w:rsidRPr="004E1BC1">
        <w:rPr>
          <w:sz w:val="22"/>
          <w:szCs w:val="22"/>
        </w:rPr>
        <w:t>Arabako Foru Suhi</w:t>
      </w:r>
      <w:r>
        <w:rPr>
          <w:sz w:val="22"/>
          <w:szCs w:val="22"/>
        </w:rPr>
        <w:t>ltzaileak- Bomberos Forales de Á</w:t>
      </w:r>
      <w:r w:rsidRPr="004E1BC1">
        <w:rPr>
          <w:sz w:val="22"/>
          <w:szCs w:val="22"/>
        </w:rPr>
        <w:t>lava</w:t>
      </w:r>
      <w:r>
        <w:rPr>
          <w:sz w:val="22"/>
          <w:szCs w:val="22"/>
        </w:rPr>
        <w:t>, para su tramitación.</w:t>
      </w:r>
    </w:p>
    <w:p w14:paraId="51E92EFE" w14:textId="77777777" w:rsidR="00C40112" w:rsidRPr="00EB49D2" w:rsidRDefault="00C26866" w:rsidP="002F2DDE">
      <w:pPr>
        <w:pStyle w:val="Normal0"/>
        <w:jc w:val="both"/>
        <w:rPr>
          <w:sz w:val="22"/>
          <w:szCs w:val="22"/>
        </w:rPr>
      </w:pPr>
      <w:r>
        <w:rPr>
          <w:sz w:val="22"/>
          <w:szCs w:val="22"/>
        </w:rPr>
        <w:lastRenderedPageBreak/>
        <w:t>Tercero.</w:t>
      </w:r>
      <w:r w:rsidRPr="00C40112">
        <w:rPr>
          <w:sz w:val="22"/>
          <w:szCs w:val="22"/>
        </w:rPr>
        <w:t xml:space="preserve"> </w:t>
      </w:r>
      <w:r w:rsidRPr="003C275F">
        <w:rPr>
          <w:sz w:val="22"/>
          <w:szCs w:val="22"/>
        </w:rPr>
        <w:t>Contra esta resolución, que no pone fin a la vía administrativa, se podrá interponer recurso de alzada ante la Diputada Foral de Equilibrio Territorial en el plazo de un mes a contar desde el día siguiente al del recibo de la correspondiente notificación, conforme a lo dispuesto en los artículos 121 y 122 de la Ley 39/2015, de 1 de octubre, del Procedimiento Administrativo Común d</w:t>
      </w:r>
      <w:r>
        <w:rPr>
          <w:sz w:val="22"/>
          <w:szCs w:val="22"/>
        </w:rPr>
        <w:t>e las Administraciones Públicas.</w:t>
      </w:r>
    </w:p>
    <w:bookmarkEnd w:id="0"/>
    <w:p w14:paraId="79BCB5D7" w14:textId="77777777" w:rsidR="00663BA9" w:rsidRPr="00CB4461" w:rsidRDefault="00444F0C"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5798F02A" w14:textId="77777777" w:rsidR="00663BA9" w:rsidRPr="00CB4461" w:rsidRDefault="00444F0C"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bl>
      <w:tblPr>
        <w:tblW w:w="9924" w:type="dxa"/>
        <w:tblInd w:w="70" w:type="dxa"/>
        <w:tblLayout w:type="fixed"/>
        <w:tblCellMar>
          <w:left w:w="70" w:type="dxa"/>
          <w:right w:w="70" w:type="dxa"/>
        </w:tblCellMar>
        <w:tblLook w:val="0000" w:firstRow="0" w:lastRow="0" w:firstColumn="0" w:lastColumn="0" w:noHBand="0" w:noVBand="0"/>
      </w:tblPr>
      <w:tblGrid>
        <w:gridCol w:w="4820"/>
        <w:gridCol w:w="284"/>
        <w:gridCol w:w="4820"/>
      </w:tblGrid>
      <w:tr w:rsidR="0053644F" w14:paraId="18DA3021" w14:textId="77777777" w:rsidTr="005C6341">
        <w:trPr>
          <w:trHeight w:val="1418"/>
        </w:trPr>
        <w:tc>
          <w:tcPr>
            <w:tcW w:w="4820" w:type="dxa"/>
          </w:tcPr>
          <w:p w14:paraId="4F5038AA" w14:textId="77777777" w:rsidR="00EE0139" w:rsidRPr="008C7888" w:rsidRDefault="00444F0C" w:rsidP="00627FAF">
            <w:pPr>
              <w:rPr>
                <w:rFonts w:ascii="Arial" w:hAnsi="Arial" w:cs="Arial"/>
                <w:b/>
                <w:sz w:val="16"/>
                <w:szCs w:val="16"/>
              </w:rPr>
            </w:pPr>
          </w:p>
        </w:tc>
        <w:tc>
          <w:tcPr>
            <w:tcW w:w="284" w:type="dxa"/>
          </w:tcPr>
          <w:p w14:paraId="539AC380" w14:textId="77777777" w:rsidR="00EE0139" w:rsidRPr="008C7888" w:rsidRDefault="00444F0C" w:rsidP="005C6341">
            <w:pPr>
              <w:jc w:val="center"/>
              <w:rPr>
                <w:rFonts w:ascii="Arial" w:hAnsi="Arial" w:cs="Arial"/>
                <w:sz w:val="16"/>
                <w:szCs w:val="16"/>
              </w:rPr>
            </w:pPr>
          </w:p>
        </w:tc>
        <w:tc>
          <w:tcPr>
            <w:tcW w:w="4820" w:type="dxa"/>
          </w:tcPr>
          <w:p w14:paraId="734AD4FF" w14:textId="77777777" w:rsidR="00EE0139" w:rsidRPr="008C7888" w:rsidRDefault="00444F0C" w:rsidP="005C6341">
            <w:pPr>
              <w:jc w:val="center"/>
              <w:rPr>
                <w:rFonts w:ascii="Arial" w:hAnsi="Arial" w:cs="Arial"/>
                <w:b/>
                <w:sz w:val="16"/>
                <w:szCs w:val="16"/>
              </w:rPr>
            </w:pPr>
          </w:p>
        </w:tc>
      </w:tr>
      <w:tr w:rsidR="0053644F" w14:paraId="72B28B88" w14:textId="77777777" w:rsidTr="005C6341">
        <w:tc>
          <w:tcPr>
            <w:tcW w:w="4820" w:type="dxa"/>
          </w:tcPr>
          <w:p w14:paraId="05750E46" w14:textId="77777777" w:rsidR="00663BA9" w:rsidRPr="008C7888" w:rsidRDefault="00CB4461" w:rsidP="00CB4461">
            <w:pPr>
              <w:tabs>
                <w:tab w:val="right" w:pos="8789"/>
              </w:tabs>
              <w:spacing w:line="240" w:lineRule="exact"/>
              <w:jc w:val="center"/>
              <w:rPr>
                <w:rFonts w:ascii="Arial" w:hAnsi="Arial" w:cs="Arial"/>
                <w:sz w:val="16"/>
                <w:szCs w:val="16"/>
              </w:rPr>
            </w:pPr>
            <w:r w:rsidRPr="005C6EEE">
              <w:rPr>
                <w:b/>
                <w:sz w:val="22"/>
                <w:szCs w:val="22"/>
              </w:rPr>
              <w:t>Jesús María Guinea Díaz de Otalora</w:t>
            </w:r>
          </w:p>
        </w:tc>
        <w:tc>
          <w:tcPr>
            <w:tcW w:w="284" w:type="dxa"/>
          </w:tcPr>
          <w:p w14:paraId="76B15451" w14:textId="77777777" w:rsidR="00663BA9" w:rsidRPr="008C7888" w:rsidRDefault="00444F0C" w:rsidP="005C6341">
            <w:pPr>
              <w:jc w:val="center"/>
              <w:rPr>
                <w:rFonts w:ascii="Arial" w:hAnsi="Arial" w:cs="Arial"/>
                <w:sz w:val="16"/>
                <w:szCs w:val="16"/>
              </w:rPr>
            </w:pPr>
          </w:p>
        </w:tc>
        <w:tc>
          <w:tcPr>
            <w:tcW w:w="4820" w:type="dxa"/>
          </w:tcPr>
          <w:p w14:paraId="0BFC8CCF" w14:textId="77777777" w:rsidR="00663BA9" w:rsidRPr="008C7888" w:rsidRDefault="00444F0C" w:rsidP="00CB4461">
            <w:pPr>
              <w:rPr>
                <w:rFonts w:ascii="Arial" w:hAnsi="Arial" w:cs="Arial"/>
                <w:sz w:val="16"/>
                <w:szCs w:val="16"/>
              </w:rPr>
            </w:pPr>
          </w:p>
        </w:tc>
      </w:tr>
      <w:tr w:rsidR="0053644F" w14:paraId="2BBE8252" w14:textId="77777777" w:rsidTr="005C6341">
        <w:tc>
          <w:tcPr>
            <w:tcW w:w="4820" w:type="dxa"/>
          </w:tcPr>
          <w:p w14:paraId="469FD24C" w14:textId="77777777" w:rsidR="00CB4461" w:rsidRPr="00E269A9" w:rsidRDefault="00CB4461" w:rsidP="00CB4461">
            <w:pPr>
              <w:jc w:val="center"/>
              <w:rPr>
                <w:sz w:val="22"/>
                <w:szCs w:val="22"/>
                <w:lang w:val="es-ES"/>
              </w:rPr>
            </w:pPr>
            <w:r w:rsidRPr="00E269A9">
              <w:rPr>
                <w:sz w:val="22"/>
                <w:szCs w:val="22"/>
                <w:lang w:val="es-ES"/>
              </w:rPr>
              <w:t>Lurralde Orekaren zuzendaria</w:t>
            </w:r>
          </w:p>
          <w:p w14:paraId="7C538B0B" w14:textId="77777777" w:rsidR="00663BA9" w:rsidRPr="008C7888" w:rsidRDefault="00CB4461" w:rsidP="00CB4461">
            <w:pPr>
              <w:jc w:val="center"/>
              <w:rPr>
                <w:rFonts w:ascii="Arial" w:hAnsi="Arial" w:cs="Arial"/>
                <w:sz w:val="16"/>
                <w:szCs w:val="16"/>
              </w:rPr>
            </w:pPr>
            <w:r w:rsidRPr="00E269A9">
              <w:rPr>
                <w:sz w:val="22"/>
                <w:szCs w:val="22"/>
                <w:lang w:val="es-ES"/>
              </w:rPr>
              <w:t>Director de Equilibrio Territorial</w:t>
            </w:r>
          </w:p>
        </w:tc>
        <w:tc>
          <w:tcPr>
            <w:tcW w:w="284" w:type="dxa"/>
          </w:tcPr>
          <w:p w14:paraId="2C0A123E" w14:textId="77777777" w:rsidR="00663BA9" w:rsidRPr="008C7888" w:rsidRDefault="00444F0C" w:rsidP="005C6341">
            <w:pPr>
              <w:jc w:val="center"/>
              <w:rPr>
                <w:rFonts w:ascii="Arial" w:hAnsi="Arial" w:cs="Arial"/>
                <w:sz w:val="16"/>
                <w:szCs w:val="16"/>
              </w:rPr>
            </w:pPr>
          </w:p>
        </w:tc>
        <w:tc>
          <w:tcPr>
            <w:tcW w:w="4820" w:type="dxa"/>
          </w:tcPr>
          <w:p w14:paraId="196AA812" w14:textId="77777777" w:rsidR="00663BA9" w:rsidRPr="008C7888" w:rsidRDefault="00444F0C" w:rsidP="00773B23">
            <w:pPr>
              <w:jc w:val="center"/>
              <w:rPr>
                <w:rFonts w:ascii="Arial" w:hAnsi="Arial" w:cs="Arial"/>
                <w:sz w:val="16"/>
                <w:szCs w:val="16"/>
              </w:rPr>
            </w:pPr>
          </w:p>
        </w:tc>
      </w:tr>
    </w:tbl>
    <w:p w14:paraId="469A5E14" w14:textId="77777777" w:rsidR="00E47DB3" w:rsidRPr="008C7888" w:rsidRDefault="00444F0C" w:rsidP="008D43A8">
      <w:pPr>
        <w:pStyle w:val="Textoindependiente"/>
        <w:spacing w:after="0"/>
        <w:rPr>
          <w:rFonts w:cs="Arial"/>
          <w:sz w:val="16"/>
          <w:szCs w:val="16"/>
        </w:rPr>
      </w:pPr>
    </w:p>
    <w:sectPr w:rsidR="00E47DB3" w:rsidRPr="008C7888"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707E" w14:textId="77777777" w:rsidR="00B96FD6" w:rsidRDefault="00B96FD6">
      <w:r>
        <w:separator/>
      </w:r>
    </w:p>
  </w:endnote>
  <w:endnote w:type="continuationSeparator" w:id="0">
    <w:p w14:paraId="235C9827" w14:textId="77777777" w:rsidR="00B96FD6" w:rsidRDefault="00B9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53644F" w14:paraId="53FB667B" w14:textId="77777777" w:rsidTr="00E47DB3">
      <w:trPr>
        <w:trHeight w:val="567"/>
      </w:trPr>
      <w:tc>
        <w:tcPr>
          <w:tcW w:w="9921" w:type="dxa"/>
        </w:tcPr>
        <w:p w14:paraId="4D410F79" w14:textId="77777777" w:rsidR="00007960" w:rsidRPr="00E47DB3" w:rsidRDefault="00C26866"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006765B3">
            <w:rPr>
              <w:rFonts w:ascii="Arial" w:hAnsi="Arial" w:cs="Arial"/>
              <w:noProof/>
              <w:color w:val="808080"/>
              <w:sz w:val="16"/>
            </w:rPr>
            <w:t>2</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006765B3">
            <w:rPr>
              <w:rFonts w:ascii="Arial" w:hAnsi="Arial" w:cs="Arial"/>
              <w:noProof/>
              <w:color w:val="808080"/>
              <w:sz w:val="16"/>
            </w:rPr>
            <w:t>2</w:t>
          </w:r>
          <w:r w:rsidRPr="00E47DB3">
            <w:rPr>
              <w:rFonts w:ascii="Arial" w:hAnsi="Arial" w:cs="Arial"/>
              <w:color w:val="808080"/>
              <w:sz w:val="16"/>
            </w:rPr>
            <w:fldChar w:fldCharType="end"/>
          </w:r>
        </w:p>
      </w:tc>
    </w:tr>
  </w:tbl>
  <w:p w14:paraId="6E975399" w14:textId="77777777" w:rsidR="00007960" w:rsidRDefault="00444F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FCE3" w14:textId="77777777" w:rsidR="00CB4461" w:rsidRDefault="00CB4461" w:rsidP="00CB4461">
    <w:pPr>
      <w:pBdr>
        <w:top w:val="single" w:sz="4" w:space="0" w:color="auto"/>
      </w:pBdr>
      <w:ind w:right="566"/>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3"/>
      <w:gridCol w:w="3119"/>
      <w:gridCol w:w="1700"/>
    </w:tblGrid>
    <w:tr w:rsidR="00CB4461" w14:paraId="1FC1C987" w14:textId="77777777" w:rsidTr="00C14B49">
      <w:tc>
        <w:tcPr>
          <w:tcW w:w="4253" w:type="dxa"/>
          <w:tcBorders>
            <w:top w:val="nil"/>
            <w:left w:val="nil"/>
            <w:bottom w:val="nil"/>
            <w:right w:val="nil"/>
          </w:tcBorders>
        </w:tcPr>
        <w:p w14:paraId="503E6A3A" w14:textId="77777777" w:rsidR="00CB4461" w:rsidRPr="00EC6D02" w:rsidRDefault="00CB4461" w:rsidP="00C14B49">
          <w:pPr>
            <w:pStyle w:val="Piedepgina"/>
            <w:spacing w:after="113" w:line="220" w:lineRule="exact"/>
            <w:ind w:left="-70"/>
            <w:rPr>
              <w:rFonts w:ascii="Arial" w:hAnsi="Arial"/>
              <w:b/>
              <w:sz w:val="18"/>
            </w:rPr>
          </w:pPr>
          <w:r w:rsidRPr="00EC6D02">
            <w:rPr>
              <w:rFonts w:ascii="Arial" w:hAnsi="Arial"/>
              <w:b/>
              <w:sz w:val="18"/>
            </w:rPr>
            <w:t>Lurralde Orekaren Saila</w:t>
          </w:r>
        </w:p>
        <w:p w14:paraId="057E2424" w14:textId="77777777" w:rsidR="00CB4461" w:rsidRDefault="00CB4461" w:rsidP="00C14B49">
          <w:pPr>
            <w:pStyle w:val="Piedepgina"/>
            <w:spacing w:after="113" w:line="220" w:lineRule="exact"/>
            <w:ind w:left="-70"/>
            <w:rPr>
              <w:rFonts w:ascii="Arial" w:hAnsi="Arial"/>
              <w:b/>
              <w:sz w:val="18"/>
            </w:rPr>
          </w:pPr>
          <w:r w:rsidRPr="00EC6D02">
            <w:rPr>
              <w:rFonts w:ascii="Arial" w:hAnsi="Arial"/>
              <w:b/>
              <w:sz w:val="18"/>
            </w:rPr>
            <w:t>Departamento de Equilibrio Territorial</w:t>
          </w:r>
        </w:p>
      </w:tc>
      <w:tc>
        <w:tcPr>
          <w:tcW w:w="3119" w:type="dxa"/>
          <w:tcBorders>
            <w:top w:val="nil"/>
            <w:left w:val="nil"/>
            <w:bottom w:val="nil"/>
            <w:right w:val="nil"/>
          </w:tcBorders>
        </w:tcPr>
        <w:p w14:paraId="533D3039" w14:textId="77777777" w:rsidR="00CB4461" w:rsidRPr="00EE58A3" w:rsidRDefault="00CB4461" w:rsidP="00C14B49">
          <w:pPr>
            <w:spacing w:after="70"/>
            <w:rPr>
              <w:rFonts w:ascii="Arial" w:hAnsi="Arial"/>
              <w:sz w:val="16"/>
              <w:szCs w:val="16"/>
            </w:rPr>
          </w:pPr>
          <w:r w:rsidRPr="00EE58A3">
            <w:rPr>
              <w:rFonts w:ascii="Arial" w:hAnsi="Arial"/>
              <w:sz w:val="16"/>
              <w:szCs w:val="16"/>
            </w:rPr>
            <w:t>Lurralde Orekaren</w:t>
          </w:r>
          <w:r>
            <w:rPr>
              <w:rFonts w:ascii="Arial" w:hAnsi="Arial"/>
              <w:sz w:val="16"/>
              <w:szCs w:val="16"/>
            </w:rPr>
            <w:br/>
          </w:r>
          <w:r w:rsidRPr="00EE58A3">
            <w:rPr>
              <w:rFonts w:ascii="Arial" w:hAnsi="Arial"/>
              <w:sz w:val="16"/>
              <w:szCs w:val="16"/>
            </w:rPr>
            <w:t>Zuzendaritza</w:t>
          </w:r>
        </w:p>
        <w:p w14:paraId="6D6FEEEB" w14:textId="77777777" w:rsidR="00CB4461" w:rsidRDefault="00CB4461" w:rsidP="00C14B49">
          <w:pPr>
            <w:rPr>
              <w:rFonts w:ascii="Arial" w:hAnsi="Arial"/>
              <w:sz w:val="17"/>
            </w:rPr>
          </w:pPr>
          <w:r w:rsidRPr="00EE58A3">
            <w:rPr>
              <w:rFonts w:ascii="Arial" w:hAnsi="Arial"/>
              <w:sz w:val="16"/>
              <w:szCs w:val="16"/>
            </w:rPr>
            <w:t>Dirección de Equilibrio</w:t>
          </w:r>
          <w:r>
            <w:rPr>
              <w:rFonts w:ascii="Arial" w:hAnsi="Arial"/>
              <w:sz w:val="16"/>
              <w:szCs w:val="16"/>
            </w:rPr>
            <w:br/>
          </w:r>
          <w:r w:rsidRPr="00EE58A3">
            <w:rPr>
              <w:rFonts w:ascii="Arial" w:hAnsi="Arial"/>
              <w:sz w:val="16"/>
              <w:szCs w:val="16"/>
            </w:rPr>
            <w:t>Territorial</w:t>
          </w:r>
        </w:p>
      </w:tc>
      <w:tc>
        <w:tcPr>
          <w:tcW w:w="1700" w:type="dxa"/>
          <w:tcBorders>
            <w:top w:val="nil"/>
            <w:left w:val="nil"/>
            <w:bottom w:val="nil"/>
            <w:right w:val="nil"/>
          </w:tcBorders>
        </w:tcPr>
        <w:p w14:paraId="7A2DA301" w14:textId="77777777" w:rsidR="00CB4461" w:rsidRDefault="00CB4461" w:rsidP="00C14B49">
          <w:pPr>
            <w:pStyle w:val="Piedepgina"/>
            <w:spacing w:after="60" w:line="170" w:lineRule="exact"/>
            <w:rPr>
              <w:sz w:val="15"/>
            </w:rPr>
          </w:pPr>
          <w:r>
            <w:rPr>
              <w:sz w:val="15"/>
            </w:rPr>
            <w:t>Probintzia Plaza, 5-2</w:t>
          </w:r>
          <w:r>
            <w:rPr>
              <w:sz w:val="15"/>
            </w:rPr>
            <w:br/>
            <w:t>01001 Vitoria-Gasteiz</w:t>
          </w:r>
        </w:p>
        <w:p w14:paraId="43D36476" w14:textId="77777777" w:rsidR="00CB4461" w:rsidRDefault="00CB4461" w:rsidP="00C14B49">
          <w:pPr>
            <w:pStyle w:val="Piedepgina"/>
            <w:spacing w:after="60" w:line="170" w:lineRule="exact"/>
            <w:rPr>
              <w:sz w:val="15"/>
            </w:rPr>
          </w:pPr>
          <w:r>
            <w:rPr>
              <w:sz w:val="15"/>
            </w:rPr>
            <w:t>Tel. 945 18 18 18</w:t>
          </w:r>
          <w:r>
            <w:rPr>
              <w:sz w:val="15"/>
            </w:rPr>
            <w:br/>
            <w:t>Fax: 945 18 17 73</w:t>
          </w:r>
        </w:p>
      </w:tc>
    </w:tr>
  </w:tbl>
  <w:p w14:paraId="685CFE88" w14:textId="77777777" w:rsidR="00007960" w:rsidRPr="00CB4461" w:rsidRDefault="00444F0C" w:rsidP="00CB44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FA63" w14:textId="77777777" w:rsidR="00B96FD6" w:rsidRDefault="00B96FD6">
      <w:r>
        <w:separator/>
      </w:r>
    </w:p>
  </w:footnote>
  <w:footnote w:type="continuationSeparator" w:id="0">
    <w:p w14:paraId="1BD3B8F7" w14:textId="77777777" w:rsidR="00B96FD6" w:rsidRDefault="00B9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53644F" w14:paraId="4A2F406A" w14:textId="77777777" w:rsidTr="001A0E0E">
      <w:trPr>
        <w:cantSplit/>
        <w:trHeight w:hRule="exact" w:val="567"/>
      </w:trPr>
      <w:tc>
        <w:tcPr>
          <w:tcW w:w="4536" w:type="dxa"/>
          <w:vAlign w:val="center"/>
        </w:tcPr>
        <w:p w14:paraId="3DE76F24" w14:textId="77777777" w:rsidR="00007960" w:rsidRDefault="00444F0C" w:rsidP="0078412B">
          <w:pPr>
            <w:pStyle w:val="Encabezado"/>
          </w:pPr>
        </w:p>
      </w:tc>
      <w:tc>
        <w:tcPr>
          <w:tcW w:w="851" w:type="dxa"/>
          <w:vMerge w:val="restart"/>
          <w:vAlign w:val="center"/>
        </w:tcPr>
        <w:p w14:paraId="729F9AE8" w14:textId="77777777" w:rsidR="00007960" w:rsidRDefault="00C26866" w:rsidP="0078412B">
          <w:pPr>
            <w:pStyle w:val="Encabezado"/>
            <w:jc w:val="center"/>
          </w:pPr>
          <w:r>
            <w:rPr>
              <w:noProof/>
              <w:lang w:val="es-ES"/>
            </w:rPr>
            <w:drawing>
              <wp:inline distT="0" distB="0" distL="0" distR="0" wp14:anchorId="55AEF301" wp14:editId="33AD4C87">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7006A685" w14:textId="77777777" w:rsidR="00007960" w:rsidRDefault="00444F0C" w:rsidP="0078412B">
          <w:pPr>
            <w:pStyle w:val="Encabezado"/>
          </w:pPr>
        </w:p>
      </w:tc>
    </w:tr>
    <w:tr w:rsidR="0053644F" w14:paraId="595649AB" w14:textId="77777777" w:rsidTr="001A0E0E">
      <w:trPr>
        <w:cantSplit/>
        <w:trHeight w:hRule="exact" w:val="567"/>
      </w:trPr>
      <w:tc>
        <w:tcPr>
          <w:tcW w:w="4536" w:type="dxa"/>
          <w:vAlign w:val="center"/>
        </w:tcPr>
        <w:p w14:paraId="11C70557" w14:textId="77777777" w:rsidR="00007960" w:rsidRDefault="00444F0C" w:rsidP="0078412B">
          <w:pPr>
            <w:pStyle w:val="Encabezado"/>
          </w:pPr>
        </w:p>
      </w:tc>
      <w:tc>
        <w:tcPr>
          <w:tcW w:w="851" w:type="dxa"/>
          <w:vMerge/>
          <w:vAlign w:val="center"/>
        </w:tcPr>
        <w:p w14:paraId="1B24A47D" w14:textId="77777777" w:rsidR="00007960" w:rsidRDefault="00444F0C" w:rsidP="0078412B">
          <w:pPr>
            <w:pStyle w:val="Encabezado"/>
            <w:jc w:val="center"/>
          </w:pPr>
        </w:p>
      </w:tc>
      <w:tc>
        <w:tcPr>
          <w:tcW w:w="4536" w:type="dxa"/>
          <w:vAlign w:val="center"/>
        </w:tcPr>
        <w:p w14:paraId="67C706A1" w14:textId="77777777" w:rsidR="00007960" w:rsidRDefault="00444F0C" w:rsidP="0078412B">
          <w:pPr>
            <w:pStyle w:val="Encabezado"/>
          </w:pPr>
        </w:p>
      </w:tc>
    </w:tr>
  </w:tbl>
  <w:p w14:paraId="5E5516A3" w14:textId="77777777" w:rsidR="00007960" w:rsidRPr="0013766D" w:rsidRDefault="00444F0C">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53644F" w14:paraId="33CD95E9" w14:textId="77777777" w:rsidTr="001F2BE9">
      <w:trPr>
        <w:trHeight w:val="2041"/>
      </w:trPr>
      <w:tc>
        <w:tcPr>
          <w:tcW w:w="3969" w:type="dxa"/>
        </w:tcPr>
        <w:p w14:paraId="44C8486D" w14:textId="77777777" w:rsidR="00007960" w:rsidRPr="007F2571" w:rsidRDefault="00C26866"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1A5D9563" wp14:editId="1338AF3D">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528F442E" w14:textId="77777777" w:rsidR="00007960" w:rsidRDefault="00444F0C" w:rsidP="00470015">
          <w:pPr>
            <w:pStyle w:val="Piedepgina"/>
            <w:rPr>
              <w:rFonts w:ascii="Arial" w:hAnsi="Arial" w:cs="Arial"/>
              <w:b/>
              <w:bCs/>
              <w:color w:val="808080" w:themeColor="background1" w:themeShade="80"/>
              <w:sz w:val="12"/>
              <w:szCs w:val="12"/>
              <w:lang w:val="es-ES"/>
            </w:rPr>
          </w:pPr>
        </w:p>
        <w:p w14:paraId="5D377698" w14:textId="77777777" w:rsidR="00007960" w:rsidRPr="000B6392" w:rsidRDefault="00444F0C" w:rsidP="00470015">
          <w:pPr>
            <w:pStyle w:val="Encabezado"/>
            <w:rPr>
              <w:rFonts w:ascii="Arial" w:hAnsi="Arial" w:cs="Arial"/>
              <w:b/>
              <w:color w:val="808080" w:themeColor="background1" w:themeShade="80"/>
              <w:sz w:val="16"/>
              <w:szCs w:val="16"/>
            </w:rPr>
          </w:pPr>
        </w:p>
      </w:tc>
    </w:tr>
  </w:tbl>
  <w:p w14:paraId="70FCECAD" w14:textId="77777777" w:rsidR="00007960" w:rsidRPr="0013766D" w:rsidRDefault="00444F0C"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4F"/>
    <w:rsid w:val="00444F0C"/>
    <w:rsid w:val="0053644F"/>
    <w:rsid w:val="00627FAF"/>
    <w:rsid w:val="006765B3"/>
    <w:rsid w:val="00B96FD6"/>
    <w:rsid w:val="00C26866"/>
    <w:rsid w:val="00C34BAD"/>
    <w:rsid w:val="00CB44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1459A"/>
  <w15:docId w15:val="{85AFA0A3-EDDC-4389-8388-2D7EED22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customStyle="1" w:styleId="Ttulo11">
    <w:name w:val="Título 11"/>
    <w:basedOn w:val="Normal0"/>
    <w:next w:val="Normal0"/>
    <w:qFormat/>
    <w:pPr>
      <w:keepNext/>
      <w:spacing w:before="240" w:after="480"/>
      <w:jc w:val="center"/>
      <w:outlineLvl w:val="0"/>
    </w:pPr>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EE678-72DC-41E9-B315-2D49A35C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3</TotalTime>
  <Pages>2</Pages>
  <Words>512</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Orobengoa San Vicente, Galder</cp:lastModifiedBy>
  <cp:revision>3</cp:revision>
  <cp:lastPrinted>2020-07-21T12:30:00Z</cp:lastPrinted>
  <dcterms:created xsi:type="dcterms:W3CDTF">2022-10-28T10:44:00Z</dcterms:created>
  <dcterms:modified xsi:type="dcterms:W3CDTF">2022-10-28T10:45:00Z</dcterms:modified>
</cp:coreProperties>
</file>