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39"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5103"/>
      </w:tblGrid>
      <w:tr w:rsidR="00676646" w14:paraId="6D0A920C" w14:textId="77777777" w:rsidTr="00DB76FF">
        <w:trPr>
          <w:trHeight w:val="168"/>
        </w:trPr>
        <w:tc>
          <w:tcPr>
            <w:tcW w:w="4253" w:type="dxa"/>
            <w:shd w:val="clear" w:color="auto" w:fill="auto"/>
            <w:vAlign w:val="bottom"/>
          </w:tcPr>
          <w:p w14:paraId="581194B8" w14:textId="77777777" w:rsidR="00EE0139" w:rsidRPr="005D24EE" w:rsidRDefault="00DB76FF" w:rsidP="005C6341">
            <w:pPr>
              <w:rPr>
                <w:rFonts w:ascii="Arial" w:hAnsi="Arial" w:cs="Arial"/>
                <w:b/>
                <w:color w:val="000000" w:themeColor="text1"/>
                <w:sz w:val="12"/>
                <w:szCs w:val="12"/>
              </w:rPr>
            </w:pPr>
          </w:p>
        </w:tc>
        <w:tc>
          <w:tcPr>
            <w:tcW w:w="283" w:type="dxa"/>
          </w:tcPr>
          <w:p w14:paraId="35833FAB" w14:textId="77777777" w:rsidR="00EE0139" w:rsidRPr="00DF0910" w:rsidRDefault="00DB76FF" w:rsidP="005C6341">
            <w:pPr>
              <w:rPr>
                <w:rFonts w:ascii="Arial" w:hAnsi="Arial" w:cs="Arial"/>
                <w:color w:val="000000" w:themeColor="text1"/>
                <w:sz w:val="12"/>
                <w:szCs w:val="12"/>
              </w:rPr>
            </w:pPr>
          </w:p>
        </w:tc>
        <w:tc>
          <w:tcPr>
            <w:tcW w:w="5103" w:type="dxa"/>
            <w:vMerge w:val="restart"/>
            <w:shd w:val="clear" w:color="auto" w:fill="auto"/>
          </w:tcPr>
          <w:p w14:paraId="072E6162" w14:textId="77777777" w:rsidR="00FE3E62" w:rsidRDefault="00DB76FF" w:rsidP="005C6341">
            <w:pPr>
              <w:tabs>
                <w:tab w:val="left" w:pos="0"/>
              </w:tabs>
              <w:rPr>
                <w:rFonts w:ascii="Arial" w:hAnsi="Arial" w:cs="Arial"/>
                <w:b/>
                <w:noProof/>
                <w:color w:val="000000"/>
                <w:sz w:val="16"/>
                <w:szCs w:val="16"/>
              </w:rPr>
            </w:pPr>
          </w:p>
          <w:p w14:paraId="195AB369" w14:textId="77777777" w:rsidR="00FE3E62" w:rsidRDefault="00DB76FF" w:rsidP="005C6341">
            <w:pPr>
              <w:tabs>
                <w:tab w:val="left" w:pos="0"/>
              </w:tabs>
              <w:rPr>
                <w:rFonts w:ascii="Arial" w:hAnsi="Arial" w:cs="Arial"/>
                <w:b/>
                <w:noProof/>
                <w:color w:val="000000"/>
                <w:sz w:val="16"/>
                <w:szCs w:val="16"/>
              </w:rPr>
            </w:pPr>
          </w:p>
          <w:p w14:paraId="3C784562" w14:textId="034F9E7D" w:rsidR="00EE0139" w:rsidRPr="00D76AF9" w:rsidRDefault="00DB76FF" w:rsidP="00FE3E62">
            <w:pPr>
              <w:spacing w:after="60"/>
              <w:rPr>
                <w:rFonts w:ascii="Arial" w:hAnsi="Arial" w:cs="Arial"/>
                <w:b/>
                <w:noProof/>
                <w:color w:val="000000"/>
                <w:sz w:val="16"/>
                <w:szCs w:val="16"/>
              </w:rPr>
            </w:pPr>
          </w:p>
        </w:tc>
      </w:tr>
      <w:tr w:rsidR="00676646" w14:paraId="7EEE768D" w14:textId="77777777" w:rsidTr="00DB76FF">
        <w:trPr>
          <w:trHeight w:val="168"/>
        </w:trPr>
        <w:tc>
          <w:tcPr>
            <w:tcW w:w="4253" w:type="dxa"/>
            <w:shd w:val="clear" w:color="auto" w:fill="auto"/>
            <w:vAlign w:val="bottom"/>
          </w:tcPr>
          <w:p w14:paraId="4991C135" w14:textId="77777777" w:rsidR="00FE3E62" w:rsidRPr="005D24EE" w:rsidRDefault="00DB76FF" w:rsidP="005C6341">
            <w:pPr>
              <w:rPr>
                <w:rFonts w:ascii="Arial" w:hAnsi="Arial" w:cs="Arial"/>
                <w:b/>
                <w:color w:val="000000" w:themeColor="text1"/>
                <w:sz w:val="12"/>
                <w:szCs w:val="12"/>
              </w:rPr>
            </w:pPr>
          </w:p>
        </w:tc>
        <w:tc>
          <w:tcPr>
            <w:tcW w:w="283" w:type="dxa"/>
          </w:tcPr>
          <w:p w14:paraId="77ADE8FD" w14:textId="77777777" w:rsidR="00FE3E62" w:rsidRPr="00DF0910" w:rsidRDefault="00DB76FF" w:rsidP="005C6341">
            <w:pPr>
              <w:rPr>
                <w:rFonts w:ascii="Arial" w:hAnsi="Arial" w:cs="Arial"/>
                <w:color w:val="000000" w:themeColor="text1"/>
                <w:sz w:val="12"/>
                <w:szCs w:val="12"/>
              </w:rPr>
            </w:pPr>
          </w:p>
        </w:tc>
        <w:tc>
          <w:tcPr>
            <w:tcW w:w="5103" w:type="dxa"/>
            <w:vMerge/>
            <w:shd w:val="clear" w:color="auto" w:fill="auto"/>
          </w:tcPr>
          <w:p w14:paraId="65D030D6" w14:textId="77777777" w:rsidR="00FE3E62" w:rsidRPr="00D76AF9" w:rsidRDefault="00DB76FF" w:rsidP="005C6341">
            <w:pPr>
              <w:rPr>
                <w:rFonts w:ascii="Arial" w:hAnsi="Arial" w:cs="Arial"/>
                <w:b/>
                <w:noProof/>
                <w:color w:val="000000"/>
                <w:sz w:val="16"/>
                <w:szCs w:val="16"/>
              </w:rPr>
            </w:pPr>
          </w:p>
        </w:tc>
      </w:tr>
      <w:tr w:rsidR="00676646" w14:paraId="0BA1B6F7" w14:textId="77777777" w:rsidTr="00DB76FF">
        <w:trPr>
          <w:trHeight w:val="168"/>
        </w:trPr>
        <w:tc>
          <w:tcPr>
            <w:tcW w:w="4253" w:type="dxa"/>
            <w:shd w:val="clear" w:color="auto" w:fill="auto"/>
            <w:vAlign w:val="bottom"/>
          </w:tcPr>
          <w:p w14:paraId="1D47063F" w14:textId="77777777" w:rsidR="00FE3E62" w:rsidRPr="005D24EE" w:rsidRDefault="00DB76FF" w:rsidP="005C6341">
            <w:pPr>
              <w:rPr>
                <w:rFonts w:ascii="Arial" w:hAnsi="Arial" w:cs="Arial"/>
                <w:b/>
                <w:color w:val="000000" w:themeColor="text1"/>
                <w:sz w:val="12"/>
                <w:szCs w:val="12"/>
              </w:rPr>
            </w:pPr>
          </w:p>
        </w:tc>
        <w:tc>
          <w:tcPr>
            <w:tcW w:w="283" w:type="dxa"/>
          </w:tcPr>
          <w:p w14:paraId="48C75EA7" w14:textId="77777777" w:rsidR="00FE3E62" w:rsidRPr="00DF0910" w:rsidRDefault="00DB76FF" w:rsidP="005C6341">
            <w:pPr>
              <w:rPr>
                <w:rFonts w:ascii="Arial" w:hAnsi="Arial" w:cs="Arial"/>
                <w:color w:val="000000" w:themeColor="text1"/>
                <w:sz w:val="12"/>
                <w:szCs w:val="12"/>
              </w:rPr>
            </w:pPr>
          </w:p>
        </w:tc>
        <w:tc>
          <w:tcPr>
            <w:tcW w:w="5103" w:type="dxa"/>
            <w:vMerge/>
            <w:shd w:val="clear" w:color="auto" w:fill="auto"/>
          </w:tcPr>
          <w:p w14:paraId="2386F640" w14:textId="77777777" w:rsidR="00FE3E62" w:rsidRPr="00D76AF9" w:rsidRDefault="00DB76FF" w:rsidP="005C6341">
            <w:pPr>
              <w:rPr>
                <w:rFonts w:ascii="Arial" w:hAnsi="Arial" w:cs="Arial"/>
                <w:b/>
                <w:noProof/>
                <w:color w:val="000000"/>
                <w:sz w:val="16"/>
                <w:szCs w:val="16"/>
              </w:rPr>
            </w:pPr>
          </w:p>
        </w:tc>
      </w:tr>
      <w:tr w:rsidR="00676646" w14:paraId="79D1BCA8" w14:textId="77777777" w:rsidTr="00DB76FF">
        <w:trPr>
          <w:trHeight w:val="168"/>
        </w:trPr>
        <w:tc>
          <w:tcPr>
            <w:tcW w:w="4253" w:type="dxa"/>
            <w:shd w:val="clear" w:color="auto" w:fill="auto"/>
            <w:vAlign w:val="bottom"/>
          </w:tcPr>
          <w:p w14:paraId="55F4E0AB" w14:textId="77777777" w:rsidR="00FE3E62" w:rsidRPr="005D24EE" w:rsidRDefault="00DB76FF" w:rsidP="005C6341">
            <w:pPr>
              <w:rPr>
                <w:rFonts w:ascii="Arial" w:hAnsi="Arial" w:cs="Arial"/>
                <w:b/>
                <w:color w:val="000000" w:themeColor="text1"/>
                <w:sz w:val="12"/>
                <w:szCs w:val="12"/>
              </w:rPr>
            </w:pPr>
          </w:p>
        </w:tc>
        <w:tc>
          <w:tcPr>
            <w:tcW w:w="283" w:type="dxa"/>
          </w:tcPr>
          <w:p w14:paraId="2E5BF024" w14:textId="77777777" w:rsidR="00FE3E62" w:rsidRPr="00DF0910" w:rsidRDefault="00DB76FF" w:rsidP="005C6341">
            <w:pPr>
              <w:rPr>
                <w:rFonts w:ascii="Arial" w:hAnsi="Arial" w:cs="Arial"/>
                <w:color w:val="000000" w:themeColor="text1"/>
                <w:sz w:val="12"/>
                <w:szCs w:val="12"/>
              </w:rPr>
            </w:pPr>
          </w:p>
        </w:tc>
        <w:tc>
          <w:tcPr>
            <w:tcW w:w="5103" w:type="dxa"/>
            <w:vMerge/>
            <w:shd w:val="clear" w:color="auto" w:fill="auto"/>
          </w:tcPr>
          <w:p w14:paraId="18185DC3" w14:textId="77777777" w:rsidR="00FE3E62" w:rsidRPr="00D76AF9" w:rsidRDefault="00DB76FF" w:rsidP="005C6341">
            <w:pPr>
              <w:rPr>
                <w:rFonts w:ascii="Arial" w:hAnsi="Arial" w:cs="Arial"/>
                <w:b/>
                <w:noProof/>
                <w:color w:val="000000"/>
                <w:sz w:val="16"/>
                <w:szCs w:val="16"/>
              </w:rPr>
            </w:pPr>
          </w:p>
        </w:tc>
      </w:tr>
    </w:tbl>
    <w:p w14:paraId="208CCA41" w14:textId="77777777" w:rsidR="00402017" w:rsidRPr="00426B3C" w:rsidRDefault="00DB76FF"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5437F16F" w14:textId="77777777" w:rsidR="00EE0139" w:rsidRDefault="00DB76FF">
      <w:pPr>
        <w:rPr>
          <w:u w:val="single"/>
        </w:rPr>
      </w:pPr>
    </w:p>
    <w:p w14:paraId="013616A8" w14:textId="73FFCD5C" w:rsidR="00D20995" w:rsidRPr="00D221EB" w:rsidRDefault="00DB76FF"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r>
        <w:rPr>
          <w:rFonts w:ascii="Arial" w:hAnsi="Arial"/>
          <w:noProof/>
          <w:sz w:val="16"/>
        </w:rPr>
        <mc:AlternateContent>
          <mc:Choice Requires="wps">
            <w:drawing>
              <wp:anchor distT="0" distB="0" distL="114300" distR="114300" simplePos="0" relativeHeight="251659264" behindDoc="0" locked="0" layoutInCell="1" allowOverlap="1" wp14:anchorId="37763DC1" wp14:editId="4E2BEE5A">
                <wp:simplePos x="0" y="0"/>
                <wp:positionH relativeFrom="column">
                  <wp:posOffset>0</wp:posOffset>
                </wp:positionH>
                <wp:positionV relativeFrom="paragraph">
                  <wp:posOffset>-635</wp:posOffset>
                </wp:positionV>
                <wp:extent cx="59817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98170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34C0B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5pt" to="47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"/>
            </w:pict>
          </mc:Fallback>
        </mc:AlternateContent>
      </w:r>
    </w:p>
    <w:tbl>
      <w:tblPr>
        <w:tblW w:w="0" w:type="auto"/>
        <w:tblLayout w:type="fixed"/>
        <w:tblCellMar>
          <w:left w:w="0" w:type="dxa"/>
          <w:right w:w="0" w:type="dxa"/>
        </w:tblCellMar>
        <w:tblLook w:val="0000" w:firstRow="0" w:lastRow="0" w:firstColumn="0" w:lastColumn="0" w:noHBand="0" w:noVBand="0"/>
      </w:tblPr>
      <w:tblGrid>
        <w:gridCol w:w="4394"/>
        <w:gridCol w:w="568"/>
        <w:gridCol w:w="4393"/>
      </w:tblGrid>
      <w:tr w:rsidR="00676646" w14:paraId="30325A85" w14:textId="77777777" w:rsidTr="00374D4E">
        <w:tc>
          <w:tcPr>
            <w:tcW w:w="4394" w:type="dxa"/>
          </w:tcPr>
          <w:p w14:paraId="130FCAA7" w14:textId="2D53CF97" w:rsidR="00614E61" w:rsidRDefault="00056FB6" w:rsidP="00050DF7">
            <w:pPr>
              <w:pStyle w:val="Ttulo11"/>
              <w:spacing w:before="240"/>
              <w:rPr>
                <w:rFonts w:ascii="Times New Roman" w:hAnsi="Times New Roman"/>
                <w:sz w:val="24"/>
              </w:rPr>
            </w:pPr>
            <w:r>
              <w:rPr>
                <w:rFonts w:ascii="Times New Roman" w:hAnsi="Times New Roman"/>
                <w:noProof/>
                <w:sz w:val="24"/>
              </w:rPr>
              <w:t>FORU AGINDUA</w:t>
            </w:r>
            <w:r w:rsidR="00DB76FF">
              <w:rPr>
                <w:rFonts w:ascii="Times New Roman" w:hAnsi="Times New Roman"/>
                <w:noProof/>
                <w:sz w:val="24"/>
              </w:rPr>
              <w:t xml:space="preserve"> 2020/88, ekainaren 1a</w:t>
            </w:r>
          </w:p>
        </w:tc>
        <w:tc>
          <w:tcPr>
            <w:tcW w:w="568" w:type="dxa"/>
          </w:tcPr>
          <w:p w14:paraId="5FDE352B" w14:textId="77777777" w:rsidR="00614E61" w:rsidRDefault="00DB76FF">
            <w:pPr>
              <w:pStyle w:val="Normal0"/>
              <w:spacing w:before="240" w:after="480"/>
              <w:rPr>
                <w:sz w:val="24"/>
              </w:rPr>
            </w:pPr>
          </w:p>
        </w:tc>
        <w:tc>
          <w:tcPr>
            <w:tcW w:w="4393" w:type="dxa"/>
          </w:tcPr>
          <w:p w14:paraId="6AAAA96B" w14:textId="255E4595" w:rsidR="00614E61" w:rsidRDefault="00056FB6" w:rsidP="00050DF7">
            <w:pPr>
              <w:pStyle w:val="Normal0"/>
              <w:spacing w:before="240" w:after="480"/>
              <w:rPr>
                <w:sz w:val="24"/>
              </w:rPr>
            </w:pPr>
            <w:r>
              <w:rPr>
                <w:b/>
                <w:noProof/>
                <w:sz w:val="24"/>
              </w:rPr>
              <w:t>ORDEN FORAL</w:t>
            </w:r>
            <w:r w:rsidR="00DB76FF">
              <w:rPr>
                <w:b/>
                <w:noProof/>
                <w:sz w:val="24"/>
              </w:rPr>
              <w:t xml:space="preserve"> 88/2020, 1 de junio</w:t>
            </w:r>
          </w:p>
        </w:tc>
      </w:tr>
      <w:tr w:rsidR="00676646" w14:paraId="202F998D" w14:textId="77777777" w:rsidTr="00374D4E">
        <w:tc>
          <w:tcPr>
            <w:tcW w:w="4394" w:type="dxa"/>
          </w:tcPr>
          <w:p w14:paraId="16C76255" w14:textId="77777777" w:rsidR="00614E61" w:rsidRDefault="00056FB6" w:rsidP="00B86AC4">
            <w:pPr>
              <w:pStyle w:val="Normal0"/>
              <w:rPr>
                <w:sz w:val="22"/>
              </w:rPr>
            </w:pPr>
            <w:r>
              <w:rPr>
                <w:sz w:val="22"/>
              </w:rPr>
              <w:t>Kultura eta Kirol Saila</w:t>
            </w:r>
            <w:r>
              <w:rPr>
                <w:sz w:val="22"/>
              </w:rPr>
              <w:br/>
            </w:r>
            <w:r>
              <w:rPr>
                <w:sz w:val="22"/>
                <w:szCs w:val="22"/>
                <w:lang w:val="eu-ES"/>
              </w:rPr>
              <w:t>Idazkaritza Teknikoaren</w:t>
            </w:r>
            <w:r w:rsidRPr="00DA7F14">
              <w:rPr>
                <w:sz w:val="22"/>
                <w:szCs w:val="22"/>
                <w:lang w:val="eu-ES"/>
              </w:rPr>
              <w:t xml:space="preserve"> Zerbitzua</w:t>
            </w:r>
            <w:r>
              <w:rPr>
                <w:noProof/>
                <w:sz w:val="22"/>
              </w:rPr>
              <w:br/>
              <w:t>Esp.</w:t>
            </w:r>
            <w:r>
              <w:rPr>
                <w:sz w:val="22"/>
              </w:rPr>
              <w:t xml:space="preserve"> </w:t>
            </w:r>
            <w:r>
              <w:rPr>
                <w:noProof/>
                <w:sz w:val="22"/>
              </w:rPr>
              <w:t>Zk.:</w:t>
            </w:r>
            <w:r>
              <w:rPr>
                <w:sz w:val="22"/>
              </w:rPr>
              <w:t xml:space="preserve"> INFOPU-2020/00009</w:t>
            </w:r>
          </w:p>
          <w:p w14:paraId="7A140B53" w14:textId="77777777" w:rsidR="00B86AC4" w:rsidRDefault="00DB76FF" w:rsidP="00B86AC4">
            <w:pPr>
              <w:pStyle w:val="Normal0"/>
              <w:ind w:left="992"/>
              <w:rPr>
                <w:sz w:val="22"/>
              </w:rPr>
            </w:pPr>
          </w:p>
        </w:tc>
        <w:tc>
          <w:tcPr>
            <w:tcW w:w="568" w:type="dxa"/>
          </w:tcPr>
          <w:p w14:paraId="6E03750C" w14:textId="77777777" w:rsidR="00614E61" w:rsidRDefault="00DB76FF">
            <w:pPr>
              <w:pStyle w:val="Normal0"/>
              <w:spacing w:after="360"/>
              <w:rPr>
                <w:sz w:val="22"/>
              </w:rPr>
            </w:pPr>
          </w:p>
        </w:tc>
        <w:tc>
          <w:tcPr>
            <w:tcW w:w="4393" w:type="dxa"/>
          </w:tcPr>
          <w:p w14:paraId="15AE3DFB" w14:textId="77777777" w:rsidR="00614E61" w:rsidRDefault="00056FB6" w:rsidP="00B86AC4">
            <w:pPr>
              <w:pStyle w:val="Normal0"/>
              <w:rPr>
                <w:noProof/>
                <w:sz w:val="22"/>
              </w:rPr>
            </w:pPr>
            <w:r>
              <w:rPr>
                <w:sz w:val="22"/>
              </w:rPr>
              <w:t>Departamento de Cultura y Deporte</w:t>
            </w:r>
            <w:r>
              <w:rPr>
                <w:sz w:val="22"/>
              </w:rPr>
              <w:br/>
            </w:r>
            <w:r>
              <w:rPr>
                <w:noProof/>
                <w:sz w:val="22"/>
              </w:rPr>
              <w:t xml:space="preserve">Servicio de Secretaría Técnica </w:t>
            </w:r>
            <w:r>
              <w:rPr>
                <w:noProof/>
                <w:sz w:val="22"/>
              </w:rPr>
              <w:br/>
              <w:t>Nº Expte.:</w:t>
            </w:r>
            <w:r>
              <w:rPr>
                <w:sz w:val="22"/>
              </w:rPr>
              <w:t xml:space="preserve"> </w:t>
            </w:r>
            <w:r>
              <w:rPr>
                <w:noProof/>
                <w:sz w:val="22"/>
              </w:rPr>
              <w:t>INFOPU-2020/00009</w:t>
            </w:r>
          </w:p>
          <w:p w14:paraId="588C79F5" w14:textId="77777777" w:rsidR="00B86AC4" w:rsidRDefault="00DB76FF" w:rsidP="00B86AC4">
            <w:pPr>
              <w:pStyle w:val="Normal0"/>
              <w:ind w:left="992"/>
              <w:rPr>
                <w:sz w:val="22"/>
              </w:rPr>
            </w:pPr>
          </w:p>
        </w:tc>
      </w:tr>
      <w:tr w:rsidR="00676646" w14:paraId="08C5C2B5" w14:textId="77777777" w:rsidTr="00374D4E">
        <w:tc>
          <w:tcPr>
            <w:tcW w:w="4394" w:type="dxa"/>
          </w:tcPr>
          <w:p w14:paraId="5D227F20" w14:textId="77777777" w:rsidR="009379DF" w:rsidRDefault="00DB76FF" w:rsidP="00F274F0">
            <w:pPr>
              <w:pStyle w:val="Normal0"/>
              <w:spacing w:after="240"/>
              <w:rPr>
                <w:b/>
                <w:sz w:val="22"/>
                <w:szCs w:val="22"/>
              </w:rPr>
            </w:pPr>
          </w:p>
          <w:p w14:paraId="0F73E4B7" w14:textId="5169D84B" w:rsidR="00614E61" w:rsidRPr="009379DF" w:rsidRDefault="00DB76FF" w:rsidP="00F274F0">
            <w:pPr>
              <w:pStyle w:val="Normal0"/>
              <w:rPr>
                <w:b/>
                <w:sz w:val="22"/>
                <w:szCs w:val="22"/>
              </w:rPr>
            </w:pPr>
            <w:proofErr w:type="spellStart"/>
            <w:r w:rsidRPr="000C1CA3">
              <w:rPr>
                <w:highlight w:val="black"/>
              </w:rPr>
              <w:t>X</w:t>
            </w:r>
            <w:r w:rsidRPr="000C1CA3">
              <w:rPr>
                <w:highlight w:val="black"/>
              </w:rPr>
              <w:t>xxxx</w:t>
            </w:r>
            <w:proofErr w:type="spellEnd"/>
            <w:r>
              <w:rPr>
                <w:b/>
                <w:sz w:val="22"/>
                <w:szCs w:val="22"/>
                <w:lang w:val="eu-ES"/>
              </w:rPr>
              <w:t xml:space="preserve">k </w:t>
            </w:r>
            <w:r w:rsidR="00056FB6" w:rsidRPr="00122A62">
              <w:rPr>
                <w:b/>
                <w:sz w:val="22"/>
                <w:szCs w:val="22"/>
                <w:lang w:val="eu-ES"/>
              </w:rPr>
              <w:t>informazio publikoa eskuratzea</w:t>
            </w:r>
          </w:p>
        </w:tc>
        <w:tc>
          <w:tcPr>
            <w:tcW w:w="568" w:type="dxa"/>
          </w:tcPr>
          <w:p w14:paraId="6C19FE25" w14:textId="77777777" w:rsidR="00614E61" w:rsidRPr="003F11EF" w:rsidRDefault="00DB76FF" w:rsidP="00F274F0">
            <w:pPr>
              <w:pStyle w:val="Normal0"/>
              <w:spacing w:after="240"/>
              <w:rPr>
                <w:b/>
                <w:sz w:val="22"/>
                <w:lang w:val="eu-ES"/>
              </w:rPr>
            </w:pPr>
          </w:p>
        </w:tc>
        <w:tc>
          <w:tcPr>
            <w:tcW w:w="4393" w:type="dxa"/>
          </w:tcPr>
          <w:p w14:paraId="3C37BE17" w14:textId="77777777" w:rsidR="00B86AC4" w:rsidRDefault="00DB76FF" w:rsidP="00F274F0">
            <w:pPr>
              <w:pStyle w:val="Normal0"/>
              <w:spacing w:after="240"/>
              <w:rPr>
                <w:b/>
                <w:sz w:val="22"/>
                <w:szCs w:val="22"/>
              </w:rPr>
            </w:pPr>
          </w:p>
          <w:p w14:paraId="41843A84" w14:textId="67A30C85" w:rsidR="003154AA" w:rsidRPr="00E52ED8" w:rsidRDefault="00056FB6" w:rsidP="00F274F0">
            <w:pPr>
              <w:pStyle w:val="Normal0"/>
              <w:spacing w:after="240"/>
              <w:rPr>
                <w:b/>
                <w:sz w:val="22"/>
                <w:szCs w:val="22"/>
              </w:rPr>
            </w:pPr>
            <w:r>
              <w:rPr>
                <w:b/>
                <w:sz w:val="22"/>
                <w:szCs w:val="22"/>
              </w:rPr>
              <w:t xml:space="preserve">Acceso a la información pública por parte </w:t>
            </w:r>
            <w:proofErr w:type="gramStart"/>
            <w:r>
              <w:rPr>
                <w:b/>
                <w:sz w:val="22"/>
                <w:szCs w:val="22"/>
              </w:rPr>
              <w:t xml:space="preserve">de  </w:t>
            </w:r>
            <w:proofErr w:type="spellStart"/>
            <w:r w:rsidR="00DB76FF" w:rsidRPr="000C1CA3">
              <w:rPr>
                <w:highlight w:val="black"/>
              </w:rPr>
              <w:t>xxxxx</w:t>
            </w:r>
            <w:proofErr w:type="spellEnd"/>
            <w:proofErr w:type="gramEnd"/>
          </w:p>
        </w:tc>
      </w:tr>
      <w:tr w:rsidR="00676646" w14:paraId="700E6C39" w14:textId="77777777" w:rsidTr="00374D4E">
        <w:tc>
          <w:tcPr>
            <w:tcW w:w="4394" w:type="dxa"/>
          </w:tcPr>
          <w:tbl>
            <w:tblPr>
              <w:tblW w:w="0" w:type="auto"/>
              <w:tblLayout w:type="fixed"/>
              <w:tblCellMar>
                <w:left w:w="0" w:type="dxa"/>
                <w:right w:w="0" w:type="dxa"/>
              </w:tblCellMar>
              <w:tblLook w:val="0000" w:firstRow="0" w:lastRow="0" w:firstColumn="0" w:lastColumn="0" w:noHBand="0" w:noVBand="0"/>
            </w:tblPr>
            <w:tblGrid>
              <w:gridCol w:w="4394"/>
            </w:tblGrid>
            <w:tr w:rsidR="00676646" w14:paraId="02FCE682" w14:textId="77777777" w:rsidTr="009379DF">
              <w:tc>
                <w:tcPr>
                  <w:tcW w:w="4394" w:type="dxa"/>
                </w:tcPr>
                <w:p w14:paraId="25CB4AAF" w14:textId="77777777" w:rsidR="009379DF" w:rsidRPr="009379DF" w:rsidRDefault="00DB76FF" w:rsidP="00F274F0">
                  <w:pPr>
                    <w:pStyle w:val="Normal0"/>
                    <w:widowControl w:val="0"/>
                    <w:spacing w:after="240"/>
                    <w:rPr>
                      <w:rFonts w:cs="Arial"/>
                      <w:snapToGrid/>
                      <w:sz w:val="22"/>
                      <w:lang w:val="eu-ES" w:bidi="or-IN"/>
                    </w:rPr>
                  </w:pPr>
                </w:p>
              </w:tc>
            </w:tr>
            <w:tr w:rsidR="00676646" w14:paraId="446D9652" w14:textId="77777777" w:rsidTr="009379DF">
              <w:tc>
                <w:tcPr>
                  <w:tcW w:w="4394" w:type="dxa"/>
                </w:tcPr>
                <w:p w14:paraId="3B23AEEB" w14:textId="5D836F7F" w:rsidR="009379DF" w:rsidRPr="00D605A5" w:rsidRDefault="00056FB6" w:rsidP="00F274F0">
                  <w:pPr>
                    <w:pStyle w:val="Normal0"/>
                    <w:widowControl w:val="0"/>
                    <w:spacing w:after="240"/>
                    <w:rPr>
                      <w:rFonts w:cs="Arial"/>
                      <w:snapToGrid/>
                      <w:sz w:val="22"/>
                      <w:lang w:val="eu-ES" w:bidi="or-IN"/>
                    </w:rPr>
                  </w:pPr>
                  <w:r w:rsidRPr="00122A62">
                    <w:rPr>
                      <w:rFonts w:cs="Arial"/>
                      <w:snapToGrid/>
                      <w:sz w:val="22"/>
                      <w:lang w:val="eu-ES" w:bidi="or-IN"/>
                    </w:rPr>
                    <w:t xml:space="preserve">Informazio publikoa eskuratzeko eskaeraren bidez (sarrera data: 2020ko otsailaren 19a), </w:t>
                  </w:r>
                  <w:proofErr w:type="spellStart"/>
                  <w:r w:rsidR="00DB76FF" w:rsidRPr="000C1CA3">
                    <w:rPr>
                      <w:highlight w:val="black"/>
                    </w:rPr>
                    <w:t>xxxxx</w:t>
                  </w:r>
                  <w:proofErr w:type="spellEnd"/>
                  <w:r w:rsidR="00DB76FF" w:rsidRPr="00122A62">
                    <w:rPr>
                      <w:rFonts w:cs="Arial"/>
                      <w:snapToGrid/>
                      <w:sz w:val="22"/>
                      <w:lang w:val="eu-ES" w:bidi="or-IN"/>
                    </w:rPr>
                    <w:t xml:space="preserve"> </w:t>
                  </w:r>
                  <w:proofErr w:type="spellStart"/>
                  <w:r w:rsidRPr="00122A62">
                    <w:rPr>
                      <w:rFonts w:cs="Arial"/>
                      <w:snapToGrid/>
                      <w:sz w:val="22"/>
                      <w:lang w:val="eu-ES" w:bidi="or-IN"/>
                    </w:rPr>
                    <w:t>Telefónica</w:t>
                  </w:r>
                  <w:proofErr w:type="spellEnd"/>
                  <w:r w:rsidRPr="00122A62">
                    <w:rPr>
                      <w:rFonts w:cs="Arial"/>
                      <w:snapToGrid/>
                      <w:sz w:val="22"/>
                      <w:lang w:val="eu-ES" w:bidi="or-IN"/>
                    </w:rPr>
                    <w:t xml:space="preserve"> </w:t>
                  </w:r>
                  <w:proofErr w:type="spellStart"/>
                  <w:r w:rsidRPr="00122A62">
                    <w:rPr>
                      <w:rFonts w:cs="Arial"/>
                      <w:snapToGrid/>
                      <w:sz w:val="22"/>
                      <w:lang w:val="eu-ES" w:bidi="or-IN"/>
                    </w:rPr>
                    <w:t>Nacional</w:t>
                  </w:r>
                  <w:proofErr w:type="spellEnd"/>
                  <w:r w:rsidRPr="00122A62">
                    <w:rPr>
                      <w:rFonts w:cs="Arial"/>
                      <w:snapToGrid/>
                      <w:sz w:val="22"/>
                      <w:lang w:val="eu-ES" w:bidi="or-IN"/>
                    </w:rPr>
                    <w:t xml:space="preserve"> de España konpainiaren eta Arabako Foru Aldundiaren arteko 1968ko maiatzaren 13ko Hitzarmena eskatu du.</w:t>
                  </w:r>
                </w:p>
                <w:p w14:paraId="62FA2EDC" w14:textId="77777777" w:rsidR="009379DF" w:rsidRPr="00D605A5" w:rsidRDefault="00056FB6" w:rsidP="00F274F0">
                  <w:pPr>
                    <w:pStyle w:val="Normal0"/>
                    <w:widowControl w:val="0"/>
                    <w:spacing w:after="240"/>
                    <w:rPr>
                      <w:rFonts w:cs="Arial"/>
                      <w:snapToGrid/>
                      <w:sz w:val="22"/>
                      <w:lang w:val="eu-ES" w:bidi="or-IN"/>
                    </w:rPr>
                  </w:pPr>
                  <w:r w:rsidRPr="00122A62">
                    <w:rPr>
                      <w:rFonts w:cs="Arial"/>
                      <w:snapToGrid/>
                      <w:sz w:val="22"/>
                      <w:lang w:val="eu-ES" w:bidi="or-IN"/>
                    </w:rPr>
                    <w:t>Gardentasunaren arloko araudiaren xedea da jarduera publikoaren gardentasuna zabaltzea eta indartzea, jarduera horri buruzko informazioa eskuratzeko eskubidea arautzea eta bermatzea, eta arduradun publikoek bete behar dituzten gobernu onaren betebeharrak eta horiek ez betetzearen ondorioak ezartzea.</w:t>
                  </w:r>
                  <w:r w:rsidRPr="00D605A5">
                    <w:rPr>
                      <w:rFonts w:cs="Arial"/>
                      <w:snapToGrid/>
                      <w:sz w:val="22"/>
                      <w:lang w:val="eu-ES" w:bidi="or-IN"/>
                    </w:rPr>
                    <w:t xml:space="preserve"> </w:t>
                  </w:r>
                  <w:r w:rsidRPr="00122A62">
                    <w:rPr>
                      <w:rFonts w:cs="Arial"/>
                      <w:snapToGrid/>
                      <w:sz w:val="22"/>
                      <w:lang w:val="eu-ES" w:bidi="or-IN"/>
                    </w:rPr>
                    <w:t>Horretarako, otsailaren 8ko 1/2017 Foru Arauaren 30. artikuluak pertsona guztiei aitortzen die "informazio publikoa" eskuratzeko eskubidea, Konstituzioaren 105.b) artikuluan aurreikusitako eta lege arau horrek garatutako baldintzetan.</w:t>
                  </w:r>
                  <w:r w:rsidRPr="00D605A5">
                    <w:rPr>
                      <w:rFonts w:cs="Arial"/>
                      <w:snapToGrid/>
                      <w:sz w:val="22"/>
                      <w:lang w:val="eu-ES" w:bidi="or-IN"/>
                    </w:rPr>
                    <w:t xml:space="preserve"> </w:t>
                  </w:r>
                  <w:r w:rsidRPr="00122A62">
                    <w:rPr>
                      <w:rFonts w:cs="Arial"/>
                      <w:snapToGrid/>
                      <w:sz w:val="22"/>
                      <w:lang w:val="eu-ES" w:bidi="or-IN"/>
                    </w:rPr>
                    <w:t>Bestalde, gardentasunari, informazio publikoa eskuratzeko bideari eta gobernu onari buruzko abenduaren 9ko 19/2013 Legeak (aurreratzean GIPEGOL) 13. artikuluan honela definitzen du "informazio publikoa": titulu honen aplikazio eremuan aipatutako subjektuen esku dauden eduki edo dokumentuak, haiek beren funtzioen jardunean egin edo eskuratu dituztenak, edozein formatu edo euskarritan daudela ere.</w:t>
                  </w:r>
                </w:p>
                <w:p w14:paraId="32E49553" w14:textId="77777777" w:rsidR="009379DF" w:rsidRPr="00D605A5" w:rsidRDefault="00056FB6" w:rsidP="00F274F0">
                  <w:pPr>
                    <w:pStyle w:val="Normal0"/>
                    <w:widowControl w:val="0"/>
                    <w:spacing w:after="240"/>
                    <w:rPr>
                      <w:rFonts w:cs="Arial"/>
                      <w:snapToGrid/>
                      <w:sz w:val="22"/>
                      <w:lang w:val="eu-ES" w:bidi="or-IN"/>
                    </w:rPr>
                  </w:pPr>
                  <w:r w:rsidRPr="00122A62">
                    <w:rPr>
                      <w:rFonts w:cs="Arial"/>
                      <w:snapToGrid/>
                      <w:sz w:val="22"/>
                      <w:lang w:val="eu-ES" w:bidi="or-IN"/>
                    </w:rPr>
                    <w:t xml:space="preserve">Aipatutako manuen arabera, GIPEGOLak informazio publikoa eskuratzeko eskubidea aitortzen eta arautzen du, informazio hori zuzentzen zaion erakundearen esku badago, dela </w:t>
                  </w:r>
                  <w:r w:rsidRPr="00122A62">
                    <w:rPr>
                      <w:rFonts w:cs="Arial"/>
                      <w:snapToGrid/>
                      <w:sz w:val="22"/>
                      <w:lang w:val="eu-ES" w:bidi="or-IN"/>
                    </w:rPr>
                    <w:lastRenderedPageBreak/>
                    <w:t>berak egin duelako, dela esleitu zaizkion eginkizunak betez eskuratu duelako, baldin eta subjektu hori legearen aplikazio eremuan sartuta badago.</w:t>
                  </w:r>
                </w:p>
                <w:p w14:paraId="06415E1C" w14:textId="77777777" w:rsidR="009379DF" w:rsidRPr="00D605A5" w:rsidRDefault="00056FB6" w:rsidP="00F274F0">
                  <w:pPr>
                    <w:pStyle w:val="Normal0"/>
                    <w:widowControl w:val="0"/>
                    <w:spacing w:after="240"/>
                    <w:rPr>
                      <w:rFonts w:cs="Arial"/>
                      <w:snapToGrid/>
                      <w:sz w:val="22"/>
                      <w:lang w:val="eu-ES" w:bidi="or-IN"/>
                    </w:rPr>
                  </w:pPr>
                  <w:r w:rsidRPr="00122A62">
                    <w:rPr>
                      <w:rFonts w:cs="Arial"/>
                      <w:snapToGrid/>
                      <w:sz w:val="22"/>
                      <w:lang w:val="eu-ES" w:bidi="or-IN"/>
                    </w:rPr>
                    <w:t>Hala ere, eskatutako dokumentuaren antzinatasuna kontuan hartuta, eskatutako dokumentazioa eskuratzeko berariazko araubide bat bete behar da, GIPEGOL eta 1/2017 Foru Arauan zehaztutakoaren desberdina, zehazki Espainiako Ondare Historikoari buruzko ekainaren 25eko 16/1985 Legearen 57. artikuluan aipatutakoa.</w:t>
                  </w:r>
                </w:p>
                <w:p w14:paraId="14C3FA31" w14:textId="77777777" w:rsidR="009379DF" w:rsidRPr="00D605A5" w:rsidRDefault="00056FB6" w:rsidP="00F274F0">
                  <w:pPr>
                    <w:pStyle w:val="Normal0"/>
                    <w:widowControl w:val="0"/>
                    <w:spacing w:after="240"/>
                    <w:rPr>
                      <w:rFonts w:cs="Arial"/>
                      <w:snapToGrid/>
                      <w:sz w:val="22"/>
                      <w:lang w:val="eu-ES" w:bidi="or-IN"/>
                    </w:rPr>
                  </w:pPr>
                  <w:r w:rsidRPr="00122A62">
                    <w:rPr>
                      <w:rFonts w:cs="Arial"/>
                      <w:snapToGrid/>
                      <w:sz w:val="22"/>
                      <w:lang w:val="eu-ES" w:bidi="or-IN"/>
                    </w:rPr>
                    <w:t>Hori dela eta, aurretik adierazitakoa alde batera utzi gabe, GIPEGOLaren bigarren xedapen gehigarriaren edukia gogoratu behar da, honako hau ezartzen baitu: "Beren araudi espezifikoaren arabera arautuko dira, eta lege hau osagarri izango da, informazioa eskuratzeko araubide juridiko espezifikoa aurreikusita duten gaiak".</w:t>
                  </w:r>
                </w:p>
                <w:p w14:paraId="3D61EF1C" w14:textId="77777777" w:rsidR="009379DF" w:rsidRPr="00D605A5" w:rsidRDefault="00056FB6" w:rsidP="00F274F0">
                  <w:pPr>
                    <w:pStyle w:val="Normal0"/>
                    <w:widowControl w:val="0"/>
                    <w:spacing w:after="240"/>
                    <w:rPr>
                      <w:rFonts w:cs="Arial"/>
                      <w:snapToGrid/>
                      <w:sz w:val="22"/>
                      <w:lang w:val="eu-ES" w:bidi="or-IN"/>
                    </w:rPr>
                  </w:pPr>
                  <w:r w:rsidRPr="00122A62">
                    <w:rPr>
                      <w:rFonts w:cs="Arial"/>
                      <w:snapToGrid/>
                      <w:sz w:val="22"/>
                      <w:lang w:val="eu-ES" w:bidi="or-IN"/>
                    </w:rPr>
                    <w:t>Azaldutakoa ikusita, egiaztatuta geratu da GIPEGOLaren lehen xedapen gehigarrian jasotako baldintzak betetzen direla, informazioa eskuratzeko araubide juridiko espezifiko bati lotutako gaia den aldetik.</w:t>
                  </w:r>
                  <w:r w:rsidRPr="00D605A5">
                    <w:rPr>
                      <w:rFonts w:cs="Arial"/>
                      <w:snapToGrid/>
                      <w:sz w:val="22"/>
                      <w:lang w:val="eu-ES" w:bidi="or-IN"/>
                    </w:rPr>
                    <w:t xml:space="preserve">  </w:t>
                  </w:r>
                  <w:r w:rsidRPr="00122A62">
                    <w:rPr>
                      <w:rFonts w:cs="Arial"/>
                      <w:snapToGrid/>
                      <w:sz w:val="22"/>
                      <w:lang w:val="eu-ES" w:bidi="or-IN"/>
                    </w:rPr>
                    <w:t>.</w:t>
                  </w:r>
                </w:p>
                <w:p w14:paraId="711EDFAF" w14:textId="77777777" w:rsidR="009379DF" w:rsidRPr="009379DF" w:rsidRDefault="00056FB6" w:rsidP="00F274F0">
                  <w:pPr>
                    <w:pStyle w:val="Textoindependiente1"/>
                    <w:jc w:val="left"/>
                    <w:rPr>
                      <w:rFonts w:cs="Arial"/>
                      <w:snapToGrid/>
                      <w:sz w:val="22"/>
                      <w:lang w:val="eu-ES" w:bidi="or-IN"/>
                    </w:rPr>
                  </w:pPr>
                  <w:r w:rsidRPr="009379DF">
                    <w:rPr>
                      <w:rFonts w:cs="Arial"/>
                      <w:snapToGrid/>
                      <w:sz w:val="22"/>
                      <w:lang w:val="eu-ES" w:bidi="or-IN"/>
                    </w:rPr>
                    <w:t>Horregatik, eta dagozkidan ahalmenak erabiliz, hau</w:t>
                  </w:r>
                </w:p>
                <w:p w14:paraId="48782699" w14:textId="77777777" w:rsidR="009379DF" w:rsidRPr="009379DF" w:rsidRDefault="00DB76FF" w:rsidP="00F274F0">
                  <w:pPr>
                    <w:pStyle w:val="Normal0"/>
                    <w:rPr>
                      <w:rFonts w:cs="Arial"/>
                      <w:snapToGrid/>
                      <w:sz w:val="22"/>
                      <w:lang w:val="eu-ES" w:bidi="or-IN"/>
                    </w:rPr>
                  </w:pPr>
                </w:p>
              </w:tc>
            </w:tr>
          </w:tbl>
          <w:p w14:paraId="3B2CA05B" w14:textId="77777777" w:rsidR="00F510DE" w:rsidRPr="00F510DE" w:rsidRDefault="00DB76FF" w:rsidP="00F274F0">
            <w:pPr>
              <w:pStyle w:val="Normal0"/>
              <w:rPr>
                <w:sz w:val="22"/>
                <w:szCs w:val="22"/>
              </w:rPr>
            </w:pPr>
          </w:p>
        </w:tc>
        <w:tc>
          <w:tcPr>
            <w:tcW w:w="568" w:type="dxa"/>
          </w:tcPr>
          <w:p w14:paraId="3A10915C" w14:textId="77777777" w:rsidR="00614E61" w:rsidRPr="00B64A47" w:rsidRDefault="00DB76FF" w:rsidP="00F274F0">
            <w:pPr>
              <w:pStyle w:val="Normal0"/>
              <w:widowControl w:val="0"/>
              <w:rPr>
                <w:sz w:val="22"/>
                <w:lang w:val="eu-ES"/>
              </w:rPr>
            </w:pPr>
          </w:p>
        </w:tc>
        <w:tc>
          <w:tcPr>
            <w:tcW w:w="4393" w:type="dxa"/>
          </w:tcPr>
          <w:p w14:paraId="28A54925" w14:textId="77777777" w:rsidR="005861BB" w:rsidRDefault="00DB76FF" w:rsidP="00F274F0">
            <w:pPr>
              <w:pStyle w:val="Normal0"/>
              <w:widowControl w:val="0"/>
              <w:spacing w:after="240"/>
              <w:rPr>
                <w:rFonts w:cs="Arial"/>
                <w:snapToGrid/>
                <w:sz w:val="22"/>
                <w:lang w:val="eu-ES" w:bidi="or-IN"/>
              </w:rPr>
            </w:pPr>
          </w:p>
          <w:p w14:paraId="67F3D84C" w14:textId="7636D917" w:rsidR="00D605A5" w:rsidRPr="00D605A5" w:rsidRDefault="00056FB6" w:rsidP="00F274F0">
            <w:pPr>
              <w:pStyle w:val="Normal0"/>
              <w:widowControl w:val="0"/>
              <w:spacing w:after="240"/>
              <w:rPr>
                <w:rFonts w:cs="Arial"/>
                <w:snapToGrid/>
                <w:sz w:val="22"/>
                <w:lang w:val="eu-ES" w:bidi="or-IN"/>
              </w:rPr>
            </w:pPr>
            <w:r w:rsidRPr="00D605A5">
              <w:rPr>
                <w:rFonts w:cs="Arial"/>
                <w:snapToGrid/>
                <w:sz w:val="22"/>
                <w:lang w:val="eu-ES" w:bidi="or-IN"/>
              </w:rPr>
              <w:t xml:space="preserve">Mediante </w:t>
            </w:r>
            <w:proofErr w:type="spellStart"/>
            <w:r w:rsidRPr="00D605A5">
              <w:rPr>
                <w:rFonts w:cs="Arial"/>
                <w:snapToGrid/>
                <w:sz w:val="22"/>
                <w:lang w:val="eu-ES" w:bidi="or-IN"/>
              </w:rPr>
              <w:t>solicitud</w:t>
            </w:r>
            <w:proofErr w:type="spellEnd"/>
            <w:r w:rsidRPr="00D605A5">
              <w:rPr>
                <w:rFonts w:cs="Arial"/>
                <w:snapToGrid/>
                <w:sz w:val="22"/>
                <w:lang w:val="eu-ES" w:bidi="or-IN"/>
              </w:rPr>
              <w:t xml:space="preserve"> de </w:t>
            </w:r>
            <w:proofErr w:type="spellStart"/>
            <w:r w:rsidRPr="00D605A5">
              <w:rPr>
                <w:rFonts w:cs="Arial"/>
                <w:snapToGrid/>
                <w:sz w:val="22"/>
                <w:lang w:val="eu-ES" w:bidi="or-IN"/>
              </w:rPr>
              <w:t>acceso</w:t>
            </w:r>
            <w:proofErr w:type="spellEnd"/>
            <w:r w:rsidRPr="00D605A5">
              <w:rPr>
                <w:rFonts w:cs="Arial"/>
                <w:snapToGrid/>
                <w:sz w:val="22"/>
                <w:lang w:val="eu-ES" w:bidi="or-IN"/>
              </w:rPr>
              <w:t xml:space="preserve"> a </w:t>
            </w:r>
            <w:proofErr w:type="spellStart"/>
            <w:r w:rsidRPr="00D605A5">
              <w:rPr>
                <w:rFonts w:cs="Arial"/>
                <w:snapToGrid/>
                <w:sz w:val="22"/>
                <w:lang w:val="eu-ES" w:bidi="or-IN"/>
              </w:rPr>
              <w:t>información</w:t>
            </w:r>
            <w:proofErr w:type="spellEnd"/>
            <w:r w:rsidRPr="00D605A5">
              <w:rPr>
                <w:rFonts w:cs="Arial"/>
                <w:snapToGrid/>
                <w:sz w:val="22"/>
                <w:lang w:val="eu-ES" w:bidi="or-IN"/>
              </w:rPr>
              <w:t xml:space="preserve"> pública, </w:t>
            </w:r>
            <w:proofErr w:type="spellStart"/>
            <w:r w:rsidRPr="00D605A5">
              <w:rPr>
                <w:rFonts w:cs="Arial"/>
                <w:snapToGrid/>
                <w:sz w:val="22"/>
                <w:lang w:val="eu-ES" w:bidi="or-IN"/>
              </w:rPr>
              <w:t>con</w:t>
            </w:r>
            <w:proofErr w:type="spellEnd"/>
            <w:r w:rsidRPr="00D605A5">
              <w:rPr>
                <w:rFonts w:cs="Arial"/>
                <w:snapToGrid/>
                <w:sz w:val="22"/>
                <w:lang w:val="eu-ES" w:bidi="or-IN"/>
              </w:rPr>
              <w:t xml:space="preserve"> </w:t>
            </w:r>
            <w:proofErr w:type="spellStart"/>
            <w:r w:rsidRPr="00D605A5">
              <w:rPr>
                <w:rFonts w:cs="Arial"/>
                <w:snapToGrid/>
                <w:sz w:val="22"/>
                <w:lang w:val="eu-ES" w:bidi="or-IN"/>
              </w:rPr>
              <w:t>fecha</w:t>
            </w:r>
            <w:proofErr w:type="spellEnd"/>
            <w:r w:rsidRPr="00D605A5">
              <w:rPr>
                <w:rFonts w:cs="Arial"/>
                <w:snapToGrid/>
                <w:sz w:val="22"/>
                <w:lang w:val="eu-ES" w:bidi="or-IN"/>
              </w:rPr>
              <w:t xml:space="preserve"> de </w:t>
            </w:r>
            <w:proofErr w:type="spellStart"/>
            <w:r w:rsidRPr="00D605A5">
              <w:rPr>
                <w:rFonts w:cs="Arial"/>
                <w:snapToGrid/>
                <w:sz w:val="22"/>
                <w:lang w:val="eu-ES" w:bidi="or-IN"/>
              </w:rPr>
              <w:t>entrada</w:t>
            </w:r>
            <w:proofErr w:type="spellEnd"/>
            <w:r w:rsidRPr="00D605A5">
              <w:rPr>
                <w:rFonts w:cs="Arial"/>
                <w:snapToGrid/>
                <w:sz w:val="22"/>
                <w:lang w:val="eu-ES" w:bidi="or-IN"/>
              </w:rPr>
              <w:t xml:space="preserve"> el 19 de </w:t>
            </w:r>
            <w:proofErr w:type="spellStart"/>
            <w:r w:rsidRPr="00D605A5">
              <w:rPr>
                <w:rFonts w:cs="Arial"/>
                <w:snapToGrid/>
                <w:sz w:val="22"/>
                <w:lang w:val="eu-ES" w:bidi="or-IN"/>
              </w:rPr>
              <w:t>febrero</w:t>
            </w:r>
            <w:proofErr w:type="spellEnd"/>
            <w:r w:rsidRPr="00D605A5">
              <w:rPr>
                <w:rFonts w:cs="Arial"/>
                <w:snapToGrid/>
                <w:sz w:val="22"/>
                <w:lang w:val="eu-ES" w:bidi="or-IN"/>
              </w:rPr>
              <w:t xml:space="preserve"> de 2020, </w:t>
            </w:r>
            <w:r w:rsidR="00DB76FF">
              <w:rPr>
                <w:rFonts w:cs="Arial"/>
                <w:snapToGrid/>
                <w:sz w:val="22"/>
                <w:lang w:val="eu-ES" w:bidi="or-IN"/>
              </w:rPr>
              <w:t xml:space="preserve"> </w:t>
            </w:r>
            <w:proofErr w:type="spellStart"/>
            <w:r w:rsidR="00DB76FF" w:rsidRPr="000C1CA3">
              <w:rPr>
                <w:highlight w:val="black"/>
              </w:rPr>
              <w:t>xxxxx</w:t>
            </w:r>
            <w:proofErr w:type="spellEnd"/>
            <w:r w:rsidR="00DB76FF" w:rsidRPr="00D605A5">
              <w:rPr>
                <w:rFonts w:cs="Arial"/>
                <w:snapToGrid/>
                <w:sz w:val="22"/>
                <w:lang w:val="eu-ES" w:bidi="or-IN"/>
              </w:rPr>
              <w:t xml:space="preserve"> </w:t>
            </w:r>
            <w:proofErr w:type="spellStart"/>
            <w:r w:rsidRPr="00D605A5">
              <w:rPr>
                <w:rFonts w:cs="Arial"/>
                <w:snapToGrid/>
                <w:sz w:val="22"/>
                <w:lang w:val="eu-ES" w:bidi="or-IN"/>
              </w:rPr>
              <w:t>requiere</w:t>
            </w:r>
            <w:proofErr w:type="spellEnd"/>
            <w:r w:rsidRPr="00D605A5">
              <w:rPr>
                <w:rFonts w:cs="Arial"/>
                <w:snapToGrid/>
                <w:sz w:val="22"/>
                <w:lang w:val="eu-ES" w:bidi="or-IN"/>
              </w:rPr>
              <w:t xml:space="preserve"> el </w:t>
            </w:r>
            <w:proofErr w:type="spellStart"/>
            <w:r w:rsidRPr="00D605A5">
              <w:rPr>
                <w:rFonts w:cs="Arial"/>
                <w:snapToGrid/>
                <w:sz w:val="22"/>
                <w:lang w:val="eu-ES" w:bidi="or-IN"/>
              </w:rPr>
              <w:t>Convenio</w:t>
            </w:r>
            <w:proofErr w:type="spellEnd"/>
            <w:r w:rsidRPr="00D605A5">
              <w:rPr>
                <w:rFonts w:cs="Arial"/>
                <w:snapToGrid/>
                <w:sz w:val="22"/>
                <w:lang w:val="eu-ES" w:bidi="or-IN"/>
              </w:rPr>
              <w:t xml:space="preserve"> </w:t>
            </w:r>
            <w:proofErr w:type="spellStart"/>
            <w:r w:rsidRPr="00D605A5">
              <w:rPr>
                <w:rFonts w:cs="Arial"/>
                <w:snapToGrid/>
                <w:sz w:val="22"/>
                <w:lang w:val="eu-ES" w:bidi="or-IN"/>
              </w:rPr>
              <w:t>entre</w:t>
            </w:r>
            <w:proofErr w:type="spellEnd"/>
            <w:r w:rsidRPr="00D605A5">
              <w:rPr>
                <w:rFonts w:cs="Arial"/>
                <w:snapToGrid/>
                <w:sz w:val="22"/>
                <w:lang w:val="eu-ES" w:bidi="or-IN"/>
              </w:rPr>
              <w:t xml:space="preserve"> la Compañía Telefónica Nacional de España y la Excelentísima Diputación Foral de Álava de 13 de mayo de 1968.</w:t>
            </w:r>
          </w:p>
          <w:p w14:paraId="10BDBCDF" w14:textId="77777777" w:rsidR="00D605A5" w:rsidRPr="00D605A5" w:rsidRDefault="00056FB6" w:rsidP="00F274F0">
            <w:pPr>
              <w:pStyle w:val="Normal0"/>
              <w:widowControl w:val="0"/>
              <w:spacing w:after="240"/>
              <w:rPr>
                <w:rFonts w:cs="Arial"/>
                <w:snapToGrid/>
                <w:sz w:val="22"/>
                <w:lang w:val="eu-ES" w:bidi="or-IN"/>
              </w:rPr>
            </w:pPr>
            <w:r w:rsidRPr="00D605A5">
              <w:rPr>
                <w:rFonts w:cs="Arial"/>
                <w:snapToGrid/>
                <w:sz w:val="22"/>
                <w:lang w:val="eu-ES" w:bidi="or-IN"/>
              </w:rPr>
              <w:t xml:space="preserve">La </w:t>
            </w:r>
            <w:proofErr w:type="spellStart"/>
            <w:r w:rsidRPr="00D605A5">
              <w:rPr>
                <w:rFonts w:cs="Arial"/>
                <w:snapToGrid/>
                <w:sz w:val="22"/>
                <w:lang w:val="eu-ES" w:bidi="or-IN"/>
              </w:rPr>
              <w:t>normativa</w:t>
            </w:r>
            <w:proofErr w:type="spellEnd"/>
            <w:r w:rsidRPr="00D605A5">
              <w:rPr>
                <w:rFonts w:cs="Arial"/>
                <w:snapToGrid/>
                <w:sz w:val="22"/>
                <w:lang w:val="eu-ES" w:bidi="or-IN"/>
              </w:rPr>
              <w:t xml:space="preserve"> </w:t>
            </w:r>
            <w:proofErr w:type="spellStart"/>
            <w:r w:rsidRPr="00D605A5">
              <w:rPr>
                <w:rFonts w:cs="Arial"/>
                <w:snapToGrid/>
                <w:sz w:val="22"/>
                <w:lang w:val="eu-ES" w:bidi="or-IN"/>
              </w:rPr>
              <w:t>en</w:t>
            </w:r>
            <w:proofErr w:type="spellEnd"/>
            <w:r w:rsidRPr="00D605A5">
              <w:rPr>
                <w:rFonts w:cs="Arial"/>
                <w:snapToGrid/>
                <w:sz w:val="22"/>
                <w:lang w:val="eu-ES" w:bidi="or-IN"/>
              </w:rPr>
              <w:t xml:space="preserve"> materia de transparencia tiene por objeto ampliar y reforzar la transparencia de la actividad pública, regular y garantizar el derecho de acceso a la información relativa a aquella actividad y establecer las obligaciones de buen gobierno que deben cumplir los responsables públicos así como las consecuencias derivadas de su incumplimiento. A estos efectos, el artículo 30 de la Norma Foral 1/2017, de 8 de febrero, reconoce el derecho de todas las personas a acceder a la “información pública”, en los términos previstos en el artículo 105.b) de la Constitución y desarrollados por dicha norma legal. Por su parte, en el artículo 13 de la Ley 19/2013, de 9 de diciembre, de transparencia, acceso a la información pública y buen gobierno (en adelante LTAIBG) se define la “información pública” como “los contenidos o documentos, cualquiera que sea su formato o soporte, que obren en poder de alguno de los sujetos incluidos en el ámbito de aplicación de este título y que hayan sido elaborados o adquiridos en el ejercicio de sus funciones”.</w:t>
            </w:r>
          </w:p>
          <w:p w14:paraId="5A0361A5" w14:textId="77777777" w:rsidR="00D605A5" w:rsidRPr="00D605A5" w:rsidRDefault="00056FB6" w:rsidP="00F274F0">
            <w:pPr>
              <w:pStyle w:val="Normal0"/>
              <w:widowControl w:val="0"/>
              <w:spacing w:after="240"/>
              <w:rPr>
                <w:rFonts w:cs="Arial"/>
                <w:snapToGrid/>
                <w:sz w:val="22"/>
                <w:lang w:val="eu-ES" w:bidi="or-IN"/>
              </w:rPr>
            </w:pPr>
            <w:r w:rsidRPr="00D605A5">
              <w:rPr>
                <w:rFonts w:cs="Arial"/>
                <w:snapToGrid/>
                <w:sz w:val="22"/>
                <w:lang w:val="eu-ES" w:bidi="or-IN"/>
              </w:rPr>
              <w:t xml:space="preserve">En </w:t>
            </w:r>
            <w:proofErr w:type="spellStart"/>
            <w:r w:rsidRPr="00D605A5">
              <w:rPr>
                <w:rFonts w:cs="Arial"/>
                <w:snapToGrid/>
                <w:sz w:val="22"/>
                <w:lang w:val="eu-ES" w:bidi="or-IN"/>
              </w:rPr>
              <w:t>función</w:t>
            </w:r>
            <w:proofErr w:type="spellEnd"/>
            <w:r w:rsidRPr="00D605A5">
              <w:rPr>
                <w:rFonts w:cs="Arial"/>
                <w:snapToGrid/>
                <w:sz w:val="22"/>
                <w:lang w:val="eu-ES" w:bidi="or-IN"/>
              </w:rPr>
              <w:t xml:space="preserve"> de los preceptos mencionados, la </w:t>
            </w:r>
            <w:r w:rsidRPr="00D605A5">
              <w:rPr>
                <w:rFonts w:cs="Arial"/>
                <w:snapToGrid/>
                <w:sz w:val="22"/>
                <w:lang w:val="eu-ES" w:bidi="or-IN"/>
              </w:rPr>
              <w:lastRenderedPageBreak/>
              <w:t>LTAIBG reconoce y regula el derecho a acceder a información pública que esté en posesión del organismo al que se dirige, bien porque él mismo la ha elaborado, bien porque la ha obtenido en el ejercicio de las funciones que tiene encomendadas con el requisito de que se trate de un sujeto incluido en el ámbito de aplicación de la propia Ley.</w:t>
            </w:r>
          </w:p>
          <w:p w14:paraId="4EC5DE58" w14:textId="77777777" w:rsidR="00D605A5" w:rsidRPr="00D605A5" w:rsidRDefault="00056FB6" w:rsidP="00F274F0">
            <w:pPr>
              <w:pStyle w:val="Normal0"/>
              <w:widowControl w:val="0"/>
              <w:spacing w:after="240"/>
              <w:rPr>
                <w:rFonts w:cs="Arial"/>
                <w:snapToGrid/>
                <w:sz w:val="22"/>
                <w:lang w:val="eu-ES" w:bidi="or-IN"/>
              </w:rPr>
            </w:pPr>
            <w:r w:rsidRPr="00D605A5">
              <w:rPr>
                <w:rFonts w:cs="Arial"/>
                <w:snapToGrid/>
                <w:sz w:val="22"/>
                <w:lang w:val="eu-ES" w:bidi="or-IN"/>
              </w:rPr>
              <w:t>Ahora bien, atendiendo a la antigüedad del documento solicitado, el acceso a la documentación solicitada se encuentra sujeta a un régimen específico de acceso, distinto al de la LTAIBG y de la Norma Foral 1/2017, concretamente al referido en el artículo 57 de la Ley 16/1985, de 25 de junio, del Patrimonio Histórico Español.</w:t>
            </w:r>
          </w:p>
          <w:p w14:paraId="17EFA2EC" w14:textId="77777777" w:rsidR="00D605A5" w:rsidRPr="00D605A5" w:rsidRDefault="00056FB6" w:rsidP="00F274F0">
            <w:pPr>
              <w:pStyle w:val="Normal0"/>
              <w:widowControl w:val="0"/>
              <w:spacing w:after="240"/>
              <w:rPr>
                <w:rFonts w:cs="Arial"/>
                <w:snapToGrid/>
                <w:sz w:val="22"/>
                <w:lang w:val="eu-ES" w:bidi="or-IN"/>
              </w:rPr>
            </w:pPr>
            <w:r w:rsidRPr="00D605A5">
              <w:rPr>
                <w:rFonts w:cs="Arial"/>
                <w:snapToGrid/>
                <w:sz w:val="22"/>
                <w:lang w:val="eu-ES" w:bidi="or-IN"/>
              </w:rPr>
              <w:t>Es por ello que, sin perjuicio de lo señalado anteriormente, debe recordarse el contenido de la disposición adicional segunda de la LTAIBG, que establece que “se regirán por su normativa específica, y por esta Ley con carácter supletorio, aquellas materias que tengan previsto un régimen jurídico específico de acceso a la información”.</w:t>
            </w:r>
          </w:p>
          <w:p w14:paraId="5F4A001D" w14:textId="77777777" w:rsidR="00D605A5" w:rsidRPr="00D605A5" w:rsidRDefault="00056FB6" w:rsidP="00F274F0">
            <w:pPr>
              <w:pStyle w:val="Normal0"/>
              <w:widowControl w:val="0"/>
              <w:spacing w:after="240"/>
              <w:rPr>
                <w:rFonts w:cs="Arial"/>
                <w:snapToGrid/>
                <w:sz w:val="22"/>
                <w:lang w:val="eu-ES" w:bidi="or-IN"/>
              </w:rPr>
            </w:pPr>
            <w:r w:rsidRPr="00D605A5">
              <w:rPr>
                <w:rFonts w:cs="Arial"/>
                <w:snapToGrid/>
                <w:sz w:val="22"/>
                <w:lang w:val="eu-ES" w:bidi="or-IN"/>
              </w:rPr>
              <w:t xml:space="preserve">A la vista de lo anteriormente expuesto queda acreditado que se dan las condiciones recogidas en la disposición adicional primera, de la LTAIBG, en la medida en que se trata de una materia sujeta a un régimen jurídico específico de acceso a la información.  </w:t>
            </w:r>
          </w:p>
          <w:p w14:paraId="34F34435" w14:textId="77777777" w:rsidR="00614E61" w:rsidRDefault="00056FB6" w:rsidP="00F274F0">
            <w:pPr>
              <w:pStyle w:val="Textoindependiente1"/>
              <w:jc w:val="left"/>
              <w:rPr>
                <w:sz w:val="22"/>
              </w:rPr>
            </w:pPr>
            <w:r w:rsidRPr="00050DF7">
              <w:rPr>
                <w:sz w:val="22"/>
              </w:rPr>
              <w:t xml:space="preserve">En su virtud, </w:t>
            </w:r>
            <w:r>
              <w:rPr>
                <w:sz w:val="22"/>
              </w:rPr>
              <w:t>haciendo uso</w:t>
            </w:r>
            <w:r w:rsidRPr="00050DF7">
              <w:rPr>
                <w:sz w:val="22"/>
              </w:rPr>
              <w:t xml:space="preserve"> de las facultades que me competen,</w:t>
            </w:r>
          </w:p>
          <w:p w14:paraId="738C7FC4" w14:textId="77777777" w:rsidR="00A30AEF" w:rsidRDefault="00DB76FF" w:rsidP="00F274F0">
            <w:pPr>
              <w:pStyle w:val="Textoindependiente1"/>
              <w:jc w:val="left"/>
              <w:rPr>
                <w:sz w:val="22"/>
              </w:rPr>
            </w:pPr>
          </w:p>
        </w:tc>
      </w:tr>
      <w:tr w:rsidR="00676646" w14:paraId="7B413258" w14:textId="77777777" w:rsidTr="00374D4E">
        <w:tc>
          <w:tcPr>
            <w:tcW w:w="4394" w:type="dxa"/>
          </w:tcPr>
          <w:p w14:paraId="745AC7CE" w14:textId="77777777" w:rsidR="00614E61" w:rsidRDefault="00056FB6" w:rsidP="009B002F">
            <w:pPr>
              <w:pStyle w:val="Normal0"/>
              <w:spacing w:before="240" w:after="360"/>
              <w:jc w:val="center"/>
              <w:rPr>
                <w:b/>
                <w:sz w:val="22"/>
              </w:rPr>
            </w:pPr>
            <w:r w:rsidRPr="00D07991">
              <w:rPr>
                <w:b/>
                <w:sz w:val="22"/>
              </w:rPr>
              <w:lastRenderedPageBreak/>
              <w:t>XEDATZEN DUT</w:t>
            </w:r>
          </w:p>
        </w:tc>
        <w:tc>
          <w:tcPr>
            <w:tcW w:w="568" w:type="dxa"/>
          </w:tcPr>
          <w:p w14:paraId="59B028D7" w14:textId="77777777" w:rsidR="00614E61" w:rsidRDefault="00DB76FF">
            <w:pPr>
              <w:pStyle w:val="Normal0"/>
              <w:spacing w:before="240" w:after="360"/>
              <w:jc w:val="center"/>
              <w:rPr>
                <w:b/>
                <w:sz w:val="22"/>
              </w:rPr>
            </w:pPr>
          </w:p>
        </w:tc>
        <w:tc>
          <w:tcPr>
            <w:tcW w:w="4393" w:type="dxa"/>
          </w:tcPr>
          <w:p w14:paraId="561B9573" w14:textId="77777777" w:rsidR="00614E61" w:rsidRDefault="00056FB6" w:rsidP="009B002F">
            <w:pPr>
              <w:pStyle w:val="Normal0"/>
              <w:spacing w:before="240" w:after="360"/>
              <w:jc w:val="center"/>
              <w:rPr>
                <w:b/>
                <w:sz w:val="22"/>
              </w:rPr>
            </w:pPr>
            <w:r>
              <w:rPr>
                <w:b/>
                <w:noProof/>
                <w:sz w:val="22"/>
              </w:rPr>
              <w:t>DISPONGO</w:t>
            </w:r>
          </w:p>
        </w:tc>
      </w:tr>
      <w:tr w:rsidR="00676646" w14:paraId="2579E358" w14:textId="77777777" w:rsidTr="00374D4E">
        <w:tc>
          <w:tcPr>
            <w:tcW w:w="4394" w:type="dxa"/>
          </w:tcPr>
          <w:p w14:paraId="0F354472" w14:textId="77777777" w:rsidR="009379DF" w:rsidRPr="00D605A5" w:rsidRDefault="00056FB6" w:rsidP="005861BB">
            <w:pPr>
              <w:pStyle w:val="Normal0"/>
              <w:widowControl w:val="0"/>
              <w:spacing w:after="240"/>
              <w:rPr>
                <w:rFonts w:cs="Arial"/>
                <w:snapToGrid/>
                <w:sz w:val="22"/>
                <w:lang w:val="eu-ES" w:bidi="or-IN"/>
              </w:rPr>
            </w:pPr>
            <w:r w:rsidRPr="00122A62">
              <w:rPr>
                <w:rFonts w:cs="Arial"/>
                <w:snapToGrid/>
                <w:sz w:val="22"/>
                <w:lang w:val="eu-ES" w:bidi="or-IN"/>
              </w:rPr>
              <w:t>Lehenengoa.</w:t>
            </w:r>
            <w:r w:rsidRPr="00D605A5">
              <w:rPr>
                <w:rFonts w:cs="Arial"/>
                <w:snapToGrid/>
                <w:sz w:val="22"/>
                <w:lang w:val="eu-ES" w:bidi="or-IN"/>
              </w:rPr>
              <w:t xml:space="preserve"> </w:t>
            </w:r>
            <w:r w:rsidRPr="00122A62">
              <w:rPr>
                <w:rFonts w:cs="Arial"/>
                <w:snapToGrid/>
                <w:sz w:val="22"/>
                <w:lang w:val="eu-ES" w:bidi="or-IN"/>
              </w:rPr>
              <w:t>Aurkeztutako eskaera EZESTEA, aplikatzekoa delako gardentasunari, informazio publikoa eskuratzeko bideari eta gobernu onari buruzko abenduaren 9ko 19/2013 Legearen lehen xedapen gehigarrian xedatutakoa.</w:t>
            </w:r>
          </w:p>
          <w:p w14:paraId="098F813D" w14:textId="77777777" w:rsidR="009379DF" w:rsidRPr="00D605A5" w:rsidRDefault="00056FB6" w:rsidP="005861BB">
            <w:pPr>
              <w:pStyle w:val="Normal0"/>
              <w:widowControl w:val="0"/>
              <w:spacing w:after="240"/>
              <w:rPr>
                <w:rFonts w:cs="Arial"/>
                <w:snapToGrid/>
                <w:sz w:val="22"/>
                <w:lang w:val="eu-ES" w:bidi="or-IN"/>
              </w:rPr>
            </w:pPr>
            <w:r>
              <w:rPr>
                <w:rFonts w:cs="Arial"/>
                <w:snapToGrid/>
                <w:sz w:val="22"/>
                <w:lang w:val="eu-ES" w:bidi="or-IN"/>
              </w:rPr>
              <w:t>Bi</w:t>
            </w:r>
            <w:r w:rsidRPr="00122A62">
              <w:rPr>
                <w:rFonts w:cs="Arial"/>
                <w:snapToGrid/>
                <w:sz w:val="22"/>
                <w:lang w:val="eu-ES" w:bidi="or-IN"/>
              </w:rPr>
              <w:t>garrena.</w:t>
            </w:r>
            <w:r>
              <w:rPr>
                <w:rFonts w:cs="Arial"/>
                <w:snapToGrid/>
                <w:sz w:val="22"/>
                <w:lang w:val="eu-ES" w:bidi="or-IN"/>
              </w:rPr>
              <w:t xml:space="preserve"> </w:t>
            </w:r>
            <w:r w:rsidRPr="00122A62">
              <w:rPr>
                <w:rFonts w:cs="Arial"/>
                <w:snapToGrid/>
                <w:sz w:val="22"/>
                <w:lang w:val="eu-ES" w:bidi="or-IN"/>
              </w:rPr>
              <w:t xml:space="preserve">Ebazpen honek amaiera ematen dio administrazio bideari, eta, haren aurka, administrazioarekiko auzi errekurtsoa aurkez daiteke Gasteizko Administrazioarekiko Auzien Epaitegian, bi hilabeteko epean, edo, bestela, erreklamazioa aurkez dakioke, aldez aurretik eta aukeran, Gardentasunaren eta Gobernu Onaren Foru Kontseiluari, hilabeteko epean. Bi kasuetan, ebazpena jakinarazi eta hurrengo egunetik aurrera </w:t>
            </w:r>
            <w:r w:rsidRPr="00122A62">
              <w:rPr>
                <w:rFonts w:cs="Arial"/>
                <w:snapToGrid/>
                <w:sz w:val="22"/>
                <w:lang w:val="eu-ES" w:bidi="or-IN"/>
              </w:rPr>
              <w:lastRenderedPageBreak/>
              <w:t>hasiko da epea kontatzen.</w:t>
            </w:r>
          </w:p>
          <w:p w14:paraId="615DC0FF" w14:textId="77777777" w:rsidR="00F510DE" w:rsidRPr="00F510DE" w:rsidRDefault="00DB76FF" w:rsidP="005861BB">
            <w:pPr>
              <w:pStyle w:val="Normal0"/>
              <w:rPr>
                <w:sz w:val="22"/>
                <w:szCs w:val="22"/>
                <w:lang w:val="eu-ES"/>
              </w:rPr>
            </w:pPr>
          </w:p>
        </w:tc>
        <w:tc>
          <w:tcPr>
            <w:tcW w:w="568" w:type="dxa"/>
          </w:tcPr>
          <w:p w14:paraId="64C1ED8C" w14:textId="77777777" w:rsidR="00614E61" w:rsidRPr="007D3E73" w:rsidRDefault="00DB76FF" w:rsidP="005861BB">
            <w:pPr>
              <w:pStyle w:val="Normal0"/>
              <w:widowControl w:val="0"/>
              <w:rPr>
                <w:sz w:val="22"/>
                <w:lang w:val="eu-ES"/>
              </w:rPr>
            </w:pPr>
          </w:p>
        </w:tc>
        <w:tc>
          <w:tcPr>
            <w:tcW w:w="4393" w:type="dxa"/>
          </w:tcPr>
          <w:p w14:paraId="7EC2F7CF" w14:textId="77777777" w:rsidR="00D605A5" w:rsidRPr="00D605A5" w:rsidRDefault="00056FB6" w:rsidP="005861BB">
            <w:pPr>
              <w:pStyle w:val="Normal0"/>
              <w:widowControl w:val="0"/>
              <w:spacing w:after="240"/>
              <w:rPr>
                <w:rFonts w:cs="Arial"/>
                <w:snapToGrid/>
                <w:sz w:val="22"/>
                <w:lang w:val="eu-ES" w:bidi="or-IN"/>
              </w:rPr>
            </w:pPr>
            <w:r w:rsidRPr="00D605A5">
              <w:rPr>
                <w:rFonts w:cs="Arial"/>
                <w:snapToGrid/>
                <w:sz w:val="22"/>
                <w:lang w:val="eu-ES" w:bidi="or-IN"/>
              </w:rPr>
              <w:t>Primero. INADMITIR la solicitud presentada por resultar aplicable lo dispuesto en la disposición adicional primera de la Ley 19/2013, de 9 de diciembre, de transparencia, acceso a la información pública y buen gobierno.</w:t>
            </w:r>
          </w:p>
          <w:p w14:paraId="18A9CC3E" w14:textId="77777777" w:rsidR="00D605A5" w:rsidRPr="00D605A5" w:rsidRDefault="00056FB6" w:rsidP="005861BB">
            <w:pPr>
              <w:pStyle w:val="Normal0"/>
              <w:widowControl w:val="0"/>
              <w:spacing w:after="240"/>
              <w:rPr>
                <w:rFonts w:cs="Arial"/>
                <w:snapToGrid/>
                <w:sz w:val="22"/>
                <w:lang w:val="eu-ES" w:bidi="or-IN"/>
              </w:rPr>
            </w:pPr>
            <w:r>
              <w:rPr>
                <w:rFonts w:cs="Arial"/>
                <w:snapToGrid/>
                <w:sz w:val="22"/>
                <w:lang w:val="eu-ES" w:bidi="or-IN"/>
              </w:rPr>
              <w:t>Segundo</w:t>
            </w:r>
            <w:r w:rsidRPr="00D605A5">
              <w:rPr>
                <w:rFonts w:cs="Arial"/>
                <w:snapToGrid/>
                <w:sz w:val="22"/>
                <w:lang w:val="eu-ES" w:bidi="or-IN"/>
              </w:rPr>
              <w:t xml:space="preserve">.  Contra la presente resolución, que pone fin a la vía administrativa, podrá interponerse recurso contencioso-administrativo ante los juzgados de lo contencioso administrativo de Vitoria-Gasteiz en el plazo de dos meses o, previa y potestativamente, reclamación ante el Consejo de Gobierno Foral de Transparencia y Buen Gobierno en el plazo de un mes; en ambos casos, el plazo se contará desde el día siguiente al de la notificación de la </w:t>
            </w:r>
            <w:r w:rsidRPr="00D605A5">
              <w:rPr>
                <w:rFonts w:cs="Arial"/>
                <w:snapToGrid/>
                <w:sz w:val="22"/>
                <w:lang w:val="eu-ES" w:bidi="or-IN"/>
              </w:rPr>
              <w:lastRenderedPageBreak/>
              <w:t>presente resolución.</w:t>
            </w:r>
          </w:p>
          <w:p w14:paraId="450D2CBB" w14:textId="77777777" w:rsidR="00374D4E" w:rsidRPr="00D605A5" w:rsidRDefault="00DB76FF" w:rsidP="005861BB">
            <w:pPr>
              <w:pStyle w:val="Normal0"/>
              <w:tabs>
                <w:tab w:val="left" w:pos="993"/>
              </w:tabs>
              <w:rPr>
                <w:sz w:val="22"/>
                <w:lang w:val="eu-ES"/>
              </w:rPr>
            </w:pPr>
          </w:p>
        </w:tc>
      </w:tr>
      <w:tr w:rsidR="00676646" w14:paraId="49725D9D" w14:textId="77777777" w:rsidTr="00374D4E">
        <w:tc>
          <w:tcPr>
            <w:tcW w:w="4394" w:type="dxa"/>
          </w:tcPr>
          <w:p w14:paraId="50135F8A" w14:textId="77777777" w:rsidR="00614E61" w:rsidRDefault="00056FB6">
            <w:pPr>
              <w:pStyle w:val="Normal0"/>
              <w:spacing w:before="120"/>
              <w:jc w:val="both"/>
              <w:rPr>
                <w:sz w:val="22"/>
              </w:rPr>
            </w:pPr>
            <w:r>
              <w:rPr>
                <w:noProof/>
                <w:sz w:val="22"/>
              </w:rPr>
              <w:lastRenderedPageBreak/>
              <w:t>Vitoria-Gasteiz,</w:t>
            </w:r>
          </w:p>
        </w:tc>
        <w:tc>
          <w:tcPr>
            <w:tcW w:w="568" w:type="dxa"/>
          </w:tcPr>
          <w:p w14:paraId="1245104B" w14:textId="77777777" w:rsidR="00614E61" w:rsidRDefault="00DB76FF">
            <w:pPr>
              <w:pStyle w:val="Normal0"/>
              <w:spacing w:before="120"/>
              <w:jc w:val="both"/>
              <w:rPr>
                <w:sz w:val="22"/>
              </w:rPr>
            </w:pPr>
          </w:p>
        </w:tc>
        <w:tc>
          <w:tcPr>
            <w:tcW w:w="4393" w:type="dxa"/>
          </w:tcPr>
          <w:p w14:paraId="7E8EDAF1" w14:textId="77777777" w:rsidR="00614E61" w:rsidRDefault="00DB76FF">
            <w:pPr>
              <w:pStyle w:val="Normal0"/>
              <w:spacing w:before="120"/>
              <w:jc w:val="both"/>
              <w:rPr>
                <w:sz w:val="22"/>
              </w:rPr>
            </w:pPr>
          </w:p>
        </w:tc>
      </w:tr>
      <w:tr w:rsidR="00676646" w14:paraId="23ED8623" w14:textId="77777777" w:rsidTr="00374D4E">
        <w:trPr>
          <w:trHeight w:val="4670"/>
        </w:trPr>
        <w:tc>
          <w:tcPr>
            <w:tcW w:w="4394" w:type="dxa"/>
          </w:tcPr>
          <w:p w14:paraId="437E38DC" w14:textId="77777777" w:rsidR="00374D4E" w:rsidRDefault="00DB76FF" w:rsidP="005E6056">
            <w:pPr>
              <w:pStyle w:val="Normal0"/>
              <w:tabs>
                <w:tab w:val="right" w:pos="8789"/>
              </w:tabs>
              <w:spacing w:before="1560" w:after="60" w:line="240" w:lineRule="exact"/>
              <w:rPr>
                <w:b/>
                <w:noProof/>
                <w:sz w:val="22"/>
              </w:rPr>
            </w:pPr>
          </w:p>
          <w:p w14:paraId="5C582E2E" w14:textId="77777777" w:rsidR="00050DF7" w:rsidRDefault="00056FB6" w:rsidP="005E6056">
            <w:pPr>
              <w:pStyle w:val="Normal0"/>
              <w:tabs>
                <w:tab w:val="right" w:pos="8789"/>
              </w:tabs>
              <w:spacing w:before="1560" w:after="60" w:line="240" w:lineRule="exact"/>
              <w:rPr>
                <w:b/>
                <w:sz w:val="22"/>
              </w:rPr>
            </w:pPr>
            <w:r>
              <w:rPr>
                <w:b/>
                <w:noProof/>
                <w:sz w:val="22"/>
              </w:rPr>
              <w:t>Ana del Val Sancho</w:t>
            </w:r>
          </w:p>
          <w:p w14:paraId="3DF087E2" w14:textId="77777777" w:rsidR="00050DF7" w:rsidRDefault="00056FB6" w:rsidP="005E6056">
            <w:pPr>
              <w:pStyle w:val="Normal0"/>
              <w:tabs>
                <w:tab w:val="right" w:pos="8789"/>
              </w:tabs>
              <w:spacing w:after="20" w:line="240" w:lineRule="exact"/>
              <w:rPr>
                <w:sz w:val="22"/>
              </w:rPr>
            </w:pPr>
            <w:r>
              <w:rPr>
                <w:noProof/>
                <w:sz w:val="22"/>
              </w:rPr>
              <w:t>Kultura eta Kirol saileko foru diputatua</w:t>
            </w:r>
            <w:r>
              <w:rPr>
                <w:sz w:val="22"/>
              </w:rPr>
              <w:t xml:space="preserve"> </w:t>
            </w:r>
          </w:p>
          <w:p w14:paraId="4F99B587" w14:textId="77777777" w:rsidR="00614E61" w:rsidRDefault="00056FB6" w:rsidP="00374D4E">
            <w:pPr>
              <w:pStyle w:val="Normal0"/>
              <w:tabs>
                <w:tab w:val="right" w:pos="8789"/>
              </w:tabs>
              <w:spacing w:after="20" w:line="240" w:lineRule="exact"/>
              <w:rPr>
                <w:b/>
                <w:sz w:val="22"/>
              </w:rPr>
            </w:pPr>
            <w:r>
              <w:rPr>
                <w:noProof/>
                <w:sz w:val="22"/>
              </w:rPr>
              <w:t>Diputada foral de Cultura y Deporte</w:t>
            </w:r>
          </w:p>
        </w:tc>
        <w:tc>
          <w:tcPr>
            <w:tcW w:w="568" w:type="dxa"/>
          </w:tcPr>
          <w:p w14:paraId="56D5E05F" w14:textId="77777777" w:rsidR="00614E61" w:rsidRDefault="00DB76FF" w:rsidP="005E6056">
            <w:pPr>
              <w:pStyle w:val="Normal0"/>
              <w:spacing w:before="1560"/>
              <w:rPr>
                <w:sz w:val="22"/>
              </w:rPr>
            </w:pPr>
          </w:p>
        </w:tc>
        <w:tc>
          <w:tcPr>
            <w:tcW w:w="4393" w:type="dxa"/>
          </w:tcPr>
          <w:p w14:paraId="660D7EAA" w14:textId="77777777" w:rsidR="00374D4E" w:rsidRDefault="00DB76FF" w:rsidP="005E6056">
            <w:pPr>
              <w:pStyle w:val="Normal0"/>
              <w:tabs>
                <w:tab w:val="right" w:pos="8789"/>
              </w:tabs>
              <w:spacing w:before="1560" w:after="60" w:line="240" w:lineRule="exact"/>
              <w:rPr>
                <w:b/>
                <w:noProof/>
                <w:sz w:val="22"/>
              </w:rPr>
            </w:pPr>
          </w:p>
          <w:p w14:paraId="2EC13E03" w14:textId="77777777" w:rsidR="00050DF7" w:rsidRDefault="00056FB6" w:rsidP="005E6056">
            <w:pPr>
              <w:pStyle w:val="Normal0"/>
              <w:tabs>
                <w:tab w:val="right" w:pos="8789"/>
              </w:tabs>
              <w:spacing w:before="1560" w:after="60" w:line="240" w:lineRule="exact"/>
              <w:rPr>
                <w:b/>
                <w:sz w:val="22"/>
              </w:rPr>
            </w:pPr>
            <w:r>
              <w:rPr>
                <w:b/>
                <w:noProof/>
                <w:sz w:val="22"/>
              </w:rPr>
              <w:t>María Inmaculada Sánchez Arbe</w:t>
            </w:r>
          </w:p>
          <w:p w14:paraId="4674D567" w14:textId="77777777" w:rsidR="00374D4E" w:rsidRDefault="00056FB6" w:rsidP="005E6056">
            <w:pPr>
              <w:pStyle w:val="Normal0"/>
              <w:tabs>
                <w:tab w:val="right" w:pos="8789"/>
              </w:tabs>
              <w:spacing w:after="20" w:line="240" w:lineRule="exact"/>
              <w:rPr>
                <w:noProof/>
                <w:sz w:val="22"/>
              </w:rPr>
            </w:pPr>
            <w:r>
              <w:rPr>
                <w:noProof/>
                <w:sz w:val="22"/>
              </w:rPr>
              <w:t>Kultura zuzendari</w:t>
            </w:r>
            <w:r w:rsidRPr="00374D4E">
              <w:rPr>
                <w:noProof/>
                <w:sz w:val="22"/>
              </w:rPr>
              <w:t xml:space="preserve">a </w:t>
            </w:r>
          </w:p>
          <w:p w14:paraId="0B2BA1DE" w14:textId="77777777" w:rsidR="00614E61" w:rsidRDefault="00056FB6" w:rsidP="00D605A5">
            <w:pPr>
              <w:pStyle w:val="Normal0"/>
              <w:tabs>
                <w:tab w:val="right" w:pos="8789"/>
              </w:tabs>
              <w:spacing w:after="20" w:line="240" w:lineRule="exact"/>
              <w:rPr>
                <w:sz w:val="22"/>
              </w:rPr>
            </w:pPr>
            <w:r>
              <w:rPr>
                <w:noProof/>
                <w:sz w:val="22"/>
              </w:rPr>
              <w:t>Directora de Cultura</w:t>
            </w:r>
          </w:p>
        </w:tc>
      </w:tr>
      <w:bookmarkEnd w:id="0"/>
    </w:tbl>
    <w:p w14:paraId="6A3FA0F0" w14:textId="77777777" w:rsidR="00E47DB3" w:rsidRPr="008C7888" w:rsidRDefault="00DB76FF" w:rsidP="008D43A8">
      <w:pPr>
        <w:pStyle w:val="Textoindependiente"/>
        <w:spacing w:after="0"/>
        <w:rPr>
          <w:rFonts w:cs="Arial"/>
          <w:sz w:val="16"/>
          <w:szCs w:val="16"/>
        </w:rPr>
      </w:pPr>
    </w:p>
    <w:sectPr w:rsidR="00E47DB3" w:rsidRPr="008C7888"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DB6F" w14:textId="77777777" w:rsidR="00056FB6" w:rsidRDefault="00056FB6">
      <w:r>
        <w:separator/>
      </w:r>
    </w:p>
  </w:endnote>
  <w:endnote w:type="continuationSeparator" w:id="0">
    <w:p w14:paraId="13B431A9" w14:textId="77777777" w:rsidR="00056FB6" w:rsidRDefault="0005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676646" w14:paraId="7E774177" w14:textId="77777777" w:rsidTr="00E47DB3">
      <w:trPr>
        <w:trHeight w:val="567"/>
      </w:trPr>
      <w:tc>
        <w:tcPr>
          <w:tcW w:w="9921" w:type="dxa"/>
        </w:tcPr>
        <w:p w14:paraId="138C0A63" w14:textId="77777777" w:rsidR="00007960" w:rsidRPr="00E47DB3" w:rsidRDefault="00056FB6"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00685313">
            <w:rPr>
              <w:rFonts w:ascii="Arial" w:hAnsi="Arial" w:cs="Arial"/>
              <w:noProof/>
              <w:color w:val="808080"/>
              <w:sz w:val="16"/>
            </w:rPr>
            <w:t>2</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00685313">
            <w:rPr>
              <w:rFonts w:ascii="Arial" w:hAnsi="Arial" w:cs="Arial"/>
              <w:noProof/>
              <w:color w:val="808080"/>
              <w:sz w:val="16"/>
            </w:rPr>
            <w:t>3</w:t>
          </w:r>
          <w:r w:rsidRPr="00E47DB3">
            <w:rPr>
              <w:rFonts w:ascii="Arial" w:hAnsi="Arial" w:cs="Arial"/>
              <w:color w:val="808080"/>
              <w:sz w:val="16"/>
            </w:rPr>
            <w:fldChar w:fldCharType="end"/>
          </w:r>
        </w:p>
      </w:tc>
    </w:tr>
  </w:tbl>
  <w:p w14:paraId="401779B3" w14:textId="77777777" w:rsidR="00007960" w:rsidRDefault="00DB76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769E" w14:textId="77777777" w:rsidR="00BE3C89" w:rsidRPr="0013291F" w:rsidRDefault="00056FB6"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676646" w14:paraId="41E9D67D" w14:textId="77777777" w:rsidTr="005C6341">
      <w:trPr>
        <w:trHeight w:val="433"/>
      </w:trPr>
      <w:tc>
        <w:tcPr>
          <w:tcW w:w="4323" w:type="dxa"/>
        </w:tcPr>
        <w:p w14:paraId="0D3D510A" w14:textId="0177B818" w:rsidR="00BE3C89" w:rsidRPr="0013291F" w:rsidRDefault="00DB76FF" w:rsidP="005C6341">
          <w:pPr>
            <w:pStyle w:val="Textoindependiente"/>
            <w:spacing w:after="113" w:line="220" w:lineRule="exact"/>
            <w:ind w:left="11"/>
            <w:jc w:val="left"/>
            <w:rPr>
              <w:rFonts w:cs="Arial"/>
              <w:sz w:val="16"/>
              <w:szCs w:val="16"/>
            </w:rPr>
          </w:pPr>
        </w:p>
      </w:tc>
      <w:tc>
        <w:tcPr>
          <w:tcW w:w="3118" w:type="dxa"/>
        </w:tcPr>
        <w:p w14:paraId="22D72E31" w14:textId="504EFE1E" w:rsidR="00BE3C89" w:rsidRPr="0013291F" w:rsidRDefault="00DB76FF" w:rsidP="005C6341">
          <w:pPr>
            <w:pStyle w:val="Textoindependiente"/>
            <w:spacing w:before="20" w:after="70" w:line="200" w:lineRule="exact"/>
            <w:ind w:left="40"/>
            <w:jc w:val="left"/>
            <w:rPr>
              <w:rFonts w:cs="Arial"/>
              <w:sz w:val="16"/>
              <w:szCs w:val="16"/>
            </w:rPr>
          </w:pPr>
        </w:p>
      </w:tc>
      <w:tc>
        <w:tcPr>
          <w:tcW w:w="2268" w:type="dxa"/>
        </w:tcPr>
        <w:p w14:paraId="43F8FC0A" w14:textId="0C706E95" w:rsidR="00BE3C89" w:rsidRPr="0013291F" w:rsidRDefault="00DB76FF" w:rsidP="005C6341">
          <w:pPr>
            <w:pStyle w:val="Piedepgina"/>
            <w:spacing w:after="2" w:line="220" w:lineRule="exact"/>
            <w:ind w:left="40"/>
            <w:rPr>
              <w:rFonts w:ascii="Arial" w:hAnsi="Arial" w:cs="Arial"/>
              <w:sz w:val="22"/>
            </w:rPr>
          </w:pPr>
        </w:p>
      </w:tc>
    </w:tr>
  </w:tbl>
  <w:p w14:paraId="42D63E7F" w14:textId="77777777" w:rsidR="00007960" w:rsidRPr="00BE3C89" w:rsidRDefault="00DB76FF"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082E" w14:textId="77777777" w:rsidR="00056FB6" w:rsidRDefault="00056FB6">
      <w:r>
        <w:separator/>
      </w:r>
    </w:p>
  </w:footnote>
  <w:footnote w:type="continuationSeparator" w:id="0">
    <w:p w14:paraId="13EFC696" w14:textId="77777777" w:rsidR="00056FB6" w:rsidRDefault="0005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676646" w14:paraId="25129DB3" w14:textId="77777777" w:rsidTr="001A0E0E">
      <w:trPr>
        <w:cantSplit/>
        <w:trHeight w:hRule="exact" w:val="567"/>
      </w:trPr>
      <w:tc>
        <w:tcPr>
          <w:tcW w:w="4536" w:type="dxa"/>
          <w:vAlign w:val="center"/>
        </w:tcPr>
        <w:p w14:paraId="2CBDA15B" w14:textId="77777777" w:rsidR="00007960" w:rsidRDefault="00DB76FF" w:rsidP="0078412B">
          <w:pPr>
            <w:pStyle w:val="Encabezado"/>
          </w:pPr>
        </w:p>
      </w:tc>
      <w:tc>
        <w:tcPr>
          <w:tcW w:w="851" w:type="dxa"/>
          <w:vMerge w:val="restart"/>
          <w:vAlign w:val="center"/>
        </w:tcPr>
        <w:p w14:paraId="01E3FC01" w14:textId="77777777" w:rsidR="00007960" w:rsidRDefault="00056FB6" w:rsidP="0078412B">
          <w:pPr>
            <w:pStyle w:val="Encabezado"/>
            <w:jc w:val="center"/>
          </w:pPr>
          <w:r>
            <w:rPr>
              <w:noProof/>
              <w:lang w:val="es-ES"/>
            </w:rPr>
            <w:drawing>
              <wp:inline distT="0" distB="0" distL="0" distR="0" wp14:anchorId="219413B0" wp14:editId="48C3FCBC">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2247519C" w14:textId="77777777" w:rsidR="00007960" w:rsidRDefault="00DB76FF" w:rsidP="0078412B">
          <w:pPr>
            <w:pStyle w:val="Encabezado"/>
          </w:pPr>
        </w:p>
      </w:tc>
    </w:tr>
    <w:tr w:rsidR="00676646" w14:paraId="700ABE8E" w14:textId="77777777" w:rsidTr="001A0E0E">
      <w:trPr>
        <w:cantSplit/>
        <w:trHeight w:hRule="exact" w:val="567"/>
      </w:trPr>
      <w:tc>
        <w:tcPr>
          <w:tcW w:w="4536" w:type="dxa"/>
          <w:vAlign w:val="center"/>
        </w:tcPr>
        <w:p w14:paraId="5638A635" w14:textId="77777777" w:rsidR="00007960" w:rsidRDefault="00DB76FF" w:rsidP="0078412B">
          <w:pPr>
            <w:pStyle w:val="Encabezado"/>
          </w:pPr>
        </w:p>
      </w:tc>
      <w:tc>
        <w:tcPr>
          <w:tcW w:w="851" w:type="dxa"/>
          <w:vMerge/>
          <w:vAlign w:val="center"/>
        </w:tcPr>
        <w:p w14:paraId="564D1259" w14:textId="77777777" w:rsidR="00007960" w:rsidRDefault="00DB76FF" w:rsidP="0078412B">
          <w:pPr>
            <w:pStyle w:val="Encabezado"/>
            <w:jc w:val="center"/>
          </w:pPr>
        </w:p>
      </w:tc>
      <w:tc>
        <w:tcPr>
          <w:tcW w:w="4536" w:type="dxa"/>
          <w:vAlign w:val="center"/>
        </w:tcPr>
        <w:p w14:paraId="65C5CB07" w14:textId="77777777" w:rsidR="00007960" w:rsidRDefault="00DB76FF" w:rsidP="0078412B">
          <w:pPr>
            <w:pStyle w:val="Encabezado"/>
          </w:pPr>
        </w:p>
      </w:tc>
    </w:tr>
  </w:tbl>
  <w:p w14:paraId="673D46D1" w14:textId="77777777" w:rsidR="00007960" w:rsidRPr="0013766D" w:rsidRDefault="00DB76FF">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676646" w14:paraId="504BC3B1" w14:textId="77777777" w:rsidTr="001F2BE9">
      <w:trPr>
        <w:trHeight w:val="2041"/>
      </w:trPr>
      <w:tc>
        <w:tcPr>
          <w:tcW w:w="3969" w:type="dxa"/>
        </w:tcPr>
        <w:p w14:paraId="4C38786C" w14:textId="77777777" w:rsidR="00007960" w:rsidRPr="007F2571" w:rsidRDefault="00056FB6"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21C3A22C" wp14:editId="69313EB5">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2D709370" w14:textId="77777777" w:rsidR="00007960" w:rsidRDefault="00DB76FF" w:rsidP="00470015">
          <w:pPr>
            <w:pStyle w:val="Piedepgina"/>
            <w:rPr>
              <w:rFonts w:ascii="Arial" w:hAnsi="Arial" w:cs="Arial"/>
              <w:b/>
              <w:bCs/>
              <w:color w:val="808080" w:themeColor="background1" w:themeShade="80"/>
              <w:sz w:val="12"/>
              <w:szCs w:val="12"/>
              <w:lang w:val="es-ES"/>
            </w:rPr>
          </w:pPr>
        </w:p>
        <w:p w14:paraId="52D4FF1C" w14:textId="77777777" w:rsidR="00007960" w:rsidRPr="000B6392" w:rsidRDefault="00DB76FF" w:rsidP="00470015">
          <w:pPr>
            <w:pStyle w:val="Encabezado"/>
            <w:rPr>
              <w:rFonts w:ascii="Arial" w:hAnsi="Arial" w:cs="Arial"/>
              <w:b/>
              <w:color w:val="808080" w:themeColor="background1" w:themeShade="80"/>
              <w:sz w:val="16"/>
              <w:szCs w:val="16"/>
            </w:rPr>
          </w:pPr>
        </w:p>
      </w:tc>
    </w:tr>
  </w:tbl>
  <w:p w14:paraId="059F3412" w14:textId="77777777" w:rsidR="00007960" w:rsidRPr="0013766D" w:rsidRDefault="00DB76FF"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46"/>
    <w:rsid w:val="00056FB6"/>
    <w:rsid w:val="00676646"/>
    <w:rsid w:val="00685313"/>
    <w:rsid w:val="00DB76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E79AE"/>
  <w15:docId w15:val="{50A9463A-93FE-4D71-92AF-19C658AB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Ttulo11">
    <w:name w:val="Título 11"/>
    <w:basedOn w:val="Normal0"/>
    <w:next w:val="Normal0"/>
    <w:qFormat/>
    <w:pPr>
      <w:keepNext/>
      <w:spacing w:after="480"/>
      <w:outlineLvl w:val="0"/>
    </w:pPr>
    <w:rPr>
      <w:rFonts w:ascii="Arial" w:hAnsi="Arial"/>
      <w:b/>
      <w:sz w:val="22"/>
    </w:rPr>
  </w:style>
  <w:style w:type="paragraph" w:customStyle="1" w:styleId="Normal0">
    <w:name w:val="Normal_0"/>
    <w:qFormat/>
    <w:rPr>
      <w:rFonts w:ascii="Times New Roman" w:hAnsi="Times New Roman"/>
      <w:snapToGrid w:val="0"/>
      <w:lang w:val="es-ES_tradnl"/>
    </w:rPr>
  </w:style>
  <w:style w:type="paragraph" w:customStyle="1" w:styleId="Textoindependiente1">
    <w:name w:val="Texto independiente1"/>
    <w:basedOn w:val="Normal0"/>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D04F0-9E08-4BDB-925C-04B5A383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3</TotalTime>
  <Pages>3</Pages>
  <Words>1072</Words>
  <Characters>5901</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Orobengoa San Vicente, Galder</cp:lastModifiedBy>
  <cp:revision>2</cp:revision>
  <cp:lastPrinted>2015-02-16T14:04:00Z</cp:lastPrinted>
  <dcterms:created xsi:type="dcterms:W3CDTF">2022-11-04T08:46:00Z</dcterms:created>
  <dcterms:modified xsi:type="dcterms:W3CDTF">2022-11-04T08:46:00Z</dcterms:modified>
</cp:coreProperties>
</file>