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39"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5103"/>
      </w:tblGrid>
      <w:tr w:rsidR="00DA2A14" w14:paraId="507AA39A" w14:textId="77777777" w:rsidTr="00AC7C1E">
        <w:trPr>
          <w:trHeight w:val="168"/>
        </w:trPr>
        <w:tc>
          <w:tcPr>
            <w:tcW w:w="4253" w:type="dxa"/>
            <w:shd w:val="clear" w:color="auto" w:fill="auto"/>
            <w:vAlign w:val="bottom"/>
          </w:tcPr>
          <w:p w14:paraId="62B769A1" w14:textId="77777777" w:rsidR="00EE0139" w:rsidRPr="005D24EE" w:rsidRDefault="00F2220B" w:rsidP="005C6341">
            <w:pPr>
              <w:rPr>
                <w:rFonts w:ascii="Arial" w:hAnsi="Arial" w:cs="Arial"/>
                <w:b/>
                <w:color w:val="000000" w:themeColor="text1"/>
                <w:sz w:val="12"/>
                <w:szCs w:val="12"/>
              </w:rPr>
            </w:pPr>
          </w:p>
        </w:tc>
        <w:tc>
          <w:tcPr>
            <w:tcW w:w="283" w:type="dxa"/>
          </w:tcPr>
          <w:p w14:paraId="315C35CF" w14:textId="77777777" w:rsidR="00EE0139" w:rsidRPr="00DF0910" w:rsidRDefault="00F2220B" w:rsidP="005C6341">
            <w:pPr>
              <w:rPr>
                <w:rFonts w:ascii="Arial" w:hAnsi="Arial" w:cs="Arial"/>
                <w:color w:val="000000" w:themeColor="text1"/>
                <w:sz w:val="12"/>
                <w:szCs w:val="12"/>
              </w:rPr>
            </w:pPr>
          </w:p>
        </w:tc>
        <w:tc>
          <w:tcPr>
            <w:tcW w:w="5103" w:type="dxa"/>
            <w:vMerge w:val="restart"/>
            <w:shd w:val="clear" w:color="auto" w:fill="auto"/>
          </w:tcPr>
          <w:p w14:paraId="39890464" w14:textId="77777777" w:rsidR="00FF293A" w:rsidRDefault="00F2220B" w:rsidP="005C6341">
            <w:pPr>
              <w:tabs>
                <w:tab w:val="left" w:pos="0"/>
              </w:tabs>
              <w:rPr>
                <w:rFonts w:ascii="Arial" w:hAnsi="Arial" w:cs="Arial"/>
                <w:b/>
                <w:noProof/>
                <w:color w:val="000000"/>
                <w:sz w:val="16"/>
                <w:szCs w:val="16"/>
              </w:rPr>
            </w:pPr>
          </w:p>
          <w:p w14:paraId="587A4106" w14:textId="77777777" w:rsidR="00FF293A" w:rsidRDefault="00F2220B" w:rsidP="005C6341">
            <w:pPr>
              <w:tabs>
                <w:tab w:val="left" w:pos="0"/>
              </w:tabs>
              <w:rPr>
                <w:rFonts w:ascii="Arial" w:hAnsi="Arial" w:cs="Arial"/>
                <w:b/>
                <w:noProof/>
                <w:color w:val="000000"/>
                <w:sz w:val="16"/>
                <w:szCs w:val="16"/>
              </w:rPr>
            </w:pPr>
          </w:p>
          <w:p w14:paraId="651D7512" w14:textId="77777777" w:rsidR="00FF293A" w:rsidRDefault="00F2220B" w:rsidP="005C6341">
            <w:pPr>
              <w:tabs>
                <w:tab w:val="left" w:pos="0"/>
              </w:tabs>
              <w:rPr>
                <w:rFonts w:ascii="Arial" w:hAnsi="Arial" w:cs="Arial"/>
                <w:b/>
                <w:noProof/>
                <w:color w:val="000000"/>
                <w:sz w:val="16"/>
                <w:szCs w:val="16"/>
              </w:rPr>
            </w:pPr>
          </w:p>
          <w:p w14:paraId="6888503A" w14:textId="19DAC4C1" w:rsidR="00EE0139" w:rsidRPr="00D76AF9" w:rsidRDefault="00F2220B" w:rsidP="00FF293A">
            <w:pPr>
              <w:spacing w:after="60"/>
              <w:rPr>
                <w:rFonts w:ascii="Arial" w:hAnsi="Arial" w:cs="Arial"/>
                <w:b/>
                <w:noProof/>
                <w:color w:val="000000"/>
                <w:sz w:val="16"/>
                <w:szCs w:val="16"/>
              </w:rPr>
            </w:pPr>
          </w:p>
        </w:tc>
      </w:tr>
      <w:tr w:rsidR="00DA2A14" w14:paraId="53421CB9" w14:textId="77777777" w:rsidTr="00AC7C1E">
        <w:trPr>
          <w:trHeight w:val="168"/>
        </w:trPr>
        <w:tc>
          <w:tcPr>
            <w:tcW w:w="4253" w:type="dxa"/>
            <w:shd w:val="clear" w:color="auto" w:fill="auto"/>
            <w:vAlign w:val="bottom"/>
          </w:tcPr>
          <w:p w14:paraId="0BE31F51" w14:textId="77777777" w:rsidR="00FF293A" w:rsidRPr="005D24EE" w:rsidRDefault="00F2220B" w:rsidP="005C6341">
            <w:pPr>
              <w:rPr>
                <w:rFonts w:ascii="Arial" w:hAnsi="Arial" w:cs="Arial"/>
                <w:b/>
                <w:color w:val="000000" w:themeColor="text1"/>
                <w:sz w:val="12"/>
                <w:szCs w:val="12"/>
              </w:rPr>
            </w:pPr>
          </w:p>
        </w:tc>
        <w:tc>
          <w:tcPr>
            <w:tcW w:w="283" w:type="dxa"/>
          </w:tcPr>
          <w:p w14:paraId="23352E22" w14:textId="77777777" w:rsidR="00FF293A" w:rsidRPr="00DF0910" w:rsidRDefault="00F2220B" w:rsidP="005C6341">
            <w:pPr>
              <w:rPr>
                <w:rFonts w:ascii="Arial" w:hAnsi="Arial" w:cs="Arial"/>
                <w:color w:val="000000" w:themeColor="text1"/>
                <w:sz w:val="12"/>
                <w:szCs w:val="12"/>
              </w:rPr>
            </w:pPr>
          </w:p>
        </w:tc>
        <w:tc>
          <w:tcPr>
            <w:tcW w:w="5103" w:type="dxa"/>
            <w:vMerge/>
            <w:shd w:val="clear" w:color="auto" w:fill="auto"/>
          </w:tcPr>
          <w:p w14:paraId="4A37A1AC" w14:textId="77777777" w:rsidR="00FF293A" w:rsidRPr="00D76AF9" w:rsidRDefault="00F2220B" w:rsidP="005C6341">
            <w:pPr>
              <w:rPr>
                <w:rFonts w:ascii="Arial" w:hAnsi="Arial" w:cs="Arial"/>
                <w:b/>
                <w:noProof/>
                <w:color w:val="000000"/>
                <w:sz w:val="16"/>
                <w:szCs w:val="16"/>
              </w:rPr>
            </w:pPr>
          </w:p>
        </w:tc>
      </w:tr>
    </w:tbl>
    <w:p w14:paraId="7425540C" w14:textId="32205BDB" w:rsidR="00300AA4" w:rsidRDefault="00AC7C1E" w:rsidP="00845679">
      <w:pPr>
        <w:pStyle w:val="Heading20"/>
      </w:pPr>
      <w:bookmarkStart w:id="0" w:name="RESOLUCION"/>
      <w:r>
        <w:t>O</w:t>
      </w:r>
      <w:r w:rsidR="00396797">
        <w:t>RDEN FORAL</w:t>
      </w:r>
      <w:r>
        <w:t xml:space="preserve"> 48/2020, de 3 de marzo</w:t>
      </w:r>
    </w:p>
    <w:p w14:paraId="57163E81" w14:textId="77777777" w:rsidR="00300AA4" w:rsidRPr="00116539" w:rsidRDefault="00396797" w:rsidP="00845679">
      <w:pPr>
        <w:pStyle w:val="Normal0"/>
        <w:tabs>
          <w:tab w:val="right" w:pos="8789"/>
        </w:tabs>
        <w:spacing w:after="480"/>
        <w:rPr>
          <w:rFonts w:cs="Times New Roman"/>
          <w:sz w:val="22"/>
          <w:szCs w:val="22"/>
        </w:rPr>
      </w:pPr>
      <w:r w:rsidRPr="004C608E">
        <w:rPr>
          <w:rFonts w:cs="Times New Roman"/>
          <w:sz w:val="22"/>
        </w:rPr>
        <w:t>Se</w:t>
      </w:r>
      <w:r>
        <w:rPr>
          <w:rFonts w:cs="Times New Roman"/>
          <w:sz w:val="22"/>
        </w:rPr>
        <w:t>rvicio de Administración Local y Emergencias</w:t>
      </w:r>
      <w:r w:rsidRPr="004C608E">
        <w:rPr>
          <w:rFonts w:cs="Times New Roman"/>
          <w:sz w:val="22"/>
        </w:rPr>
        <w:br/>
        <w:t>Nº Expte</w:t>
      </w:r>
      <w:r w:rsidRPr="00116539">
        <w:rPr>
          <w:b/>
          <w:sz w:val="22"/>
        </w:rPr>
        <w:t xml:space="preserve">.: </w:t>
      </w:r>
      <w:r w:rsidRPr="00116539">
        <w:rPr>
          <w:rFonts w:cs="Times New Roman"/>
          <w:sz w:val="22"/>
          <w:szCs w:val="22"/>
        </w:rPr>
        <w:t>20/30</w:t>
      </w:r>
      <w:r>
        <w:rPr>
          <w:rFonts w:cs="Times New Roman"/>
          <w:sz w:val="22"/>
          <w:szCs w:val="22"/>
        </w:rPr>
        <w:t>-AL</w:t>
      </w:r>
    </w:p>
    <w:p w14:paraId="0B68B54E" w14:textId="5BF9DF36" w:rsidR="00D85F92" w:rsidRPr="00B066FA" w:rsidRDefault="00396797" w:rsidP="00845679">
      <w:pPr>
        <w:pStyle w:val="Normal0"/>
        <w:spacing w:after="240"/>
        <w:jc w:val="both"/>
        <w:rPr>
          <w:b/>
          <w:sz w:val="22"/>
        </w:rPr>
      </w:pPr>
      <w:r>
        <w:rPr>
          <w:b/>
          <w:sz w:val="22"/>
        </w:rPr>
        <w:t xml:space="preserve">Solicitud de acceso realizada por </w:t>
      </w:r>
      <w:r w:rsidR="00AC7C1E" w:rsidRPr="000C1CA3">
        <w:rPr>
          <w:highlight w:val="black"/>
        </w:rPr>
        <w:t>xxxxx</w:t>
      </w:r>
      <w:r w:rsidR="00AC7C1E">
        <w:rPr>
          <w:b/>
          <w:sz w:val="22"/>
        </w:rPr>
        <w:t xml:space="preserve"> </w:t>
      </w:r>
      <w:r>
        <w:rPr>
          <w:b/>
          <w:sz w:val="22"/>
        </w:rPr>
        <w:t xml:space="preserve">a la información pública de </w:t>
      </w:r>
      <w:r w:rsidRPr="00B066FA">
        <w:rPr>
          <w:b/>
          <w:sz w:val="22"/>
        </w:rPr>
        <w:t>datos presupuestar</w:t>
      </w:r>
      <w:r>
        <w:rPr>
          <w:b/>
          <w:sz w:val="22"/>
        </w:rPr>
        <w:t xml:space="preserve">ios de los ejercicios de 2015, 2016, 2017 y 2018, para cada entidad local de </w:t>
      </w:r>
      <w:proofErr w:type="gramStart"/>
      <w:r>
        <w:rPr>
          <w:b/>
          <w:sz w:val="22"/>
        </w:rPr>
        <w:t>esta territorio</w:t>
      </w:r>
      <w:proofErr w:type="gramEnd"/>
      <w:r>
        <w:rPr>
          <w:b/>
          <w:sz w:val="22"/>
        </w:rPr>
        <w:t>, y con el máximo nivel de desglose disponible de Presupuestos y Liquidaciones en formato “xls” o access.</w:t>
      </w:r>
    </w:p>
    <w:p w14:paraId="4B002E07" w14:textId="645FF58A" w:rsidR="00D85F92" w:rsidRPr="00B066FA" w:rsidRDefault="00396797" w:rsidP="00845679">
      <w:pPr>
        <w:pStyle w:val="Normal0"/>
        <w:spacing w:after="240"/>
        <w:jc w:val="both"/>
        <w:rPr>
          <w:rFonts w:cs="Times New Roman"/>
          <w:sz w:val="22"/>
          <w:szCs w:val="22"/>
        </w:rPr>
      </w:pPr>
      <w:r w:rsidRPr="00B066FA">
        <w:rPr>
          <w:rFonts w:cs="Times New Roman"/>
          <w:sz w:val="22"/>
          <w:szCs w:val="22"/>
        </w:rPr>
        <w:t xml:space="preserve">Con fecha de 17 de febrero de 2020, tuvo entrada en la Sede Electrónica de la Diputación Foral de Álava solicitud de acceso a la información pública presentada por </w:t>
      </w:r>
      <w:r w:rsidR="00AC7C1E" w:rsidRPr="000C1CA3">
        <w:rPr>
          <w:highlight w:val="black"/>
        </w:rPr>
        <w:t>xxxxx</w:t>
      </w:r>
      <w:r w:rsidR="00AC7C1E">
        <w:rPr>
          <w:rFonts w:cs="Times New Roman"/>
          <w:sz w:val="22"/>
          <w:szCs w:val="22"/>
        </w:rPr>
        <w:t xml:space="preserve"> </w:t>
      </w:r>
      <w:r>
        <w:rPr>
          <w:rFonts w:cs="Times New Roman"/>
          <w:sz w:val="22"/>
          <w:szCs w:val="22"/>
        </w:rPr>
        <w:t>de</w:t>
      </w:r>
      <w:r w:rsidRPr="00B066FA">
        <w:rPr>
          <w:rFonts w:cs="Times New Roman"/>
          <w:sz w:val="22"/>
          <w:szCs w:val="22"/>
        </w:rPr>
        <w:t xml:space="preserve"> datos presupuestarios de los ejercicios de 2015, 2016, 2017 y 2018</w:t>
      </w:r>
      <w:r>
        <w:rPr>
          <w:rFonts w:cs="Times New Roman"/>
          <w:sz w:val="22"/>
          <w:szCs w:val="22"/>
        </w:rPr>
        <w:t>,</w:t>
      </w:r>
      <w:r w:rsidRPr="00B066FA">
        <w:rPr>
          <w:rFonts w:cs="Times New Roman"/>
          <w:sz w:val="22"/>
          <w:szCs w:val="22"/>
        </w:rPr>
        <w:t xml:space="preserve"> p</w:t>
      </w:r>
      <w:r>
        <w:rPr>
          <w:rFonts w:cs="Times New Roman"/>
          <w:sz w:val="22"/>
          <w:szCs w:val="22"/>
        </w:rPr>
        <w:t>ara</w:t>
      </w:r>
      <w:r w:rsidRPr="00B066FA">
        <w:rPr>
          <w:rFonts w:cs="Times New Roman"/>
          <w:sz w:val="22"/>
          <w:szCs w:val="22"/>
        </w:rPr>
        <w:t xml:space="preserve"> cada entidad local de</w:t>
      </w:r>
      <w:r>
        <w:rPr>
          <w:rFonts w:cs="Times New Roman"/>
          <w:sz w:val="22"/>
          <w:szCs w:val="22"/>
        </w:rPr>
        <w:t>l territorio,</w:t>
      </w:r>
      <w:r w:rsidRPr="00B066FA">
        <w:rPr>
          <w:rFonts w:cs="Times New Roman"/>
          <w:sz w:val="22"/>
          <w:szCs w:val="22"/>
        </w:rPr>
        <w:t xml:space="preserve"> con el máximo nivel de desglose disponible de Presupuestos y Liquidaciones</w:t>
      </w:r>
      <w:r>
        <w:rPr>
          <w:rFonts w:cs="Times New Roman"/>
          <w:sz w:val="22"/>
          <w:szCs w:val="22"/>
        </w:rPr>
        <w:t xml:space="preserve"> en formato XLS o Access</w:t>
      </w:r>
      <w:r w:rsidRPr="00B066FA">
        <w:rPr>
          <w:rFonts w:cs="Times New Roman"/>
          <w:sz w:val="22"/>
          <w:szCs w:val="22"/>
        </w:rPr>
        <w:t xml:space="preserve">, solicitud que quedó registrada con el número </w:t>
      </w:r>
      <w:r w:rsidRPr="0088459A">
        <w:rPr>
          <w:rFonts w:cs="Times New Roman"/>
          <w:sz w:val="22"/>
          <w:szCs w:val="22"/>
        </w:rPr>
        <w:t>2020/00007</w:t>
      </w:r>
      <w:r w:rsidRPr="00B066FA">
        <w:rPr>
          <w:rFonts w:cs="Times New Roman"/>
          <w:sz w:val="22"/>
          <w:szCs w:val="22"/>
        </w:rPr>
        <w:t>.</w:t>
      </w:r>
    </w:p>
    <w:p w14:paraId="60F2A153" w14:textId="77777777" w:rsidR="00B94EBB" w:rsidRDefault="00396797" w:rsidP="00845679">
      <w:pPr>
        <w:pStyle w:val="Normal0"/>
        <w:spacing w:after="240"/>
        <w:jc w:val="both"/>
        <w:rPr>
          <w:rFonts w:cs="Times New Roman"/>
          <w:sz w:val="22"/>
          <w:szCs w:val="22"/>
        </w:rPr>
      </w:pPr>
      <w:r w:rsidRPr="008A3F2E">
        <w:rPr>
          <w:rFonts w:cs="Times New Roman"/>
          <w:sz w:val="22"/>
          <w:szCs w:val="22"/>
        </w:rPr>
        <w:t xml:space="preserve">Analizada </w:t>
      </w:r>
      <w:r>
        <w:rPr>
          <w:rFonts w:cs="Times New Roman"/>
          <w:sz w:val="22"/>
          <w:szCs w:val="22"/>
        </w:rPr>
        <w:t>la misma</w:t>
      </w:r>
      <w:r w:rsidRPr="008A3F2E">
        <w:rPr>
          <w:rFonts w:cs="Times New Roman"/>
          <w:sz w:val="22"/>
          <w:szCs w:val="22"/>
        </w:rPr>
        <w:t xml:space="preserve">, </w:t>
      </w:r>
      <w:r>
        <w:rPr>
          <w:rFonts w:cs="Times New Roman"/>
          <w:sz w:val="22"/>
          <w:szCs w:val="22"/>
        </w:rPr>
        <w:t xml:space="preserve">se </w:t>
      </w:r>
      <w:r w:rsidRPr="008A3F2E">
        <w:rPr>
          <w:rFonts w:cs="Times New Roman"/>
          <w:sz w:val="22"/>
          <w:szCs w:val="22"/>
        </w:rPr>
        <w:t xml:space="preserve">inadmite </w:t>
      </w:r>
      <w:r>
        <w:rPr>
          <w:rFonts w:cs="Times New Roman"/>
          <w:sz w:val="22"/>
          <w:szCs w:val="22"/>
        </w:rPr>
        <w:t xml:space="preserve">a trámite </w:t>
      </w:r>
      <w:r w:rsidRPr="008A3F2E">
        <w:rPr>
          <w:rFonts w:cs="Times New Roman"/>
          <w:sz w:val="22"/>
          <w:szCs w:val="22"/>
        </w:rPr>
        <w:t>la solicitud de acceso a la información solicitada</w:t>
      </w:r>
      <w:r>
        <w:rPr>
          <w:rFonts w:cs="Times New Roman"/>
          <w:sz w:val="22"/>
          <w:szCs w:val="22"/>
        </w:rPr>
        <w:t>,</w:t>
      </w:r>
      <w:r w:rsidRPr="008A3F2E">
        <w:rPr>
          <w:rFonts w:cs="Times New Roman"/>
          <w:sz w:val="22"/>
          <w:szCs w:val="22"/>
        </w:rPr>
        <w:t xml:space="preserve"> en base a</w:t>
      </w:r>
      <w:r>
        <w:rPr>
          <w:rFonts w:cs="Times New Roman"/>
          <w:sz w:val="22"/>
          <w:szCs w:val="22"/>
        </w:rPr>
        <w:t>l</w:t>
      </w:r>
      <w:r w:rsidRPr="008A3F2E">
        <w:rPr>
          <w:rFonts w:cs="Times New Roman"/>
          <w:sz w:val="22"/>
          <w:szCs w:val="22"/>
        </w:rPr>
        <w:t xml:space="preserve"> siguiente fundamento jur</w:t>
      </w:r>
      <w:r>
        <w:rPr>
          <w:rFonts w:cs="Times New Roman"/>
          <w:sz w:val="22"/>
          <w:szCs w:val="22"/>
        </w:rPr>
        <w:t>ídico:</w:t>
      </w:r>
    </w:p>
    <w:p w14:paraId="5723E4BD" w14:textId="77777777" w:rsidR="008A3F2E" w:rsidRDefault="00396797" w:rsidP="00845679">
      <w:pPr>
        <w:pStyle w:val="Normal0"/>
        <w:spacing w:after="240"/>
        <w:jc w:val="both"/>
        <w:rPr>
          <w:sz w:val="22"/>
          <w:szCs w:val="22"/>
        </w:rPr>
      </w:pPr>
      <w:r>
        <w:rPr>
          <w:rFonts w:cs="Times New Roman"/>
          <w:sz w:val="22"/>
          <w:szCs w:val="22"/>
        </w:rPr>
        <w:t xml:space="preserve">La Norma Foral </w:t>
      </w:r>
      <w:r w:rsidRPr="008A3F2E">
        <w:rPr>
          <w:rFonts w:cs="Times New Roman"/>
          <w:sz w:val="22"/>
          <w:szCs w:val="22"/>
        </w:rPr>
        <w:t xml:space="preserve">1/2017, de 8 febrero, de transparencia, participación ciudadana y buen gobierno del sector público del Territorio Histórico de Álava, en su artículo 34.1 establece que serán de aplicación las causas de inadmisión de solicitudes de acceso previstas en la legislación básica. La legislación básica </w:t>
      </w:r>
      <w:r>
        <w:rPr>
          <w:rFonts w:cs="Times New Roman"/>
          <w:sz w:val="22"/>
          <w:szCs w:val="22"/>
        </w:rPr>
        <w:t xml:space="preserve">citada </w:t>
      </w:r>
      <w:r w:rsidRPr="008A3F2E">
        <w:rPr>
          <w:rFonts w:cs="Times New Roman"/>
          <w:sz w:val="22"/>
          <w:szCs w:val="22"/>
        </w:rPr>
        <w:t xml:space="preserve">se encuentra recogida en la Ley 19/2013, de 9 de diciembre, de transparencia, acceso a la información pública y buen gobierno, en la que, en su artículo </w:t>
      </w:r>
      <w:r>
        <w:rPr>
          <w:rFonts w:cs="Times New Roman"/>
          <w:sz w:val="22"/>
          <w:szCs w:val="22"/>
        </w:rPr>
        <w:t>18.1.c)  dispo</w:t>
      </w:r>
      <w:r>
        <w:rPr>
          <w:sz w:val="22"/>
          <w:szCs w:val="22"/>
        </w:rPr>
        <w:t>ne que, s</w:t>
      </w:r>
      <w:r w:rsidRPr="008A3F2E">
        <w:rPr>
          <w:sz w:val="22"/>
          <w:szCs w:val="22"/>
        </w:rPr>
        <w:t xml:space="preserve">e inadmitirán a trámite, mediante resolución motivada, las </w:t>
      </w:r>
      <w:r>
        <w:rPr>
          <w:sz w:val="22"/>
          <w:szCs w:val="22"/>
        </w:rPr>
        <w:t>solicitudes r</w:t>
      </w:r>
      <w:r w:rsidRPr="008A3F2E">
        <w:rPr>
          <w:rFonts w:cs="Times New Roman"/>
          <w:sz w:val="22"/>
          <w:szCs w:val="22"/>
          <w:lang w:val="es-ES" w:bidi="ar-SA"/>
        </w:rPr>
        <w:t>elativas a información para cuya divulgación sea necesaria una acción previa de reelaboración</w:t>
      </w:r>
      <w:r>
        <w:rPr>
          <w:sz w:val="22"/>
          <w:szCs w:val="22"/>
        </w:rPr>
        <w:t>.</w:t>
      </w:r>
    </w:p>
    <w:p w14:paraId="170AFC9B" w14:textId="77777777" w:rsidR="00B94EBB" w:rsidRPr="00B94EBB" w:rsidRDefault="00396797" w:rsidP="00845679">
      <w:pPr>
        <w:pStyle w:val="Normal0"/>
        <w:spacing w:after="240"/>
        <w:jc w:val="both"/>
        <w:rPr>
          <w:rFonts w:cs="Times New Roman"/>
          <w:sz w:val="22"/>
          <w:szCs w:val="22"/>
        </w:rPr>
      </w:pPr>
      <w:r w:rsidRPr="00B94EBB">
        <w:rPr>
          <w:rFonts w:cs="Times New Roman"/>
          <w:sz w:val="22"/>
          <w:szCs w:val="22"/>
        </w:rPr>
        <w:t>De acuerdo con el Criterio Interpretativo 7/2015, del Consejo de Transparencia y</w:t>
      </w:r>
      <w:r>
        <w:rPr>
          <w:rFonts w:cs="Times New Roman"/>
          <w:sz w:val="22"/>
          <w:szCs w:val="22"/>
        </w:rPr>
        <w:t xml:space="preserve"> </w:t>
      </w:r>
      <w:r w:rsidRPr="00B94EBB">
        <w:rPr>
          <w:rFonts w:cs="Times New Roman"/>
          <w:sz w:val="22"/>
          <w:szCs w:val="22"/>
        </w:rPr>
        <w:t>Buen Gobierno, cabe entender que una información requiere para su divulgación</w:t>
      </w:r>
      <w:r>
        <w:rPr>
          <w:rFonts w:cs="Times New Roman"/>
          <w:sz w:val="22"/>
          <w:szCs w:val="22"/>
        </w:rPr>
        <w:t xml:space="preserve"> </w:t>
      </w:r>
      <w:r w:rsidRPr="00B94EBB">
        <w:rPr>
          <w:rFonts w:cs="Times New Roman"/>
          <w:sz w:val="22"/>
          <w:szCs w:val="22"/>
        </w:rPr>
        <w:t>una acción previa de reelaboración cuando «la información que se solicita,</w:t>
      </w:r>
      <w:r>
        <w:rPr>
          <w:rFonts w:cs="Times New Roman"/>
          <w:sz w:val="22"/>
          <w:szCs w:val="22"/>
        </w:rPr>
        <w:t xml:space="preserve"> </w:t>
      </w:r>
      <w:r w:rsidRPr="00B94EBB">
        <w:rPr>
          <w:rFonts w:cs="Times New Roman"/>
          <w:sz w:val="22"/>
          <w:szCs w:val="22"/>
        </w:rPr>
        <w:t>perteneciendo al ámbito funcional de actuación del organismo o entidad que</w:t>
      </w:r>
      <w:r>
        <w:rPr>
          <w:rFonts w:cs="Times New Roman"/>
          <w:sz w:val="22"/>
          <w:szCs w:val="22"/>
        </w:rPr>
        <w:t xml:space="preserve"> </w:t>
      </w:r>
      <w:r w:rsidRPr="00B94EBB">
        <w:rPr>
          <w:rFonts w:cs="Times New Roman"/>
          <w:sz w:val="22"/>
          <w:szCs w:val="22"/>
        </w:rPr>
        <w:t>recibe la solicitud, deba:</w:t>
      </w:r>
      <w:r>
        <w:rPr>
          <w:rFonts w:cs="Times New Roman"/>
          <w:sz w:val="22"/>
          <w:szCs w:val="22"/>
        </w:rPr>
        <w:t xml:space="preserve"> </w:t>
      </w:r>
      <w:r w:rsidRPr="00B94EBB">
        <w:rPr>
          <w:rFonts w:cs="Times New Roman"/>
          <w:sz w:val="22"/>
          <w:szCs w:val="22"/>
        </w:rPr>
        <w:t>a) Elaborarse expresamente para dar una respuesta, haciendo uso de diversas</w:t>
      </w:r>
      <w:r>
        <w:rPr>
          <w:rFonts w:cs="Times New Roman"/>
          <w:sz w:val="22"/>
          <w:szCs w:val="22"/>
        </w:rPr>
        <w:t xml:space="preserve"> </w:t>
      </w:r>
      <w:r w:rsidRPr="00B94EBB">
        <w:rPr>
          <w:rFonts w:cs="Times New Roman"/>
          <w:sz w:val="22"/>
          <w:szCs w:val="22"/>
        </w:rPr>
        <w:t>fuentes de información; o</w:t>
      </w:r>
      <w:r>
        <w:rPr>
          <w:rFonts w:cs="Times New Roman"/>
          <w:sz w:val="22"/>
          <w:szCs w:val="22"/>
        </w:rPr>
        <w:t xml:space="preserve"> </w:t>
      </w:r>
      <w:r w:rsidRPr="00B94EBB">
        <w:rPr>
          <w:rFonts w:cs="Times New Roman"/>
          <w:sz w:val="22"/>
          <w:szCs w:val="22"/>
        </w:rPr>
        <w:t>b) Cuando dicho organismo o entidad carezca de los medios técnicos que sean</w:t>
      </w:r>
      <w:r>
        <w:rPr>
          <w:rFonts w:cs="Times New Roman"/>
          <w:sz w:val="22"/>
          <w:szCs w:val="22"/>
        </w:rPr>
        <w:t xml:space="preserve"> </w:t>
      </w:r>
      <w:r w:rsidRPr="00B94EBB">
        <w:rPr>
          <w:rFonts w:cs="Times New Roman"/>
          <w:sz w:val="22"/>
          <w:szCs w:val="22"/>
        </w:rPr>
        <w:t>necesarios para extraer y explotar la información concreta que se solicita,</w:t>
      </w:r>
      <w:r>
        <w:rPr>
          <w:rFonts w:cs="Times New Roman"/>
          <w:sz w:val="22"/>
          <w:szCs w:val="22"/>
        </w:rPr>
        <w:t xml:space="preserve"> </w:t>
      </w:r>
      <w:r w:rsidRPr="00B94EBB">
        <w:rPr>
          <w:rFonts w:cs="Times New Roman"/>
          <w:sz w:val="22"/>
          <w:szCs w:val="22"/>
        </w:rPr>
        <w:t>resultando imposible proporcionar la información solicitada».</w:t>
      </w:r>
    </w:p>
    <w:p w14:paraId="1B8986E6" w14:textId="77777777" w:rsidR="000E4575" w:rsidRDefault="00396797" w:rsidP="00845679">
      <w:pPr>
        <w:pStyle w:val="Normal0"/>
        <w:spacing w:after="240"/>
        <w:jc w:val="both"/>
        <w:rPr>
          <w:rFonts w:cs="Times New Roman"/>
          <w:sz w:val="22"/>
          <w:szCs w:val="22"/>
        </w:rPr>
      </w:pPr>
      <w:r w:rsidRPr="00B94EBB">
        <w:rPr>
          <w:rFonts w:cs="Times New Roman"/>
          <w:sz w:val="22"/>
          <w:szCs w:val="22"/>
        </w:rPr>
        <w:t xml:space="preserve">En consecuencia, </w:t>
      </w:r>
      <w:r>
        <w:rPr>
          <w:rFonts w:cs="Times New Roman"/>
          <w:sz w:val="22"/>
          <w:szCs w:val="22"/>
        </w:rPr>
        <w:t xml:space="preserve">y según este criterio interpretativo, </w:t>
      </w:r>
      <w:r w:rsidRPr="00B94EBB">
        <w:rPr>
          <w:rFonts w:cs="Times New Roman"/>
          <w:sz w:val="22"/>
          <w:szCs w:val="22"/>
        </w:rPr>
        <w:t>se lleva</w:t>
      </w:r>
      <w:r>
        <w:rPr>
          <w:rFonts w:cs="Times New Roman"/>
          <w:sz w:val="22"/>
          <w:szCs w:val="22"/>
        </w:rPr>
        <w:t xml:space="preserve"> </w:t>
      </w:r>
      <w:r w:rsidRPr="00B94EBB">
        <w:rPr>
          <w:rFonts w:cs="Times New Roman"/>
          <w:sz w:val="22"/>
          <w:szCs w:val="22"/>
        </w:rPr>
        <w:t>a cabo una reelaboración de la información cuando</w:t>
      </w:r>
      <w:r>
        <w:rPr>
          <w:rFonts w:cs="Times New Roman"/>
          <w:sz w:val="22"/>
          <w:szCs w:val="22"/>
        </w:rPr>
        <w:t xml:space="preserve"> </w:t>
      </w:r>
      <w:r w:rsidRPr="00B94EBB">
        <w:rPr>
          <w:rFonts w:cs="Times New Roman"/>
          <w:sz w:val="22"/>
          <w:szCs w:val="22"/>
        </w:rPr>
        <w:t>la Administración ha de realizar «ad hoc» una tarea compleja para facilitar la</w:t>
      </w:r>
      <w:r>
        <w:rPr>
          <w:rFonts w:cs="Times New Roman"/>
          <w:sz w:val="22"/>
          <w:szCs w:val="22"/>
        </w:rPr>
        <w:t xml:space="preserve"> </w:t>
      </w:r>
      <w:r w:rsidRPr="00B94EBB">
        <w:rPr>
          <w:rFonts w:cs="Times New Roman"/>
          <w:sz w:val="22"/>
          <w:szCs w:val="22"/>
        </w:rPr>
        <w:t>información solicitada, es decir, cuando resulte necesario llevar a cabo un nuevo</w:t>
      </w:r>
      <w:r>
        <w:rPr>
          <w:rFonts w:cs="Times New Roman"/>
          <w:sz w:val="22"/>
          <w:szCs w:val="22"/>
        </w:rPr>
        <w:t xml:space="preserve"> </w:t>
      </w:r>
      <w:r w:rsidRPr="00B94EBB">
        <w:rPr>
          <w:rFonts w:cs="Times New Roman"/>
          <w:sz w:val="22"/>
          <w:szCs w:val="22"/>
        </w:rPr>
        <w:t>tratamiento de la información que no resulte habitual o corriente.</w:t>
      </w:r>
    </w:p>
    <w:p w14:paraId="0608EF10" w14:textId="77777777" w:rsidR="00FE4B5A" w:rsidRDefault="00396797" w:rsidP="00845679">
      <w:pPr>
        <w:pStyle w:val="Normal0"/>
        <w:spacing w:after="240"/>
        <w:jc w:val="both"/>
        <w:rPr>
          <w:rFonts w:cs="Times New Roman"/>
          <w:sz w:val="22"/>
          <w:szCs w:val="22"/>
        </w:rPr>
      </w:pPr>
      <w:r>
        <w:rPr>
          <w:rFonts w:cs="Times New Roman"/>
          <w:sz w:val="22"/>
          <w:szCs w:val="22"/>
        </w:rPr>
        <w:t xml:space="preserve">De acuerdo a lo anterior </w:t>
      </w:r>
      <w:r w:rsidRPr="000E4575">
        <w:rPr>
          <w:rFonts w:cs="Times New Roman"/>
          <w:sz w:val="22"/>
          <w:szCs w:val="22"/>
        </w:rPr>
        <w:t>y</w:t>
      </w:r>
      <w:r>
        <w:rPr>
          <w:rFonts w:cs="Times New Roman"/>
          <w:sz w:val="22"/>
          <w:szCs w:val="22"/>
        </w:rPr>
        <w:t>,</w:t>
      </w:r>
      <w:r w:rsidRPr="000E4575">
        <w:rPr>
          <w:rFonts w:cs="Times New Roman"/>
          <w:sz w:val="22"/>
          <w:szCs w:val="22"/>
        </w:rPr>
        <w:t xml:space="preserve"> teniendo en cuenta que la información solicitada se encuentra archivada en su </w:t>
      </w:r>
      <w:r>
        <w:rPr>
          <w:rFonts w:cs="Times New Roman"/>
          <w:sz w:val="22"/>
          <w:szCs w:val="22"/>
        </w:rPr>
        <w:t xml:space="preserve">gran </w:t>
      </w:r>
      <w:r w:rsidRPr="000E4575">
        <w:rPr>
          <w:rFonts w:cs="Times New Roman"/>
          <w:sz w:val="22"/>
          <w:szCs w:val="22"/>
        </w:rPr>
        <w:t xml:space="preserve">mayoría en formato papel </w:t>
      </w:r>
      <w:r>
        <w:rPr>
          <w:rFonts w:cs="Times New Roman"/>
          <w:sz w:val="22"/>
          <w:szCs w:val="22"/>
        </w:rPr>
        <w:t>o formato “pdf”,</w:t>
      </w:r>
      <w:r w:rsidRPr="000E4575">
        <w:rPr>
          <w:rFonts w:cs="Times New Roman"/>
          <w:sz w:val="22"/>
          <w:szCs w:val="22"/>
        </w:rPr>
        <w:t xml:space="preserve"> acceder a la solicitud realizada supondría el transcribir manualmente</w:t>
      </w:r>
      <w:r>
        <w:rPr>
          <w:rFonts w:cs="Times New Roman"/>
          <w:sz w:val="22"/>
          <w:szCs w:val="22"/>
        </w:rPr>
        <w:t xml:space="preserve"> una ingente cantidad de datos recogidos</w:t>
      </w:r>
      <w:r w:rsidRPr="000E4575">
        <w:rPr>
          <w:rFonts w:cs="Times New Roman"/>
          <w:sz w:val="22"/>
          <w:szCs w:val="22"/>
        </w:rPr>
        <w:t xml:space="preserve"> en la</w:t>
      </w:r>
      <w:r>
        <w:rPr>
          <w:rFonts w:cs="Times New Roman"/>
          <w:sz w:val="22"/>
          <w:szCs w:val="22"/>
        </w:rPr>
        <w:t xml:space="preserve"> documentación aportada por 51 a</w:t>
      </w:r>
      <w:r w:rsidRPr="000E4575">
        <w:rPr>
          <w:rFonts w:cs="Times New Roman"/>
          <w:sz w:val="22"/>
          <w:szCs w:val="22"/>
        </w:rPr>
        <w:t>yuntamientos, 335</w:t>
      </w:r>
      <w:r>
        <w:rPr>
          <w:rFonts w:cs="Times New Roman"/>
          <w:sz w:val="22"/>
          <w:szCs w:val="22"/>
        </w:rPr>
        <w:t xml:space="preserve"> c</w:t>
      </w:r>
      <w:r w:rsidRPr="000E4575">
        <w:rPr>
          <w:rFonts w:cs="Times New Roman"/>
          <w:sz w:val="22"/>
          <w:szCs w:val="22"/>
        </w:rPr>
        <w:t>oncejos, 7</w:t>
      </w:r>
      <w:r>
        <w:rPr>
          <w:rFonts w:cs="Times New Roman"/>
          <w:sz w:val="22"/>
          <w:szCs w:val="22"/>
        </w:rPr>
        <w:t xml:space="preserve"> c</w:t>
      </w:r>
      <w:r w:rsidRPr="000E4575">
        <w:rPr>
          <w:rFonts w:cs="Times New Roman"/>
          <w:sz w:val="22"/>
          <w:szCs w:val="22"/>
        </w:rPr>
        <w:t xml:space="preserve">uadrillas del Territorio Histórico de Álava </w:t>
      </w:r>
      <w:r>
        <w:rPr>
          <w:rFonts w:cs="Times New Roman"/>
          <w:sz w:val="22"/>
          <w:szCs w:val="22"/>
        </w:rPr>
        <w:t>así como la diversas hermandades, con su mayor nivel de desglose y en los formatos informáticos solicitados.</w:t>
      </w:r>
    </w:p>
    <w:p w14:paraId="1FC7F38F" w14:textId="77777777" w:rsidR="00B066FA" w:rsidRDefault="00396797" w:rsidP="00845679">
      <w:pPr>
        <w:pStyle w:val="Normal0"/>
        <w:spacing w:after="240"/>
        <w:jc w:val="both"/>
        <w:rPr>
          <w:rFonts w:cs="Times New Roman"/>
          <w:sz w:val="22"/>
          <w:szCs w:val="22"/>
        </w:rPr>
      </w:pPr>
      <w:r>
        <w:rPr>
          <w:rFonts w:cs="Times New Roman"/>
          <w:sz w:val="22"/>
          <w:szCs w:val="22"/>
        </w:rPr>
        <w:t xml:space="preserve">Se carece, por otra parte, de plantillas normalizadas para cada tipología de entidad pública para realizar dicha transcripción, lo que conllevaría, para esta Administración Foral, una tarea de enorme complejidad, teniendo en </w:t>
      </w:r>
      <w:r>
        <w:rPr>
          <w:rFonts w:cs="Times New Roman"/>
          <w:sz w:val="22"/>
          <w:szCs w:val="22"/>
        </w:rPr>
        <w:lastRenderedPageBreak/>
        <w:t>cuenta, además, que en la elaboración habría que usar diferentes fuentes de información suponiendo, finalmente, un nuevo tratamiento de la información que no resulta habitual ni corriente para la misma.</w:t>
      </w:r>
    </w:p>
    <w:p w14:paraId="54D77802" w14:textId="77777777" w:rsidR="00315FBB" w:rsidRDefault="00396797" w:rsidP="00845679">
      <w:pPr>
        <w:pStyle w:val="Normal0"/>
        <w:spacing w:after="240"/>
        <w:jc w:val="both"/>
        <w:rPr>
          <w:rFonts w:cs="Times New Roman"/>
          <w:sz w:val="22"/>
          <w:szCs w:val="22"/>
        </w:rPr>
      </w:pPr>
      <w:r>
        <w:rPr>
          <w:rFonts w:cs="Times New Roman"/>
          <w:sz w:val="22"/>
          <w:szCs w:val="22"/>
        </w:rPr>
        <w:t>Por último, añade una mayor complejidad a la tarea, el hecho de que se debería obtener, con carácter previo, el permiso de acceso de todas las entidades, órganos u organismos antes citados, ya que, atendiendo al artículo 19.4 de la Ley</w:t>
      </w:r>
      <w:r w:rsidRPr="000E4575">
        <w:rPr>
          <w:rFonts w:cs="Times New Roman"/>
          <w:sz w:val="22"/>
          <w:szCs w:val="22"/>
        </w:rPr>
        <w:t>19/2013, de 9 de diciembre, de transparencia, acceso a la información pública y buen gobierno</w:t>
      </w:r>
      <w:r>
        <w:rPr>
          <w:rFonts w:cs="Times New Roman"/>
          <w:sz w:val="22"/>
          <w:szCs w:val="22"/>
        </w:rPr>
        <w:t>, se establece que: “</w:t>
      </w:r>
      <w:r w:rsidRPr="000E4575">
        <w:rPr>
          <w:rFonts w:cs="Times New Roman"/>
          <w:sz w:val="22"/>
          <w:szCs w:val="22"/>
        </w:rPr>
        <w:t>Cuando la información objeto de la solicitud, aun obrando en poder del sujeto al que se dirige, haya sido elaborada o generada en su integridad o parte principal por otro, se le remitirá la solicitud a éste para que decida sobre el acceso</w:t>
      </w:r>
      <w:r>
        <w:rPr>
          <w:rFonts w:cs="Times New Roman"/>
          <w:sz w:val="22"/>
          <w:szCs w:val="22"/>
        </w:rPr>
        <w:t>”.</w:t>
      </w:r>
    </w:p>
    <w:p w14:paraId="6923D45E" w14:textId="77777777" w:rsidR="00D85F92" w:rsidRDefault="00396797" w:rsidP="00387F28">
      <w:pPr>
        <w:pStyle w:val="Normal0"/>
        <w:spacing w:after="360"/>
        <w:jc w:val="both"/>
        <w:rPr>
          <w:rFonts w:cs="Times New Roman"/>
          <w:sz w:val="22"/>
          <w:szCs w:val="22"/>
        </w:rPr>
      </w:pPr>
      <w:r>
        <w:rPr>
          <w:rFonts w:cs="Times New Roman"/>
          <w:sz w:val="22"/>
          <w:szCs w:val="22"/>
        </w:rPr>
        <w:t>En su virtud, haciendo uso de las facultades que me competen,</w:t>
      </w:r>
    </w:p>
    <w:p w14:paraId="1E970CB7" w14:textId="77777777" w:rsidR="00D85F92" w:rsidRDefault="00396797" w:rsidP="00845679">
      <w:pPr>
        <w:pStyle w:val="Normal0"/>
        <w:spacing w:before="240" w:after="480"/>
        <w:ind w:left="425"/>
        <w:jc w:val="center"/>
        <w:rPr>
          <w:rFonts w:cs="Times New Roman"/>
          <w:b/>
          <w:sz w:val="22"/>
          <w:szCs w:val="22"/>
        </w:rPr>
      </w:pPr>
      <w:r>
        <w:rPr>
          <w:rFonts w:cs="Times New Roman"/>
          <w:b/>
          <w:sz w:val="22"/>
          <w:szCs w:val="22"/>
        </w:rPr>
        <w:t>DISPONGO</w:t>
      </w:r>
    </w:p>
    <w:p w14:paraId="23CF97E8" w14:textId="28076EE0" w:rsidR="00D85F92" w:rsidRDefault="00396797" w:rsidP="002A0A6C">
      <w:pPr>
        <w:pStyle w:val="Normal0"/>
        <w:jc w:val="both"/>
        <w:rPr>
          <w:rFonts w:cs="Times New Roman"/>
          <w:sz w:val="22"/>
          <w:szCs w:val="22"/>
        </w:rPr>
      </w:pPr>
      <w:r w:rsidRPr="005947DC">
        <w:rPr>
          <w:rFonts w:cs="Times New Roman"/>
          <w:b/>
          <w:sz w:val="22"/>
          <w:szCs w:val="22"/>
        </w:rPr>
        <w:t>Primero.</w:t>
      </w:r>
      <w:r w:rsidRPr="00770B1B">
        <w:rPr>
          <w:rFonts w:cs="Times New Roman"/>
          <w:sz w:val="22"/>
          <w:szCs w:val="22"/>
        </w:rPr>
        <w:t xml:space="preserve"> </w:t>
      </w:r>
      <w:r>
        <w:rPr>
          <w:rFonts w:cs="Times New Roman"/>
          <w:sz w:val="22"/>
          <w:szCs w:val="22"/>
        </w:rPr>
        <w:t xml:space="preserve">Inadmitir a trámite la solicitud </w:t>
      </w:r>
      <w:r w:rsidRPr="005947DC">
        <w:rPr>
          <w:rFonts w:cs="Times New Roman"/>
          <w:sz w:val="22"/>
          <w:szCs w:val="22"/>
        </w:rPr>
        <w:t xml:space="preserve">de acceso realizada por </w:t>
      </w:r>
      <w:r w:rsidR="00AC7C1E" w:rsidRPr="000C1CA3">
        <w:rPr>
          <w:highlight w:val="black"/>
        </w:rPr>
        <w:t>xxxxx</w:t>
      </w:r>
      <w:r w:rsidR="00AC7C1E" w:rsidRPr="005947DC">
        <w:rPr>
          <w:rFonts w:cs="Times New Roman"/>
          <w:sz w:val="22"/>
          <w:szCs w:val="22"/>
        </w:rPr>
        <w:t xml:space="preserve"> </w:t>
      </w:r>
      <w:r w:rsidRPr="005947DC">
        <w:rPr>
          <w:rFonts w:cs="Times New Roman"/>
          <w:sz w:val="22"/>
          <w:szCs w:val="22"/>
        </w:rPr>
        <w:t xml:space="preserve">a la información pública de datos presupuestarios de los ejercicios de 2015, 2016, 2017 y 2018, para cada entidad local de </w:t>
      </w:r>
      <w:r>
        <w:rPr>
          <w:rFonts w:cs="Times New Roman"/>
          <w:sz w:val="22"/>
          <w:szCs w:val="22"/>
        </w:rPr>
        <w:t>este territorio</w:t>
      </w:r>
      <w:r w:rsidRPr="005947DC">
        <w:rPr>
          <w:rFonts w:cs="Times New Roman"/>
          <w:sz w:val="22"/>
          <w:szCs w:val="22"/>
        </w:rPr>
        <w:t>, y con el máximo n</w:t>
      </w:r>
      <w:r>
        <w:rPr>
          <w:rFonts w:cs="Times New Roman"/>
          <w:sz w:val="22"/>
          <w:szCs w:val="22"/>
        </w:rPr>
        <w:t>ivel de desglose disponible de p</w:t>
      </w:r>
      <w:r w:rsidRPr="005947DC">
        <w:rPr>
          <w:rFonts w:cs="Times New Roman"/>
          <w:sz w:val="22"/>
          <w:szCs w:val="22"/>
        </w:rPr>
        <w:t xml:space="preserve">resupuestos y </w:t>
      </w:r>
      <w:r>
        <w:rPr>
          <w:rFonts w:cs="Times New Roman"/>
          <w:sz w:val="22"/>
          <w:szCs w:val="22"/>
        </w:rPr>
        <w:t>liquidaciones en formato “xls” o a</w:t>
      </w:r>
      <w:r w:rsidRPr="005947DC">
        <w:rPr>
          <w:rFonts w:cs="Times New Roman"/>
          <w:sz w:val="22"/>
          <w:szCs w:val="22"/>
        </w:rPr>
        <w:t>ccess</w:t>
      </w:r>
      <w:r>
        <w:rPr>
          <w:rFonts w:cs="Times New Roman"/>
          <w:sz w:val="22"/>
          <w:szCs w:val="22"/>
        </w:rPr>
        <w:t>.</w:t>
      </w:r>
    </w:p>
    <w:p w14:paraId="6E03676F" w14:textId="77777777" w:rsidR="002A0A6C" w:rsidRDefault="00F2220B" w:rsidP="002A0A6C">
      <w:pPr>
        <w:pStyle w:val="Normal0"/>
        <w:jc w:val="both"/>
        <w:rPr>
          <w:rFonts w:cs="Times New Roman"/>
          <w:sz w:val="22"/>
          <w:szCs w:val="22"/>
        </w:rPr>
      </w:pPr>
    </w:p>
    <w:p w14:paraId="13A40A75" w14:textId="77777777" w:rsidR="00D85F92" w:rsidRDefault="00396797" w:rsidP="00503D2A">
      <w:pPr>
        <w:pStyle w:val="Normal0"/>
        <w:autoSpaceDE w:val="0"/>
        <w:autoSpaceDN w:val="0"/>
        <w:adjustRightInd w:val="0"/>
        <w:jc w:val="both"/>
        <w:rPr>
          <w:sz w:val="22"/>
          <w:szCs w:val="22"/>
        </w:rPr>
      </w:pPr>
      <w:r>
        <w:rPr>
          <w:b/>
          <w:sz w:val="22"/>
          <w:szCs w:val="22"/>
        </w:rPr>
        <w:t>Segundo.</w:t>
      </w:r>
      <w:r>
        <w:rPr>
          <w:sz w:val="22"/>
          <w:szCs w:val="22"/>
        </w:rPr>
        <w:t xml:space="preserve"> Contra la presente resolución, que pone fin a la vía administrativa, podrá interponerse recurso contencioso-administrativo en el plazo de dos meses </w:t>
      </w:r>
      <w:r w:rsidRPr="0088459A">
        <w:rPr>
          <w:sz w:val="22"/>
          <w:szCs w:val="22"/>
        </w:rPr>
        <w:t xml:space="preserve">ante los juzgados de lo contencioso-administrativo de Vitoria-Gasteiz </w:t>
      </w:r>
      <w:r>
        <w:rPr>
          <w:sz w:val="22"/>
          <w:szCs w:val="22"/>
        </w:rPr>
        <w:t>o, previa y potestativamente, reclamación ante el Consejo Foral de Transparencia y Buen Gobierno en el plazo de un mes; en ambos casos, el plazo se contará desde el día siguiente al de la notificación de la presente resolución.</w:t>
      </w:r>
    </w:p>
    <w:bookmarkEnd w:id="0"/>
    <w:p w14:paraId="1731EB2B" w14:textId="77777777" w:rsidR="00E47DB3" w:rsidRPr="00663BA9" w:rsidRDefault="00F2220B" w:rsidP="00663BA9">
      <w:pPr>
        <w:pStyle w:val="Textoindependiente"/>
        <w:spacing w:after="0"/>
        <w:rPr>
          <w:rFonts w:cs="Arial"/>
          <w:color w:val="4F81BD" w:themeColor="accent1"/>
          <w:sz w:val="16"/>
          <w:szCs w:val="16"/>
          <w:u w:val="single"/>
        </w:rPr>
      </w:pPr>
    </w:p>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820"/>
        <w:gridCol w:w="284"/>
        <w:gridCol w:w="4820"/>
      </w:tblGrid>
      <w:tr w:rsidR="00DA2A14" w14:paraId="73D1766D" w14:textId="77777777" w:rsidTr="005C6341">
        <w:tc>
          <w:tcPr>
            <w:tcW w:w="4820" w:type="dxa"/>
          </w:tcPr>
          <w:p w14:paraId="7117A117" w14:textId="31478E6C" w:rsidR="00EE0139" w:rsidRPr="00663BA9" w:rsidRDefault="00F2220B" w:rsidP="005C6341">
            <w:pPr>
              <w:pStyle w:val="Sangra2detindependiente"/>
              <w:tabs>
                <w:tab w:val="clear" w:pos="1702"/>
              </w:tabs>
              <w:spacing w:before="240"/>
              <w:ind w:right="0" w:firstLine="0"/>
              <w:jc w:val="both"/>
              <w:rPr>
                <w:rFonts w:cs="Arial"/>
                <w:color w:val="4F81BD" w:themeColor="accent1"/>
                <w:sz w:val="16"/>
                <w:szCs w:val="16"/>
              </w:rPr>
            </w:pPr>
          </w:p>
        </w:tc>
        <w:tc>
          <w:tcPr>
            <w:tcW w:w="284" w:type="dxa"/>
          </w:tcPr>
          <w:p w14:paraId="328BF2B5" w14:textId="77777777" w:rsidR="00EE0139" w:rsidRPr="00663BA9" w:rsidRDefault="00F2220B" w:rsidP="005C6341">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tcPr>
          <w:p w14:paraId="3DEACD44" w14:textId="3D8EFB32" w:rsidR="00EE0139" w:rsidRPr="00663BA9" w:rsidRDefault="00F2220B" w:rsidP="005C6341">
            <w:pPr>
              <w:pStyle w:val="Sangra2detindependiente"/>
              <w:tabs>
                <w:tab w:val="clear" w:pos="1702"/>
              </w:tabs>
              <w:spacing w:before="240"/>
              <w:ind w:right="0" w:firstLine="0"/>
              <w:jc w:val="both"/>
              <w:rPr>
                <w:rFonts w:ascii="Arial" w:hAnsi="Arial" w:cs="Arial"/>
                <w:sz w:val="16"/>
                <w:szCs w:val="16"/>
              </w:rPr>
            </w:pPr>
          </w:p>
        </w:tc>
      </w:tr>
      <w:tr w:rsidR="00DA2A14" w14:paraId="1F80D0A6" w14:textId="77777777" w:rsidTr="005C6341">
        <w:tc>
          <w:tcPr>
            <w:tcW w:w="4820" w:type="dxa"/>
          </w:tcPr>
          <w:p w14:paraId="45B933CD" w14:textId="39A33CD6" w:rsidR="00EE0139" w:rsidRPr="003A0FD1" w:rsidRDefault="00F2220B" w:rsidP="005C6341">
            <w:pPr>
              <w:pStyle w:val="Sangra2detindependiente"/>
              <w:tabs>
                <w:tab w:val="clear" w:pos="1702"/>
              </w:tabs>
              <w:spacing w:before="240"/>
              <w:ind w:right="0" w:firstLine="0"/>
              <w:jc w:val="both"/>
              <w:rPr>
                <w:rFonts w:ascii="Arial" w:hAnsi="Arial" w:cs="Arial"/>
                <w:sz w:val="16"/>
                <w:szCs w:val="16"/>
              </w:rPr>
            </w:pPr>
          </w:p>
        </w:tc>
        <w:tc>
          <w:tcPr>
            <w:tcW w:w="284" w:type="dxa"/>
          </w:tcPr>
          <w:p w14:paraId="6D051138" w14:textId="77777777" w:rsidR="00EE0139" w:rsidRPr="00426B3C" w:rsidRDefault="00F2220B" w:rsidP="005C6341">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tcPr>
          <w:p w14:paraId="767271B3" w14:textId="212F963C" w:rsidR="00EE0139" w:rsidRPr="003A0FD1" w:rsidRDefault="00F2220B" w:rsidP="005C6341">
            <w:pPr>
              <w:pStyle w:val="Sangra2detindependiente"/>
              <w:tabs>
                <w:tab w:val="clear" w:pos="1702"/>
              </w:tabs>
              <w:spacing w:before="240"/>
              <w:ind w:right="0" w:firstLine="0"/>
              <w:jc w:val="both"/>
              <w:rPr>
                <w:rFonts w:ascii="Arial" w:hAnsi="Arial" w:cs="Arial"/>
                <w:sz w:val="16"/>
                <w:szCs w:val="16"/>
              </w:rPr>
            </w:pPr>
          </w:p>
        </w:tc>
      </w:tr>
    </w:tbl>
    <w:p w14:paraId="2BD12415" w14:textId="77777777" w:rsidR="00EE0139" w:rsidRPr="00426B3C" w:rsidRDefault="00F2220B" w:rsidP="00EE0139">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4" w:type="dxa"/>
        <w:tblInd w:w="70" w:type="dxa"/>
        <w:tblLayout w:type="fixed"/>
        <w:tblCellMar>
          <w:left w:w="70" w:type="dxa"/>
          <w:right w:w="70" w:type="dxa"/>
        </w:tblCellMar>
        <w:tblLook w:val="0000" w:firstRow="0" w:lastRow="0" w:firstColumn="0" w:lastColumn="0" w:noHBand="0" w:noVBand="0"/>
      </w:tblPr>
      <w:tblGrid>
        <w:gridCol w:w="4820"/>
        <w:gridCol w:w="284"/>
        <w:gridCol w:w="4820"/>
      </w:tblGrid>
      <w:tr w:rsidR="00DA2A14" w14:paraId="403B64E5" w14:textId="77777777" w:rsidTr="005C6341">
        <w:tc>
          <w:tcPr>
            <w:tcW w:w="4820" w:type="dxa"/>
          </w:tcPr>
          <w:p w14:paraId="77C5F477" w14:textId="77777777" w:rsidR="004861BB" w:rsidRDefault="004861BB" w:rsidP="004861BB">
            <w:pPr>
              <w:pStyle w:val="Normal0"/>
              <w:spacing w:after="20" w:line="240" w:lineRule="exact"/>
              <w:rPr>
                <w:b/>
                <w:sz w:val="22"/>
                <w:szCs w:val="22"/>
              </w:rPr>
            </w:pPr>
          </w:p>
          <w:p w14:paraId="00406F52" w14:textId="77777777" w:rsidR="004861BB" w:rsidRDefault="004861BB" w:rsidP="004861BB">
            <w:pPr>
              <w:pStyle w:val="Normal0"/>
              <w:spacing w:after="20" w:line="240" w:lineRule="exact"/>
              <w:rPr>
                <w:b/>
                <w:sz w:val="22"/>
                <w:szCs w:val="22"/>
              </w:rPr>
            </w:pPr>
          </w:p>
          <w:p w14:paraId="42FB5A75" w14:textId="77777777" w:rsidR="004861BB" w:rsidRDefault="004861BB" w:rsidP="004861BB">
            <w:pPr>
              <w:pStyle w:val="Normal0"/>
              <w:spacing w:after="20" w:line="240" w:lineRule="exact"/>
              <w:rPr>
                <w:rFonts w:cs="Times New Roman"/>
                <w:b/>
                <w:sz w:val="22"/>
                <w:szCs w:val="22"/>
                <w:lang w:val="es-ES" w:bidi="ar-SA"/>
              </w:rPr>
            </w:pPr>
            <w:r w:rsidRPr="00503D2A">
              <w:rPr>
                <w:b/>
                <w:sz w:val="22"/>
                <w:szCs w:val="22"/>
              </w:rPr>
              <w:t>Irma Basterra Ugarriza</w:t>
            </w:r>
            <w:r w:rsidRPr="00503D2A">
              <w:rPr>
                <w:rFonts w:cs="Times New Roman"/>
                <w:b/>
                <w:sz w:val="22"/>
                <w:szCs w:val="22"/>
                <w:lang w:val="es-ES" w:bidi="ar-SA"/>
              </w:rPr>
              <w:t xml:space="preserve"> </w:t>
            </w:r>
          </w:p>
          <w:p w14:paraId="3FCA00CA" w14:textId="77777777" w:rsidR="004861BB" w:rsidRPr="00503D2A" w:rsidRDefault="004861BB" w:rsidP="004861BB">
            <w:pPr>
              <w:pStyle w:val="Normal0"/>
              <w:spacing w:after="20" w:line="240" w:lineRule="exact"/>
              <w:rPr>
                <w:rFonts w:cs="Times New Roman"/>
                <w:b/>
                <w:sz w:val="22"/>
                <w:szCs w:val="22"/>
                <w:lang w:val="es-ES" w:bidi="ar-SA"/>
              </w:rPr>
            </w:pPr>
            <w:r w:rsidRPr="00503D2A">
              <w:rPr>
                <w:rFonts w:cs="Times New Roman"/>
                <w:sz w:val="22"/>
                <w:lang w:val="es-ES" w:bidi="ar-SA"/>
              </w:rPr>
              <w:t xml:space="preserve">Lurralde Orekaren </w:t>
            </w:r>
            <w:r>
              <w:rPr>
                <w:rFonts w:cs="Times New Roman"/>
                <w:sz w:val="22"/>
                <w:lang w:val="es-ES" w:bidi="ar-SA"/>
              </w:rPr>
              <w:t>f</w:t>
            </w:r>
            <w:r w:rsidRPr="00503D2A">
              <w:rPr>
                <w:rFonts w:cs="Times New Roman"/>
                <w:sz w:val="22"/>
                <w:lang w:val="es-ES" w:bidi="ar-SA"/>
              </w:rPr>
              <w:t xml:space="preserve">oru </w:t>
            </w:r>
            <w:r>
              <w:rPr>
                <w:rFonts w:cs="Times New Roman"/>
                <w:sz w:val="22"/>
                <w:lang w:val="es-ES" w:bidi="ar-SA"/>
              </w:rPr>
              <w:t>d</w:t>
            </w:r>
            <w:r w:rsidRPr="00503D2A">
              <w:rPr>
                <w:rFonts w:cs="Times New Roman"/>
                <w:sz w:val="22"/>
                <w:lang w:val="es-ES" w:bidi="ar-SA"/>
              </w:rPr>
              <w:t>iputatua</w:t>
            </w:r>
          </w:p>
          <w:p w14:paraId="438D15C8" w14:textId="77777777" w:rsidR="00663BA9" w:rsidRPr="008C7888" w:rsidRDefault="004861BB" w:rsidP="004861BB">
            <w:pPr>
              <w:rPr>
                <w:rFonts w:ascii="Arial" w:hAnsi="Arial" w:cs="Arial"/>
                <w:sz w:val="16"/>
                <w:szCs w:val="16"/>
              </w:rPr>
            </w:pPr>
            <w:r w:rsidRPr="004C608E">
              <w:rPr>
                <w:sz w:val="22"/>
                <w:lang w:val="es-ES"/>
              </w:rPr>
              <w:t>Diputada de Equilibrio Territorial</w:t>
            </w:r>
            <w:r w:rsidRPr="008C7888">
              <w:rPr>
                <w:rFonts w:ascii="Arial" w:hAnsi="Arial" w:cs="Arial"/>
                <w:sz w:val="16"/>
                <w:szCs w:val="16"/>
              </w:rPr>
              <w:t xml:space="preserve"> </w:t>
            </w:r>
          </w:p>
        </w:tc>
        <w:tc>
          <w:tcPr>
            <w:tcW w:w="284" w:type="dxa"/>
          </w:tcPr>
          <w:p w14:paraId="16896FAD" w14:textId="77777777" w:rsidR="00663BA9" w:rsidRPr="008C7888" w:rsidRDefault="00F2220B" w:rsidP="005C6341">
            <w:pPr>
              <w:jc w:val="center"/>
              <w:rPr>
                <w:rFonts w:ascii="Arial" w:hAnsi="Arial" w:cs="Arial"/>
                <w:sz w:val="16"/>
                <w:szCs w:val="16"/>
              </w:rPr>
            </w:pPr>
          </w:p>
        </w:tc>
        <w:tc>
          <w:tcPr>
            <w:tcW w:w="4820" w:type="dxa"/>
          </w:tcPr>
          <w:p w14:paraId="30BEE62B" w14:textId="77777777" w:rsidR="004861BB" w:rsidRDefault="004861BB" w:rsidP="004861BB">
            <w:pPr>
              <w:pStyle w:val="Normal0"/>
              <w:tabs>
                <w:tab w:val="right" w:pos="8789"/>
              </w:tabs>
              <w:spacing w:after="20" w:line="240" w:lineRule="exact"/>
              <w:ind w:left="498"/>
              <w:jc w:val="both"/>
              <w:rPr>
                <w:rFonts w:cs="Times New Roman"/>
                <w:sz w:val="22"/>
                <w:lang w:val="es-ES" w:bidi="ar-SA"/>
              </w:rPr>
            </w:pPr>
          </w:p>
          <w:p w14:paraId="2690BABE" w14:textId="77777777" w:rsidR="004861BB" w:rsidRDefault="004861BB" w:rsidP="004861BB">
            <w:pPr>
              <w:pStyle w:val="Normal0"/>
              <w:tabs>
                <w:tab w:val="right" w:pos="8789"/>
              </w:tabs>
              <w:spacing w:after="20" w:line="240" w:lineRule="exact"/>
              <w:ind w:left="498"/>
              <w:jc w:val="both"/>
              <w:rPr>
                <w:rFonts w:cs="Times New Roman"/>
                <w:sz w:val="22"/>
                <w:lang w:val="es-ES" w:bidi="ar-SA"/>
              </w:rPr>
            </w:pPr>
          </w:p>
          <w:p w14:paraId="1958CA91" w14:textId="77777777" w:rsidR="004861BB" w:rsidRPr="00503D2A" w:rsidRDefault="004861BB" w:rsidP="004861BB">
            <w:pPr>
              <w:pStyle w:val="Normal0"/>
              <w:tabs>
                <w:tab w:val="right" w:pos="8789"/>
              </w:tabs>
              <w:spacing w:after="20" w:line="240" w:lineRule="exact"/>
              <w:ind w:left="498"/>
              <w:jc w:val="both"/>
              <w:rPr>
                <w:rFonts w:cs="Times New Roman"/>
                <w:b/>
                <w:sz w:val="22"/>
                <w:lang w:val="es-ES" w:bidi="ar-SA"/>
              </w:rPr>
            </w:pPr>
            <w:r w:rsidRPr="00503D2A">
              <w:rPr>
                <w:rFonts w:cs="Times New Roman"/>
                <w:b/>
                <w:sz w:val="22"/>
                <w:lang w:val="es-ES" w:bidi="ar-SA"/>
              </w:rPr>
              <w:t>Jesús María Guinea Díaz de Otálora</w:t>
            </w:r>
          </w:p>
          <w:p w14:paraId="7E5FD159" w14:textId="77777777" w:rsidR="004861BB" w:rsidRPr="004C608E" w:rsidRDefault="004861BB" w:rsidP="004861BB">
            <w:pPr>
              <w:pStyle w:val="Normal0"/>
              <w:tabs>
                <w:tab w:val="right" w:pos="8789"/>
              </w:tabs>
              <w:spacing w:after="20" w:line="240" w:lineRule="exact"/>
              <w:ind w:left="498"/>
              <w:jc w:val="both"/>
              <w:rPr>
                <w:rFonts w:cs="Times New Roman"/>
                <w:sz w:val="22"/>
                <w:lang w:val="es-ES" w:bidi="ar-SA"/>
              </w:rPr>
            </w:pPr>
            <w:r w:rsidRPr="004C608E">
              <w:rPr>
                <w:rFonts w:cs="Times New Roman"/>
                <w:sz w:val="22"/>
                <w:lang w:val="es-ES" w:bidi="ar-SA"/>
              </w:rPr>
              <w:t>Lurralde Orekaren zuzendaria</w:t>
            </w:r>
          </w:p>
          <w:p w14:paraId="3CEF37C5" w14:textId="77777777" w:rsidR="00663BA9" w:rsidRPr="008C7888" w:rsidRDefault="004861BB" w:rsidP="004861BB">
            <w:pPr>
              <w:ind w:left="498"/>
              <w:rPr>
                <w:rFonts w:ascii="Arial" w:hAnsi="Arial" w:cs="Arial"/>
                <w:sz w:val="16"/>
                <w:szCs w:val="16"/>
              </w:rPr>
            </w:pPr>
            <w:r w:rsidRPr="004C608E">
              <w:rPr>
                <w:sz w:val="22"/>
                <w:lang w:val="es-ES"/>
              </w:rPr>
              <w:t>Director de Equilibrio Territorial</w:t>
            </w:r>
            <w:r w:rsidRPr="008C7888">
              <w:rPr>
                <w:rFonts w:ascii="Arial" w:hAnsi="Arial" w:cs="Arial"/>
                <w:sz w:val="16"/>
                <w:szCs w:val="16"/>
              </w:rPr>
              <w:t xml:space="preserve"> </w:t>
            </w:r>
          </w:p>
        </w:tc>
      </w:tr>
    </w:tbl>
    <w:p w14:paraId="419A8759" w14:textId="77777777" w:rsidR="00E47DB3" w:rsidRPr="008C7888" w:rsidRDefault="00F2220B" w:rsidP="004861BB">
      <w:pPr>
        <w:pStyle w:val="Textoindependiente"/>
        <w:spacing w:after="0"/>
        <w:rPr>
          <w:rFonts w:cs="Arial"/>
          <w:sz w:val="16"/>
          <w:szCs w:val="16"/>
        </w:rPr>
      </w:pPr>
    </w:p>
    <w:sectPr w:rsidR="00E47DB3" w:rsidRPr="008C7888" w:rsidSect="00E53B88">
      <w:headerReference w:type="default" r:id="rId8"/>
      <w:headerReference w:type="first" r:id="rId9"/>
      <w:footerReference w:type="first" r:id="rId10"/>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7206" w14:textId="77777777" w:rsidR="00396797" w:rsidRDefault="00396797">
      <w:r>
        <w:separator/>
      </w:r>
    </w:p>
  </w:endnote>
  <w:endnote w:type="continuationSeparator" w:id="0">
    <w:p w14:paraId="409C0B87" w14:textId="77777777" w:rsidR="00396797" w:rsidRDefault="0039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09E6" w14:textId="77777777" w:rsidR="00BE3C89" w:rsidRPr="0013291F" w:rsidRDefault="00396797" w:rsidP="00BE3C89">
    <w:pPr>
      <w:pBdr>
        <w:bottom w:val="single" w:sz="4" w:space="1" w:color="auto"/>
      </w:pBdr>
      <w:spacing w:line="180" w:lineRule="exact"/>
      <w:rPr>
        <w:sz w:val="22"/>
      </w:rPr>
    </w:pPr>
    <w:r w:rsidRPr="0013291F">
      <w:rPr>
        <w:rFonts w:ascii="Arial" w:hAnsi="Arial"/>
        <w:noProof/>
        <w:color w:val="000000"/>
        <w:sz w:val="14"/>
      </w:rPr>
      <w:t>CORE04</w:t>
    </w:r>
  </w:p>
  <w:tbl>
    <w:tblPr>
      <w:tblW w:w="0" w:type="auto"/>
      <w:tblLayout w:type="fixed"/>
      <w:tblCellMar>
        <w:left w:w="70" w:type="dxa"/>
        <w:right w:w="70" w:type="dxa"/>
      </w:tblCellMar>
      <w:tblLook w:val="0000" w:firstRow="0" w:lastRow="0" w:firstColumn="0" w:lastColumn="0" w:noHBand="0" w:noVBand="0"/>
    </w:tblPr>
    <w:tblGrid>
      <w:gridCol w:w="4323"/>
      <w:gridCol w:w="2977"/>
      <w:gridCol w:w="2409"/>
    </w:tblGrid>
    <w:tr w:rsidR="00DA2A14" w:rsidRPr="004861BB" w14:paraId="47A1438C" w14:textId="77777777" w:rsidTr="009B1234">
      <w:trPr>
        <w:trHeight w:val="433"/>
      </w:trPr>
      <w:tc>
        <w:tcPr>
          <w:tcW w:w="4323" w:type="dxa"/>
        </w:tcPr>
        <w:p w14:paraId="6844A3BB" w14:textId="77777777" w:rsidR="00BE3C89" w:rsidRPr="004861BB" w:rsidRDefault="00101293" w:rsidP="009B1234">
          <w:pPr>
            <w:pStyle w:val="Textoindependiente"/>
            <w:spacing w:after="92" w:line="220" w:lineRule="exact"/>
            <w:ind w:left="11"/>
            <w:jc w:val="left"/>
            <w:rPr>
              <w:rFonts w:cs="Arial"/>
              <w:b/>
              <w:sz w:val="14"/>
              <w:szCs w:val="14"/>
            </w:rPr>
          </w:pPr>
          <w:r w:rsidRPr="004861BB">
            <w:rPr>
              <w:rFonts w:cs="Arial"/>
              <w:b/>
              <w:sz w:val="14"/>
              <w:szCs w:val="14"/>
            </w:rPr>
            <w:t>Lurralde Orekaren</w:t>
          </w:r>
          <w:r w:rsidR="00396797" w:rsidRPr="004861BB">
            <w:rPr>
              <w:rFonts w:cs="Arial"/>
              <w:b/>
              <w:sz w:val="14"/>
              <w:szCs w:val="14"/>
            </w:rPr>
            <w:t xml:space="preserve"> Saila</w:t>
          </w:r>
        </w:p>
        <w:p w14:paraId="2C4A1B58" w14:textId="77777777" w:rsidR="00BE3C89" w:rsidRPr="004861BB" w:rsidRDefault="00101293" w:rsidP="00101293">
          <w:pPr>
            <w:pStyle w:val="Textoindependiente"/>
            <w:spacing w:after="113" w:line="220" w:lineRule="exact"/>
            <w:ind w:left="11"/>
            <w:jc w:val="left"/>
            <w:rPr>
              <w:rFonts w:cs="Arial"/>
              <w:sz w:val="14"/>
              <w:szCs w:val="14"/>
            </w:rPr>
          </w:pPr>
          <w:r w:rsidRPr="004861BB">
            <w:rPr>
              <w:rFonts w:cs="Arial"/>
              <w:b/>
              <w:sz w:val="14"/>
              <w:szCs w:val="14"/>
            </w:rPr>
            <w:t>Departamento de Equilibrio Territorial</w:t>
          </w:r>
        </w:p>
      </w:tc>
      <w:tc>
        <w:tcPr>
          <w:tcW w:w="2977" w:type="dxa"/>
        </w:tcPr>
        <w:p w14:paraId="3207D3B7" w14:textId="77777777" w:rsidR="00101293" w:rsidRPr="004861BB" w:rsidRDefault="00101293" w:rsidP="009B1234">
          <w:pPr>
            <w:tabs>
              <w:tab w:val="center" w:pos="4252"/>
              <w:tab w:val="right" w:pos="8504"/>
            </w:tabs>
            <w:spacing w:after="92" w:line="220" w:lineRule="exact"/>
            <w:ind w:left="11"/>
            <w:rPr>
              <w:rFonts w:ascii="Arial" w:hAnsi="Arial"/>
              <w:noProof/>
              <w:sz w:val="14"/>
              <w:szCs w:val="14"/>
            </w:rPr>
          </w:pPr>
          <w:r w:rsidRPr="004861BB">
            <w:rPr>
              <w:rFonts w:ascii="Arial" w:hAnsi="Arial"/>
              <w:noProof/>
              <w:sz w:val="14"/>
              <w:szCs w:val="14"/>
            </w:rPr>
            <w:t>Lurralde Orekaren Zuzendaritza</w:t>
          </w:r>
        </w:p>
        <w:p w14:paraId="7151D7AA" w14:textId="77777777" w:rsidR="00BE3C89" w:rsidRPr="004861BB" w:rsidRDefault="00101293" w:rsidP="009B1234">
          <w:pPr>
            <w:pStyle w:val="Textoindependiente"/>
            <w:spacing w:before="20" w:after="70" w:line="200" w:lineRule="exact"/>
            <w:ind w:left="11"/>
            <w:jc w:val="left"/>
            <w:rPr>
              <w:rFonts w:cs="Arial"/>
              <w:sz w:val="14"/>
              <w:szCs w:val="14"/>
            </w:rPr>
          </w:pPr>
          <w:r w:rsidRPr="004861BB">
            <w:rPr>
              <w:noProof/>
              <w:sz w:val="14"/>
              <w:szCs w:val="14"/>
              <w:lang w:val="es-ES"/>
            </w:rPr>
            <w:t>Dirección de Equilibrio Territorial</w:t>
          </w:r>
        </w:p>
      </w:tc>
      <w:tc>
        <w:tcPr>
          <w:tcW w:w="2409" w:type="dxa"/>
        </w:tcPr>
        <w:p w14:paraId="6BCB79D5" w14:textId="77777777" w:rsidR="00101293" w:rsidRPr="004861BB" w:rsidRDefault="00101293" w:rsidP="00101293">
          <w:pPr>
            <w:pStyle w:val="Piedepgina"/>
            <w:spacing w:after="60" w:line="170" w:lineRule="exact"/>
            <w:ind w:right="566"/>
            <w:rPr>
              <w:rFonts w:ascii="Arial" w:hAnsi="Arial" w:cs="Arial"/>
              <w:sz w:val="14"/>
              <w:szCs w:val="14"/>
            </w:rPr>
          </w:pPr>
          <w:r w:rsidRPr="004861BB">
            <w:rPr>
              <w:rFonts w:ascii="Arial" w:hAnsi="Arial" w:cs="Arial"/>
              <w:sz w:val="14"/>
              <w:szCs w:val="14"/>
            </w:rPr>
            <w:t>Probintzia Plaza, 5, 2º</w:t>
          </w:r>
          <w:r w:rsidRPr="004861BB">
            <w:rPr>
              <w:rFonts w:ascii="Arial" w:hAnsi="Arial" w:cs="Arial"/>
              <w:sz w:val="14"/>
              <w:szCs w:val="14"/>
            </w:rPr>
            <w:br/>
            <w:t>01001 Vitoria-Gasteiz</w:t>
          </w:r>
        </w:p>
        <w:p w14:paraId="780DE1ED" w14:textId="77777777" w:rsidR="00BE3C89" w:rsidRPr="004861BB" w:rsidRDefault="00101293" w:rsidP="00101293">
          <w:pPr>
            <w:pStyle w:val="Piedepgina"/>
            <w:spacing w:after="2" w:line="220" w:lineRule="exact"/>
            <w:ind w:left="40"/>
            <w:rPr>
              <w:rFonts w:ascii="Arial" w:hAnsi="Arial" w:cs="Arial"/>
              <w:sz w:val="14"/>
              <w:szCs w:val="14"/>
            </w:rPr>
          </w:pPr>
          <w:r w:rsidRPr="004861BB">
            <w:rPr>
              <w:rFonts w:ascii="Arial" w:hAnsi="Arial" w:cs="Arial"/>
              <w:sz w:val="14"/>
              <w:szCs w:val="14"/>
            </w:rPr>
            <w:t>Tel. 945 18 18 18</w:t>
          </w:r>
          <w:r w:rsidRPr="004861BB">
            <w:rPr>
              <w:rFonts w:ascii="Arial" w:hAnsi="Arial" w:cs="Arial"/>
              <w:sz w:val="14"/>
              <w:szCs w:val="14"/>
            </w:rPr>
            <w:br/>
            <w:t>Fax: 945 18 17 73</w:t>
          </w:r>
        </w:p>
      </w:tc>
    </w:tr>
  </w:tbl>
  <w:p w14:paraId="10A934D8" w14:textId="77777777" w:rsidR="00007960" w:rsidRPr="004861BB" w:rsidRDefault="00F2220B" w:rsidP="00BE3C89">
    <w:pPr>
      <w:pStyle w:val="Piedepgina"/>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3939" w14:textId="77777777" w:rsidR="00396797" w:rsidRDefault="00396797">
      <w:r>
        <w:separator/>
      </w:r>
    </w:p>
  </w:footnote>
  <w:footnote w:type="continuationSeparator" w:id="0">
    <w:p w14:paraId="531EBD43" w14:textId="77777777" w:rsidR="00396797" w:rsidRDefault="0039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DA2A14" w14:paraId="7D8F2DF6" w14:textId="77777777" w:rsidTr="001A0E0E">
      <w:trPr>
        <w:cantSplit/>
        <w:trHeight w:hRule="exact" w:val="567"/>
      </w:trPr>
      <w:tc>
        <w:tcPr>
          <w:tcW w:w="4536" w:type="dxa"/>
          <w:vAlign w:val="center"/>
        </w:tcPr>
        <w:p w14:paraId="01A0C45B" w14:textId="77777777" w:rsidR="00007960" w:rsidRDefault="00F2220B" w:rsidP="0078412B">
          <w:pPr>
            <w:pStyle w:val="Encabezado"/>
          </w:pPr>
        </w:p>
      </w:tc>
      <w:tc>
        <w:tcPr>
          <w:tcW w:w="851" w:type="dxa"/>
          <w:vMerge w:val="restart"/>
          <w:vAlign w:val="center"/>
        </w:tcPr>
        <w:p w14:paraId="0F9994CE" w14:textId="77777777" w:rsidR="00007960" w:rsidRDefault="00396797" w:rsidP="0078412B">
          <w:pPr>
            <w:pStyle w:val="Encabezado"/>
            <w:jc w:val="center"/>
          </w:pPr>
          <w:r>
            <w:rPr>
              <w:noProof/>
              <w:lang w:val="es-ES"/>
            </w:rPr>
            <w:drawing>
              <wp:inline distT="0" distB="0" distL="0" distR="0" wp14:anchorId="4E8626D5" wp14:editId="0B8CA401">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11EE49BA" w14:textId="77777777" w:rsidR="00007960" w:rsidRDefault="00F2220B" w:rsidP="0078412B">
          <w:pPr>
            <w:pStyle w:val="Encabezado"/>
          </w:pPr>
        </w:p>
      </w:tc>
    </w:tr>
    <w:tr w:rsidR="00DA2A14" w14:paraId="148656A3" w14:textId="77777777" w:rsidTr="001A0E0E">
      <w:trPr>
        <w:cantSplit/>
        <w:trHeight w:hRule="exact" w:val="567"/>
      </w:trPr>
      <w:tc>
        <w:tcPr>
          <w:tcW w:w="4536" w:type="dxa"/>
          <w:vAlign w:val="center"/>
        </w:tcPr>
        <w:p w14:paraId="78E32033" w14:textId="77777777" w:rsidR="00007960" w:rsidRDefault="00F2220B" w:rsidP="0078412B">
          <w:pPr>
            <w:pStyle w:val="Encabezado"/>
          </w:pPr>
        </w:p>
      </w:tc>
      <w:tc>
        <w:tcPr>
          <w:tcW w:w="851" w:type="dxa"/>
          <w:vMerge/>
          <w:vAlign w:val="center"/>
        </w:tcPr>
        <w:p w14:paraId="3C57476D" w14:textId="77777777" w:rsidR="00007960" w:rsidRDefault="00F2220B" w:rsidP="0078412B">
          <w:pPr>
            <w:pStyle w:val="Encabezado"/>
            <w:jc w:val="center"/>
          </w:pPr>
        </w:p>
      </w:tc>
      <w:tc>
        <w:tcPr>
          <w:tcW w:w="4536" w:type="dxa"/>
          <w:vAlign w:val="center"/>
        </w:tcPr>
        <w:p w14:paraId="7B5C0705" w14:textId="77777777" w:rsidR="00007960" w:rsidRDefault="00F2220B" w:rsidP="0078412B">
          <w:pPr>
            <w:pStyle w:val="Encabezado"/>
          </w:pPr>
        </w:p>
      </w:tc>
    </w:tr>
  </w:tbl>
  <w:p w14:paraId="00B65C99" w14:textId="77777777" w:rsidR="00007960" w:rsidRPr="0013766D" w:rsidRDefault="00F2220B">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DA2A14" w14:paraId="1A7C668B" w14:textId="77777777" w:rsidTr="001F2BE9">
      <w:trPr>
        <w:trHeight w:val="2041"/>
      </w:trPr>
      <w:tc>
        <w:tcPr>
          <w:tcW w:w="3969" w:type="dxa"/>
        </w:tcPr>
        <w:p w14:paraId="1448FDE9" w14:textId="77777777" w:rsidR="00007960" w:rsidRPr="007F2571" w:rsidRDefault="00396797"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2D7C800C" wp14:editId="1C49235B">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4F41A2FE" w14:textId="77777777" w:rsidR="00007960" w:rsidRDefault="00F2220B" w:rsidP="00470015">
          <w:pPr>
            <w:pStyle w:val="Piedepgina"/>
            <w:rPr>
              <w:rFonts w:ascii="Arial" w:hAnsi="Arial" w:cs="Arial"/>
              <w:b/>
              <w:bCs/>
              <w:color w:val="808080" w:themeColor="background1" w:themeShade="80"/>
              <w:sz w:val="12"/>
              <w:szCs w:val="12"/>
              <w:lang w:val="es-ES"/>
            </w:rPr>
          </w:pPr>
        </w:p>
        <w:p w14:paraId="2416D1D4" w14:textId="77777777" w:rsidR="00007960" w:rsidRPr="000B6392" w:rsidRDefault="00F2220B" w:rsidP="00470015">
          <w:pPr>
            <w:pStyle w:val="Encabezado"/>
            <w:rPr>
              <w:rFonts w:ascii="Arial" w:hAnsi="Arial" w:cs="Arial"/>
              <w:b/>
              <w:color w:val="808080" w:themeColor="background1" w:themeShade="80"/>
              <w:sz w:val="16"/>
              <w:szCs w:val="16"/>
            </w:rPr>
          </w:pPr>
        </w:p>
      </w:tc>
    </w:tr>
  </w:tbl>
  <w:p w14:paraId="3176A2A3" w14:textId="77777777" w:rsidR="00007960" w:rsidRPr="0013766D" w:rsidRDefault="00F2220B"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14"/>
    <w:rsid w:val="00101293"/>
    <w:rsid w:val="00396797"/>
    <w:rsid w:val="004861BB"/>
    <w:rsid w:val="00555799"/>
    <w:rsid w:val="009B1234"/>
    <w:rsid w:val="00AC7C1E"/>
    <w:rsid w:val="00DA2A14"/>
    <w:rsid w:val="00EC4163"/>
    <w:rsid w:val="00F2220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07A13"/>
  <w15:docId w15:val="{85AFA0A3-EDDC-4389-8388-2D7EED22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Heading20">
    <w:name w:val="Heading 2_0"/>
    <w:basedOn w:val="Normal0"/>
    <w:next w:val="Normal0"/>
    <w:link w:val="Ttulo2Car"/>
    <w:qFormat/>
    <w:rsid w:val="00300AA4"/>
    <w:pPr>
      <w:keepNext/>
      <w:spacing w:before="240" w:after="480"/>
      <w:outlineLvl w:val="1"/>
    </w:pPr>
    <w:rPr>
      <w:b/>
      <w:sz w:val="24"/>
      <w:lang w:eastAsia="en-US"/>
    </w:rPr>
  </w:style>
  <w:style w:type="paragraph" w:customStyle="1" w:styleId="Normal0">
    <w:name w:val="Normal_0"/>
    <w:qFormat/>
    <w:rsid w:val="00D85F92"/>
    <w:rPr>
      <w:rFonts w:ascii="Times New Roman" w:hAnsi="Times New Roman" w:cs="Arial"/>
      <w:lang w:val="es-ES_tradnl" w:bidi="or-IN"/>
    </w:rPr>
  </w:style>
  <w:style w:type="character" w:customStyle="1" w:styleId="Ttulo2Car">
    <w:name w:val="Título 2 Car"/>
    <w:basedOn w:val="Fuentedeprrafopredeter"/>
    <w:link w:val="Heading20"/>
    <w:rsid w:val="00300AA4"/>
    <w:rPr>
      <w:rFonts w:ascii="Times New Roman" w:eastAsia="Times New Roman" w:hAnsi="Times New Roman" w:cs="Arial"/>
      <w:b/>
      <w:sz w:val="24"/>
      <w:szCs w:val="20"/>
      <w:lang w:val="es-ES_tradnl" w:eastAsia="es-E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C6C67-531C-4282-9071-A5D3F2E2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5</TotalTime>
  <Pages>2</Pages>
  <Words>794</Words>
  <Characters>4387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Orobengoa San Vicente, Galder</cp:lastModifiedBy>
  <cp:revision>4</cp:revision>
  <cp:lastPrinted>2020-03-03T11:03:00Z</cp:lastPrinted>
  <dcterms:created xsi:type="dcterms:W3CDTF">2022-10-28T10:57:00Z</dcterms:created>
  <dcterms:modified xsi:type="dcterms:W3CDTF">2022-10-28T10:57:00Z</dcterms:modified>
</cp:coreProperties>
</file>