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73D" w:rsidRPr="009C52F4" w:rsidRDefault="00393B92" w:rsidP="00393B92">
      <w:pPr>
        <w:spacing w:after="200" w:line="276" w:lineRule="auto"/>
      </w:pPr>
      <w:bookmarkStart w:id="0" w:name="_GoBack"/>
      <w:bookmarkEnd w:id="0"/>
      <w:r w:rsidRPr="00361372">
        <w:rPr>
          <w:rFonts w:eastAsiaTheme="minorHAnsi"/>
          <w:b/>
          <w:sz w:val="24"/>
          <w:szCs w:val="24"/>
          <w:lang w:eastAsia="en-US"/>
        </w:rPr>
        <w:t>LANKIDETZARAKO ESPARRU AKORDIOA ARABAKO FORU ALDUNDIAREN ETA BURGOSKO PROBINTZIA DIPUTAZIOAREN ARTEAN, TREBIÑUKO ENKLABEA DELA ETA.</w:t>
      </w:r>
      <w:r w:rsidR="00BF173D" w:rsidRPr="009C52F4">
        <w:rPr>
          <w:rFonts w:eastAsiaTheme="minorHAnsi"/>
          <w:b/>
          <w:sz w:val="24"/>
          <w:szCs w:val="24"/>
          <w:lang w:eastAsia="en-US"/>
        </w:rPr>
        <w:t xml:space="preserve"> </w:t>
      </w:r>
    </w:p>
    <w:p w:rsidR="00BF173D" w:rsidRPr="009C52F4" w:rsidRDefault="00BF173D" w:rsidP="00BF173D">
      <w:pPr>
        <w:spacing w:after="200" w:line="276" w:lineRule="auto"/>
        <w:jc w:val="both"/>
        <w:rPr>
          <w:rFonts w:eastAsiaTheme="minorHAnsi"/>
          <w:b/>
          <w:sz w:val="24"/>
          <w:szCs w:val="24"/>
          <w:lang w:eastAsia="en-US"/>
        </w:rPr>
      </w:pPr>
    </w:p>
    <w:p w:rsidR="00BF173D" w:rsidRPr="009C52F4" w:rsidRDefault="00BF173D" w:rsidP="00393B92">
      <w:pPr>
        <w:spacing w:after="200" w:line="276" w:lineRule="auto"/>
        <w:jc w:val="both"/>
        <w:rPr>
          <w:rFonts w:eastAsiaTheme="minorHAnsi"/>
          <w:sz w:val="24"/>
          <w:szCs w:val="24"/>
          <w:lang w:eastAsia="en-US"/>
        </w:rPr>
      </w:pPr>
      <w:r w:rsidRPr="009C52F4">
        <w:rPr>
          <w:rFonts w:eastAsiaTheme="minorHAnsi"/>
          <w:sz w:val="24"/>
          <w:szCs w:val="24"/>
          <w:lang w:eastAsia="en-US"/>
        </w:rPr>
        <w:tab/>
      </w:r>
      <w:r w:rsidRPr="009C52F4">
        <w:rPr>
          <w:rFonts w:eastAsiaTheme="minorHAnsi"/>
          <w:sz w:val="24"/>
          <w:szCs w:val="24"/>
          <w:lang w:eastAsia="en-US"/>
        </w:rPr>
        <w:tab/>
      </w:r>
      <w:r w:rsidRPr="009C52F4">
        <w:rPr>
          <w:rFonts w:eastAsiaTheme="minorHAnsi"/>
          <w:sz w:val="24"/>
          <w:szCs w:val="24"/>
          <w:lang w:eastAsia="en-US"/>
        </w:rPr>
        <w:tab/>
      </w:r>
      <w:r w:rsidRPr="009C52F4">
        <w:rPr>
          <w:rFonts w:eastAsiaTheme="minorHAnsi"/>
          <w:sz w:val="24"/>
          <w:szCs w:val="24"/>
          <w:lang w:eastAsia="en-US"/>
        </w:rPr>
        <w:tab/>
      </w:r>
      <w:r w:rsidRPr="009C52F4">
        <w:rPr>
          <w:rFonts w:eastAsiaTheme="minorHAnsi"/>
          <w:sz w:val="24"/>
          <w:szCs w:val="24"/>
          <w:lang w:eastAsia="en-US"/>
        </w:rPr>
        <w:tab/>
        <w:t xml:space="preserve">                 </w:t>
      </w:r>
      <w:r w:rsidR="00393B92" w:rsidRPr="00361372">
        <w:rPr>
          <w:rFonts w:eastAsiaTheme="minorHAnsi"/>
          <w:sz w:val="24"/>
          <w:szCs w:val="24"/>
          <w:lang w:eastAsia="en-US"/>
        </w:rPr>
        <w:t>…………………………………-(e)n</w:t>
      </w:r>
    </w:p>
    <w:p w:rsidR="00BF173D" w:rsidRPr="009C52F4" w:rsidRDefault="00BF173D" w:rsidP="00BF173D">
      <w:pPr>
        <w:spacing w:after="200" w:line="276" w:lineRule="auto"/>
        <w:jc w:val="both"/>
        <w:rPr>
          <w:rFonts w:eastAsiaTheme="minorHAnsi"/>
          <w:sz w:val="24"/>
          <w:szCs w:val="24"/>
          <w:lang w:eastAsia="en-US"/>
        </w:rPr>
      </w:pPr>
    </w:p>
    <w:p w:rsidR="00BF173D" w:rsidRPr="009C52F4" w:rsidRDefault="00393B92" w:rsidP="00393B92">
      <w:pPr>
        <w:spacing w:after="200" w:line="276" w:lineRule="auto"/>
        <w:jc w:val="center"/>
        <w:rPr>
          <w:rFonts w:eastAsiaTheme="minorHAnsi"/>
          <w:b/>
          <w:sz w:val="24"/>
          <w:szCs w:val="24"/>
          <w:lang w:eastAsia="en-US"/>
        </w:rPr>
      </w:pPr>
      <w:r w:rsidRPr="00361372">
        <w:rPr>
          <w:rFonts w:eastAsiaTheme="minorHAnsi"/>
          <w:b/>
          <w:sz w:val="24"/>
          <w:szCs w:val="24"/>
          <w:lang w:eastAsia="en-US"/>
        </w:rPr>
        <w:t>BILDU DIRA</w:t>
      </w:r>
    </w:p>
    <w:p w:rsidR="00BF173D" w:rsidRPr="009C52F4" w:rsidRDefault="00393B92" w:rsidP="00393B92">
      <w:pPr>
        <w:spacing w:after="200" w:line="276" w:lineRule="auto"/>
        <w:jc w:val="both"/>
        <w:rPr>
          <w:rFonts w:eastAsiaTheme="minorHAnsi"/>
          <w:sz w:val="24"/>
          <w:szCs w:val="24"/>
          <w:lang w:eastAsia="en-US"/>
        </w:rPr>
      </w:pPr>
      <w:r w:rsidRPr="00361372">
        <w:rPr>
          <w:rFonts w:eastAsiaTheme="minorHAnsi"/>
          <w:sz w:val="24"/>
          <w:szCs w:val="24"/>
          <w:lang w:eastAsia="en-US"/>
        </w:rPr>
        <w:t>Alde batetik:</w:t>
      </w:r>
    </w:p>
    <w:p w:rsidR="00BF173D" w:rsidRPr="009C52F4" w:rsidRDefault="00393B92" w:rsidP="00393B92">
      <w:pPr>
        <w:spacing w:after="200" w:line="276" w:lineRule="auto"/>
        <w:jc w:val="both"/>
        <w:rPr>
          <w:rFonts w:eastAsiaTheme="minorHAnsi"/>
          <w:sz w:val="24"/>
          <w:szCs w:val="24"/>
          <w:lang w:eastAsia="en-US"/>
        </w:rPr>
      </w:pPr>
      <w:r w:rsidRPr="00361372">
        <w:rPr>
          <w:rFonts w:eastAsiaTheme="minorHAnsi"/>
          <w:sz w:val="24"/>
          <w:szCs w:val="24"/>
          <w:lang w:eastAsia="en-US"/>
        </w:rPr>
        <w:t xml:space="preserve">Ramiro González Vicente jauna, diputatu nagusi gisa, Arabako Foru Aldundia ordezkatuz, eta Foru Gobernu Kontseiluak eta Arabako Batzar Nagusiek …….. Foru Araua baliatuz emandako baimenaren arabera. Foru arau hori da Arabako Foru Aldundiaren eta Burgosko Probintzia Diputazioaren artean Trebiñuko enklabeari buruzko elkarlanerako esparru hitzarmena </w:t>
      </w:r>
      <w:proofErr w:type="spellStart"/>
      <w:r w:rsidRPr="00361372">
        <w:rPr>
          <w:rFonts w:eastAsiaTheme="minorHAnsi"/>
          <w:sz w:val="24"/>
          <w:szCs w:val="24"/>
          <w:lang w:eastAsia="en-US"/>
        </w:rPr>
        <w:t>berrestekoa</w:t>
      </w:r>
      <w:proofErr w:type="spellEnd"/>
      <w:r w:rsidRPr="00361372">
        <w:rPr>
          <w:rFonts w:eastAsiaTheme="minorHAnsi"/>
          <w:sz w:val="24"/>
          <w:szCs w:val="24"/>
          <w:lang w:eastAsia="en-US"/>
        </w:rPr>
        <w:t>.</w:t>
      </w:r>
    </w:p>
    <w:p w:rsidR="00BF173D" w:rsidRPr="009C52F4" w:rsidRDefault="00393B92" w:rsidP="00393B92">
      <w:pPr>
        <w:spacing w:after="200" w:line="276" w:lineRule="auto"/>
        <w:jc w:val="both"/>
        <w:rPr>
          <w:rFonts w:eastAsiaTheme="minorHAnsi"/>
          <w:sz w:val="24"/>
          <w:szCs w:val="24"/>
          <w:lang w:eastAsia="en-US"/>
        </w:rPr>
      </w:pPr>
      <w:r w:rsidRPr="00361372">
        <w:rPr>
          <w:rFonts w:eastAsiaTheme="minorHAnsi"/>
          <w:sz w:val="24"/>
          <w:szCs w:val="24"/>
          <w:lang w:eastAsia="en-US"/>
        </w:rPr>
        <w:t>Bestetik:</w:t>
      </w:r>
    </w:p>
    <w:p w:rsidR="00BF173D" w:rsidRPr="009C52F4" w:rsidRDefault="00393B92" w:rsidP="00393B92">
      <w:pPr>
        <w:spacing w:after="200" w:line="276" w:lineRule="auto"/>
        <w:jc w:val="both"/>
        <w:rPr>
          <w:rFonts w:eastAsiaTheme="minorHAnsi"/>
          <w:sz w:val="24"/>
          <w:szCs w:val="24"/>
          <w:lang w:eastAsia="en-US"/>
        </w:rPr>
      </w:pPr>
      <w:r w:rsidRPr="00361372">
        <w:rPr>
          <w:rFonts w:eastAsiaTheme="minorHAnsi"/>
          <w:sz w:val="24"/>
          <w:szCs w:val="24"/>
          <w:lang w:eastAsia="en-US"/>
        </w:rPr>
        <w:t>Cesar Rico Ruiz jauna, Burgosko Diputazio Probintziala ordezkatuz, lehendakari gisa</w:t>
      </w:r>
      <w:r w:rsidR="002C7C20" w:rsidRPr="00361372">
        <w:rPr>
          <w:rFonts w:eastAsiaTheme="minorHAnsi"/>
          <w:sz w:val="24"/>
          <w:szCs w:val="24"/>
          <w:lang w:eastAsia="en-US"/>
        </w:rPr>
        <w:t>;</w:t>
      </w:r>
      <w:r w:rsidRPr="00361372">
        <w:rPr>
          <w:rFonts w:eastAsiaTheme="minorHAnsi"/>
          <w:sz w:val="24"/>
          <w:szCs w:val="24"/>
          <w:lang w:eastAsia="en-US"/>
        </w:rPr>
        <w:t xml:space="preserve"> hartarako, Burgosko </w:t>
      </w:r>
      <w:r w:rsidR="002A40BA" w:rsidRPr="00361372">
        <w:rPr>
          <w:rFonts w:eastAsiaTheme="minorHAnsi"/>
          <w:sz w:val="24"/>
          <w:szCs w:val="24"/>
          <w:lang w:eastAsia="en-US"/>
        </w:rPr>
        <w:t>Probintzia</w:t>
      </w:r>
      <w:r w:rsidRPr="00361372">
        <w:rPr>
          <w:rFonts w:eastAsiaTheme="minorHAnsi"/>
          <w:sz w:val="24"/>
          <w:szCs w:val="24"/>
          <w:lang w:eastAsia="en-US"/>
        </w:rPr>
        <w:t xml:space="preserve"> </w:t>
      </w:r>
      <w:r w:rsidR="002A40BA" w:rsidRPr="00361372">
        <w:rPr>
          <w:rFonts w:eastAsiaTheme="minorHAnsi"/>
          <w:sz w:val="24"/>
          <w:szCs w:val="24"/>
          <w:lang w:eastAsia="en-US"/>
        </w:rPr>
        <w:t>Diputazioaren</w:t>
      </w:r>
      <w:r w:rsidRPr="00361372">
        <w:rPr>
          <w:rFonts w:eastAsiaTheme="minorHAnsi"/>
          <w:sz w:val="24"/>
          <w:szCs w:val="24"/>
          <w:lang w:eastAsia="en-US"/>
        </w:rPr>
        <w:t xml:space="preserve"> 2019ko ekainaren 28ko bilkuran izendatu zuten, Toki Araubidearen Oinarriak arautzen dituen apirilaren 2ko 7/1985 Legearen 3</w:t>
      </w:r>
      <w:r w:rsidR="00913997" w:rsidRPr="00361372">
        <w:rPr>
          <w:rFonts w:eastAsiaTheme="minorHAnsi"/>
          <w:sz w:val="24"/>
          <w:szCs w:val="24"/>
          <w:lang w:eastAsia="en-US"/>
        </w:rPr>
        <w:t>1</w:t>
      </w:r>
      <w:r w:rsidRPr="00361372">
        <w:rPr>
          <w:rFonts w:eastAsiaTheme="minorHAnsi"/>
          <w:sz w:val="24"/>
          <w:szCs w:val="24"/>
          <w:lang w:eastAsia="en-US"/>
        </w:rPr>
        <w:t>.1 b) artikuluan emandako eskumenak baliatuz.</w:t>
      </w:r>
    </w:p>
    <w:p w:rsidR="00DF6779" w:rsidRPr="009C52F4" w:rsidRDefault="00393B92" w:rsidP="00393B92">
      <w:pPr>
        <w:spacing w:after="200" w:line="276" w:lineRule="auto"/>
        <w:jc w:val="both"/>
        <w:rPr>
          <w:rFonts w:eastAsiaTheme="minorHAnsi"/>
          <w:sz w:val="24"/>
          <w:szCs w:val="24"/>
          <w:lang w:eastAsia="en-US"/>
        </w:rPr>
      </w:pPr>
      <w:r w:rsidRPr="00361372">
        <w:rPr>
          <w:rFonts w:eastAsiaTheme="minorHAnsi"/>
          <w:sz w:val="24"/>
          <w:szCs w:val="24"/>
          <w:lang w:eastAsia="en-US"/>
        </w:rPr>
        <w:t>Aurrerantzean, Arabako Foru Aldundia, alde batetik, eta Burgosko Probintzia Diputazioa, bestetik, “</w:t>
      </w:r>
      <w:r w:rsidRPr="00361372">
        <w:rPr>
          <w:rFonts w:eastAsiaTheme="minorHAnsi"/>
          <w:b/>
          <w:bCs/>
          <w:sz w:val="24"/>
          <w:szCs w:val="24"/>
          <w:lang w:eastAsia="en-US"/>
        </w:rPr>
        <w:t>alderdiak</w:t>
      </w:r>
      <w:r w:rsidRPr="00361372">
        <w:rPr>
          <w:rFonts w:eastAsiaTheme="minorHAnsi"/>
          <w:sz w:val="24"/>
          <w:szCs w:val="24"/>
          <w:lang w:eastAsia="en-US"/>
        </w:rPr>
        <w:t>” deituko dira batera, eta “</w:t>
      </w:r>
      <w:r w:rsidRPr="00361372">
        <w:rPr>
          <w:rFonts w:eastAsiaTheme="minorHAnsi"/>
          <w:b/>
          <w:bCs/>
          <w:sz w:val="24"/>
          <w:szCs w:val="24"/>
          <w:lang w:eastAsia="en-US"/>
        </w:rPr>
        <w:t>alderdia</w:t>
      </w:r>
      <w:r w:rsidRPr="00361372">
        <w:rPr>
          <w:rFonts w:eastAsiaTheme="minorHAnsi"/>
          <w:sz w:val="24"/>
          <w:szCs w:val="24"/>
          <w:lang w:eastAsia="en-US"/>
        </w:rPr>
        <w:t>” bereizita.</w:t>
      </w:r>
    </w:p>
    <w:p w:rsidR="00BF173D" w:rsidRPr="009C52F4" w:rsidRDefault="002A40BA" w:rsidP="002A40BA">
      <w:pPr>
        <w:spacing w:after="200" w:line="276" w:lineRule="auto"/>
        <w:jc w:val="both"/>
        <w:rPr>
          <w:rFonts w:eastAsiaTheme="minorHAnsi"/>
          <w:sz w:val="24"/>
          <w:szCs w:val="24"/>
          <w:lang w:eastAsia="en-US"/>
        </w:rPr>
      </w:pPr>
      <w:r w:rsidRPr="00361372">
        <w:rPr>
          <w:rFonts w:eastAsiaTheme="minorHAnsi"/>
          <w:sz w:val="24"/>
          <w:szCs w:val="24"/>
          <w:lang w:eastAsia="en-US"/>
        </w:rPr>
        <w:t>Bi aldeek esparru akordio hau izenpetzeko lege gaitasun nahikoa aitortzen diote elkarri eta, horretarako, honako hau</w:t>
      </w:r>
    </w:p>
    <w:p w:rsidR="00BF173D" w:rsidRPr="009C52F4" w:rsidRDefault="002A40BA" w:rsidP="002A40BA">
      <w:pPr>
        <w:spacing w:after="200" w:line="276" w:lineRule="auto"/>
        <w:jc w:val="center"/>
        <w:rPr>
          <w:rFonts w:eastAsiaTheme="minorHAnsi"/>
          <w:b/>
          <w:sz w:val="24"/>
          <w:szCs w:val="24"/>
          <w:lang w:eastAsia="en-US"/>
        </w:rPr>
      </w:pPr>
      <w:r w:rsidRPr="00361372">
        <w:rPr>
          <w:rFonts w:eastAsiaTheme="minorHAnsi"/>
          <w:b/>
          <w:sz w:val="24"/>
          <w:szCs w:val="24"/>
          <w:lang w:eastAsia="en-US"/>
        </w:rPr>
        <w:t>ADIERAZTEN DUTE</w:t>
      </w:r>
    </w:p>
    <w:p w:rsidR="00BF173D" w:rsidRPr="009C52F4" w:rsidRDefault="002A40BA" w:rsidP="002A40BA">
      <w:pPr>
        <w:spacing w:after="200" w:line="276" w:lineRule="auto"/>
        <w:jc w:val="both"/>
        <w:rPr>
          <w:rFonts w:eastAsiaTheme="minorHAnsi"/>
          <w:sz w:val="24"/>
          <w:szCs w:val="24"/>
          <w:lang w:eastAsia="en-US"/>
        </w:rPr>
      </w:pPr>
      <w:r w:rsidRPr="00361372">
        <w:rPr>
          <w:rFonts w:eastAsiaTheme="minorHAnsi"/>
          <w:sz w:val="24"/>
          <w:szCs w:val="24"/>
          <w:lang w:eastAsia="en-US"/>
        </w:rPr>
        <w:t>I.</w:t>
      </w:r>
      <w:r w:rsidR="00BF173D" w:rsidRPr="009C52F4">
        <w:rPr>
          <w:rFonts w:eastAsiaTheme="minorHAnsi"/>
          <w:sz w:val="24"/>
          <w:szCs w:val="24"/>
          <w:lang w:eastAsia="en-US"/>
        </w:rPr>
        <w:tab/>
      </w:r>
      <w:r w:rsidRPr="00361372">
        <w:rPr>
          <w:rFonts w:eastAsiaTheme="minorHAnsi"/>
          <w:sz w:val="24"/>
          <w:szCs w:val="24"/>
          <w:lang w:eastAsia="en-US"/>
        </w:rPr>
        <w:t xml:space="preserve">Arabako Lurralde Historikoak, Burgosko probintziak eta haiek </w:t>
      </w:r>
      <w:proofErr w:type="spellStart"/>
      <w:r w:rsidRPr="00361372">
        <w:rPr>
          <w:rFonts w:eastAsiaTheme="minorHAnsi"/>
          <w:sz w:val="24"/>
          <w:szCs w:val="24"/>
          <w:lang w:eastAsia="en-US"/>
        </w:rPr>
        <w:t>daudeneko</w:t>
      </w:r>
      <w:proofErr w:type="spellEnd"/>
      <w:r w:rsidRPr="00361372">
        <w:rPr>
          <w:rFonts w:eastAsiaTheme="minorHAnsi"/>
          <w:sz w:val="24"/>
          <w:szCs w:val="24"/>
          <w:lang w:eastAsia="en-US"/>
        </w:rPr>
        <w:t xml:space="preserve"> autonomia erkidegoek historian zehar finkatutako zenbait elementu historiko (lurraldea), ekonomiko eta kultural partekatzen dituzte, eta horrek berekin dakar beren arteko erakunde leialtasunaren, lankidetzaren eta elkarlanaren beharra.</w:t>
      </w:r>
    </w:p>
    <w:p w:rsidR="00BF173D" w:rsidRPr="009C52F4" w:rsidRDefault="002A40BA" w:rsidP="002A40BA">
      <w:pPr>
        <w:spacing w:after="200" w:line="276" w:lineRule="auto"/>
        <w:jc w:val="both"/>
        <w:rPr>
          <w:rFonts w:eastAsiaTheme="minorHAnsi"/>
          <w:sz w:val="24"/>
          <w:szCs w:val="24"/>
          <w:lang w:eastAsia="en-US"/>
        </w:rPr>
      </w:pPr>
      <w:r w:rsidRPr="00361372">
        <w:rPr>
          <w:rFonts w:eastAsiaTheme="minorHAnsi"/>
          <w:sz w:val="24"/>
          <w:szCs w:val="24"/>
          <w:lang w:eastAsia="en-US"/>
        </w:rPr>
        <w:t>II.</w:t>
      </w:r>
      <w:r w:rsidR="00BF173D" w:rsidRPr="009C52F4">
        <w:rPr>
          <w:rFonts w:eastAsiaTheme="minorHAnsi"/>
          <w:sz w:val="24"/>
          <w:szCs w:val="24"/>
          <w:lang w:eastAsia="en-US"/>
        </w:rPr>
        <w:tab/>
      </w:r>
      <w:r w:rsidRPr="00361372">
        <w:rPr>
          <w:rFonts w:eastAsiaTheme="minorHAnsi"/>
          <w:sz w:val="24"/>
          <w:szCs w:val="24"/>
          <w:lang w:eastAsia="en-US"/>
        </w:rPr>
        <w:t xml:space="preserve">Bereziki, Burgoskoak diren baina Arabako Lurralde Historikoak inguratzen dituen Trebiñuko Konderriko eta </w:t>
      </w:r>
      <w:proofErr w:type="spellStart"/>
      <w:r w:rsidRPr="00361372">
        <w:rPr>
          <w:rFonts w:eastAsiaTheme="minorHAnsi"/>
          <w:sz w:val="24"/>
          <w:szCs w:val="24"/>
          <w:lang w:eastAsia="en-US"/>
        </w:rPr>
        <w:t>Argantzongo</w:t>
      </w:r>
      <w:proofErr w:type="spellEnd"/>
      <w:r w:rsidRPr="00361372">
        <w:rPr>
          <w:rFonts w:eastAsiaTheme="minorHAnsi"/>
          <w:sz w:val="24"/>
          <w:szCs w:val="24"/>
          <w:lang w:eastAsia="en-US"/>
        </w:rPr>
        <w:t xml:space="preserve"> udalerriei gagozkiela, badago lurralde arrazoi bitxi bat, haietako bizilagunei zerbitzuak era egokian eskaintzeko eta bermatzeko baldintzak sustatzeko erakunde konpromisoa babesten eta arrazoitzen duena. Konpromiso hori, zenbait arlotan, lurralde bietako eskualde mugakideetako bizilagunei ere badagokie.</w:t>
      </w:r>
      <w:r w:rsidR="00DB5455" w:rsidRPr="009C52F4">
        <w:rPr>
          <w:rFonts w:eastAsiaTheme="minorHAnsi"/>
          <w:sz w:val="24"/>
          <w:szCs w:val="24"/>
          <w:lang w:eastAsia="en-US"/>
        </w:rPr>
        <w:t xml:space="preserve"> </w:t>
      </w:r>
    </w:p>
    <w:p w:rsidR="00BF173D" w:rsidRPr="009C52F4" w:rsidRDefault="002A40BA" w:rsidP="002A40BA">
      <w:pPr>
        <w:spacing w:after="200" w:line="276" w:lineRule="auto"/>
        <w:jc w:val="both"/>
        <w:rPr>
          <w:rFonts w:eastAsiaTheme="minorHAnsi"/>
          <w:sz w:val="24"/>
          <w:szCs w:val="24"/>
          <w:lang w:eastAsia="en-US"/>
        </w:rPr>
      </w:pPr>
      <w:r w:rsidRPr="00361372">
        <w:rPr>
          <w:rFonts w:eastAsiaTheme="minorHAnsi"/>
          <w:sz w:val="24"/>
          <w:szCs w:val="24"/>
          <w:lang w:eastAsia="en-US"/>
        </w:rPr>
        <w:lastRenderedPageBreak/>
        <w:t>III.</w:t>
      </w:r>
      <w:r w:rsidR="00BF173D" w:rsidRPr="009C52F4">
        <w:rPr>
          <w:rFonts w:eastAsiaTheme="minorHAnsi"/>
          <w:sz w:val="24"/>
          <w:szCs w:val="24"/>
          <w:lang w:eastAsia="en-US"/>
        </w:rPr>
        <w:tab/>
      </w:r>
      <w:r w:rsidRPr="00361372">
        <w:rPr>
          <w:rFonts w:eastAsiaTheme="minorHAnsi"/>
          <w:sz w:val="24"/>
          <w:szCs w:val="24"/>
          <w:lang w:eastAsia="en-US"/>
        </w:rPr>
        <w:t>Udalerri horietako bizilagunei zerbitzuak gero eta hobeto eskaintzeko asmo horri tinko eusten zaio, Trebiñuko enklabeari buruz probintzia bietako, autonomia erkidegoetako eta estatuko erakundeetako politikarien eta administrazioen adierazpenak eta ekintzak gorabehera.</w:t>
      </w:r>
    </w:p>
    <w:p w:rsidR="00BF173D" w:rsidRPr="009C52F4" w:rsidRDefault="002A40BA" w:rsidP="002A40BA">
      <w:pPr>
        <w:spacing w:after="200" w:line="276" w:lineRule="auto"/>
        <w:jc w:val="both"/>
        <w:rPr>
          <w:rFonts w:eastAsiaTheme="minorHAnsi"/>
          <w:sz w:val="24"/>
          <w:szCs w:val="24"/>
          <w:lang w:eastAsia="en-US"/>
        </w:rPr>
      </w:pPr>
      <w:r w:rsidRPr="00361372">
        <w:rPr>
          <w:rFonts w:eastAsiaTheme="minorHAnsi"/>
          <w:sz w:val="24"/>
          <w:szCs w:val="24"/>
          <w:lang w:eastAsia="en-US"/>
        </w:rPr>
        <w:t>IV.</w:t>
      </w:r>
      <w:r w:rsidR="00BF173D" w:rsidRPr="009C52F4">
        <w:rPr>
          <w:rFonts w:eastAsiaTheme="minorHAnsi"/>
          <w:sz w:val="24"/>
          <w:szCs w:val="24"/>
          <w:lang w:eastAsia="en-US"/>
        </w:rPr>
        <w:tab/>
      </w:r>
      <w:r w:rsidRPr="00361372">
        <w:rPr>
          <w:rFonts w:eastAsiaTheme="minorHAnsi"/>
          <w:sz w:val="24"/>
          <w:szCs w:val="24"/>
          <w:lang w:eastAsia="en-US"/>
        </w:rPr>
        <w:t xml:space="preserve">Senatuaren 1995eko txosten-irizpen batean, egoera politikoa konpontzearen eta askatzearen alde jardun ez ezik, hertsatu ere egin zen lehenbailehen konpontzera enklabea izateak eta lurralde jarraikortasunik ez izateak zerbitzuak eskaintzean bertako bizilagunei </w:t>
      </w:r>
      <w:proofErr w:type="spellStart"/>
      <w:r w:rsidRPr="00361372">
        <w:rPr>
          <w:rFonts w:eastAsiaTheme="minorHAnsi"/>
          <w:sz w:val="24"/>
          <w:szCs w:val="24"/>
          <w:lang w:eastAsia="en-US"/>
        </w:rPr>
        <w:t>zekarzkieten</w:t>
      </w:r>
      <w:proofErr w:type="spellEnd"/>
      <w:r w:rsidRPr="00361372">
        <w:rPr>
          <w:rFonts w:eastAsiaTheme="minorHAnsi"/>
          <w:sz w:val="24"/>
          <w:szCs w:val="24"/>
          <w:lang w:eastAsia="en-US"/>
        </w:rPr>
        <w:t xml:space="preserve"> kalteak, halakorik bazen.</w:t>
      </w:r>
    </w:p>
    <w:p w:rsidR="00BC75BD" w:rsidRPr="009C52F4" w:rsidRDefault="002A40BA" w:rsidP="006973C9">
      <w:pPr>
        <w:spacing w:after="360" w:line="276" w:lineRule="auto"/>
        <w:contextualSpacing/>
        <w:jc w:val="both"/>
        <w:rPr>
          <w:rFonts w:eastAsiaTheme="minorHAnsi"/>
          <w:sz w:val="24"/>
          <w:szCs w:val="24"/>
          <w:lang w:eastAsia="en-US"/>
        </w:rPr>
      </w:pPr>
      <w:r w:rsidRPr="00361372">
        <w:rPr>
          <w:rFonts w:eastAsiaTheme="minorHAnsi"/>
          <w:sz w:val="24"/>
          <w:szCs w:val="24"/>
          <w:lang w:eastAsia="en-US"/>
        </w:rPr>
        <w:t>V. Enklabeko bizilagunei zerbitzuak behar bezala eskaintzeari laguntzeko baldintzak sustatzeko, 2017ko apirilean, esparru akordio bat izenpetu zen Arabako Foru Aldundiaren eta Burgosko Probintzia Diputazioaren artean, lurralde horri buruzko lankidetza esparru orokorra ezartzeko eta lehentasunezko xedetzat jotako arloak eta hura garatzeko ondorengo hitzarmenen gutxieneko edukia jasotzeko.</w:t>
      </w:r>
    </w:p>
    <w:p w:rsidR="005D1A44" w:rsidRPr="009C52F4" w:rsidRDefault="005D1A44" w:rsidP="0046283B">
      <w:pPr>
        <w:spacing w:after="360" w:line="276" w:lineRule="auto"/>
        <w:contextualSpacing/>
        <w:jc w:val="both"/>
        <w:rPr>
          <w:rFonts w:eastAsiaTheme="minorHAnsi"/>
          <w:sz w:val="24"/>
          <w:szCs w:val="24"/>
          <w:lang w:eastAsia="en-US"/>
        </w:rPr>
      </w:pPr>
    </w:p>
    <w:p w:rsidR="00CC2F76" w:rsidRPr="009C52F4" w:rsidRDefault="000F777E" w:rsidP="000F777E">
      <w:pPr>
        <w:spacing w:after="360" w:line="276" w:lineRule="auto"/>
        <w:contextualSpacing/>
        <w:jc w:val="both"/>
        <w:rPr>
          <w:rFonts w:eastAsiaTheme="minorHAnsi"/>
          <w:sz w:val="24"/>
          <w:szCs w:val="24"/>
          <w:lang w:eastAsia="en-US"/>
        </w:rPr>
      </w:pPr>
      <w:r w:rsidRPr="00361372">
        <w:rPr>
          <w:rFonts w:eastAsiaTheme="minorHAnsi"/>
          <w:sz w:val="24"/>
          <w:szCs w:val="24"/>
          <w:lang w:eastAsia="en-US"/>
        </w:rPr>
        <w:t>Horregatik, esparru akordio horren babesean, Arabako Foru Aldundiak eta Burgosko Probintzia Diputazioak zazpi hitzarmen izenpetu zituzten 2018an, erakunde arteko lankidetza hori garatzeko, politika publikoen jarduera ildo hauen inguruan: gazteak, berdintasuna, euskara sustatzea, prebentzioa eta sua itzaltzea</w:t>
      </w:r>
      <w:r w:rsidR="009C52F4" w:rsidRPr="00361372">
        <w:rPr>
          <w:rFonts w:eastAsiaTheme="minorHAnsi"/>
          <w:sz w:val="24"/>
          <w:szCs w:val="24"/>
          <w:lang w:eastAsia="en-US"/>
        </w:rPr>
        <w:t xml:space="preserve"> eta</w:t>
      </w:r>
      <w:r w:rsidRPr="00361372">
        <w:rPr>
          <w:rFonts w:eastAsiaTheme="minorHAnsi"/>
          <w:sz w:val="24"/>
          <w:szCs w:val="24"/>
          <w:lang w:eastAsia="en-US"/>
        </w:rPr>
        <w:t xml:space="preserve"> gizarte zerbitzuak.</w:t>
      </w:r>
    </w:p>
    <w:p w:rsidR="000113C8" w:rsidRPr="009C52F4" w:rsidRDefault="000113C8" w:rsidP="00586E70">
      <w:pPr>
        <w:spacing w:after="360" w:line="276" w:lineRule="auto"/>
        <w:contextualSpacing/>
        <w:jc w:val="both"/>
        <w:rPr>
          <w:rFonts w:eastAsiaTheme="minorHAnsi"/>
          <w:sz w:val="24"/>
          <w:szCs w:val="24"/>
          <w:lang w:eastAsia="en-US"/>
        </w:rPr>
      </w:pPr>
    </w:p>
    <w:p w:rsidR="00CC2F76" w:rsidRPr="009C52F4" w:rsidRDefault="000F777E" w:rsidP="000F777E">
      <w:pPr>
        <w:spacing w:after="360" w:line="276" w:lineRule="auto"/>
        <w:contextualSpacing/>
        <w:jc w:val="both"/>
        <w:rPr>
          <w:rFonts w:eastAsiaTheme="minorHAnsi"/>
          <w:sz w:val="24"/>
          <w:szCs w:val="24"/>
          <w:lang w:eastAsia="en-US"/>
        </w:rPr>
      </w:pPr>
      <w:r w:rsidRPr="00361372">
        <w:rPr>
          <w:rFonts w:eastAsiaTheme="minorHAnsi"/>
          <w:sz w:val="24"/>
          <w:szCs w:val="24"/>
          <w:lang w:eastAsia="en-US"/>
        </w:rPr>
        <w:t>Esparru akordioaren indarraldia eta haren luzapen posiblea amaituta, esperientzia urte horiek igarota eta emaitzak positiboki balioetsi ondoren, komenigarritzat jo da jarraipena ematea duela lau urtetik Burgosko Probintzia Diputazioak eta Arabako Foru Aldundiak garatutako lankidetza horri.</w:t>
      </w:r>
    </w:p>
    <w:p w:rsidR="001A39E3" w:rsidRPr="009C52F4" w:rsidRDefault="001A39E3" w:rsidP="00586E70">
      <w:pPr>
        <w:shd w:val="clear" w:color="auto" w:fill="FFFFFF"/>
        <w:spacing w:after="158"/>
        <w:jc w:val="both"/>
        <w:rPr>
          <w:color w:val="FF0000"/>
          <w:sz w:val="24"/>
          <w:szCs w:val="24"/>
        </w:rPr>
      </w:pP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VI.</w:t>
      </w:r>
      <w:r w:rsidR="00BF173D" w:rsidRPr="009C52F4">
        <w:rPr>
          <w:rFonts w:eastAsiaTheme="minorHAnsi"/>
          <w:sz w:val="24"/>
          <w:szCs w:val="24"/>
          <w:lang w:eastAsia="en-US"/>
        </w:rPr>
        <w:tab/>
      </w:r>
      <w:r w:rsidRPr="00361372">
        <w:rPr>
          <w:rFonts w:eastAsiaTheme="minorHAnsi"/>
          <w:sz w:val="24"/>
          <w:szCs w:val="24"/>
          <w:lang w:eastAsia="en-US"/>
        </w:rPr>
        <w:t xml:space="preserve">Era berean, aldeek ezagutzen eta errespetatzen dituzte enklabeko herritarren nahiaren erakusgarri diren adierazpenak eta iritziak, bai eta korporazio bakoitzaren ordezkari diren </w:t>
      </w:r>
      <w:proofErr w:type="spellStart"/>
      <w:r w:rsidRPr="00361372">
        <w:rPr>
          <w:rFonts w:eastAsiaTheme="minorHAnsi"/>
          <w:sz w:val="24"/>
          <w:szCs w:val="24"/>
          <w:lang w:eastAsia="en-US"/>
        </w:rPr>
        <w:t>organoenak</w:t>
      </w:r>
      <w:proofErr w:type="spellEnd"/>
      <w:r w:rsidRPr="00361372">
        <w:rPr>
          <w:rFonts w:eastAsiaTheme="minorHAnsi"/>
          <w:sz w:val="24"/>
          <w:szCs w:val="24"/>
          <w:lang w:eastAsia="en-US"/>
        </w:rPr>
        <w:t xml:space="preserve"> ere.</w:t>
      </w:r>
    </w:p>
    <w:p w:rsidR="00BF173D" w:rsidRPr="009C52F4" w:rsidRDefault="000F777E" w:rsidP="00913997">
      <w:pPr>
        <w:spacing w:after="200" w:line="276" w:lineRule="auto"/>
        <w:jc w:val="both"/>
        <w:rPr>
          <w:rFonts w:eastAsiaTheme="minorHAnsi"/>
          <w:sz w:val="24"/>
          <w:szCs w:val="24"/>
          <w:lang w:eastAsia="en-US"/>
        </w:rPr>
      </w:pPr>
      <w:r w:rsidRPr="00361372">
        <w:rPr>
          <w:rFonts w:eastAsiaTheme="minorHAnsi"/>
          <w:sz w:val="24"/>
          <w:szCs w:val="24"/>
          <w:lang w:eastAsia="en-US"/>
        </w:rPr>
        <w:t>VII.</w:t>
      </w:r>
      <w:r w:rsidR="00BF173D" w:rsidRPr="009C52F4">
        <w:rPr>
          <w:rFonts w:eastAsiaTheme="minorHAnsi"/>
          <w:sz w:val="24"/>
          <w:szCs w:val="24"/>
          <w:lang w:eastAsia="en-US"/>
        </w:rPr>
        <w:tab/>
      </w:r>
      <w:r w:rsidRPr="00361372">
        <w:rPr>
          <w:rFonts w:eastAsiaTheme="minorHAnsi"/>
          <w:sz w:val="24"/>
          <w:szCs w:val="24"/>
          <w:lang w:eastAsia="en-US"/>
        </w:rPr>
        <w:t xml:space="preserve">Esparru akordio </w:t>
      </w:r>
      <w:r w:rsidR="009C52F4" w:rsidRPr="00361372">
        <w:rPr>
          <w:rFonts w:eastAsiaTheme="minorHAnsi"/>
          <w:sz w:val="24"/>
          <w:szCs w:val="24"/>
          <w:lang w:eastAsia="en-US"/>
        </w:rPr>
        <w:t>hau</w:t>
      </w:r>
      <w:r w:rsidRPr="00361372">
        <w:rPr>
          <w:rFonts w:eastAsiaTheme="minorHAnsi"/>
          <w:sz w:val="24"/>
          <w:szCs w:val="24"/>
          <w:lang w:eastAsia="en-US"/>
        </w:rPr>
        <w:t xml:space="preserve"> Toki Araubidearen Oinarriak arautzen dituen apirilaren 2ko 7/1985 Legearen 55. eta 57. artikuluetan </w:t>
      </w:r>
      <w:r w:rsidR="00913997" w:rsidRPr="00361372">
        <w:rPr>
          <w:rFonts w:eastAsiaTheme="minorHAnsi"/>
          <w:sz w:val="24"/>
          <w:szCs w:val="24"/>
          <w:lang w:eastAsia="en-US"/>
        </w:rPr>
        <w:t xml:space="preserve">(Toki Administrazioaren Arrazionalizazio eta Iraunkortasunari buruzko abenduaren 27ko 27/2013 Legeak emandako idazketa) </w:t>
      </w:r>
      <w:r w:rsidRPr="00361372">
        <w:rPr>
          <w:rFonts w:eastAsiaTheme="minorHAnsi"/>
          <w:sz w:val="24"/>
          <w:szCs w:val="24"/>
          <w:lang w:eastAsia="en-US"/>
        </w:rPr>
        <w:t>oinarritzen da. Artikulu horiek hauek arautzen dituzte: administrazioen arteko harremanetan erakundeen arteko leialtasuna, bakoitzak bestearen eskumenak errespetatuz; harremanek aurrekontuan eta finantzetan duten eraginaren balorazioa; hurkoaren informazioa eskuratzeko aukera eta haien arteko elkarlana eta laguntza; nola toki zerbitzuetan hala interes bera den auzietan lankidetza ekonomikoa, teknikoa eta administratiboa, zeina borondatez garatuko baita administrazio hitzarmenen bidez, eta zeinak, hitzarmenak, gainerako administrazio interesdunei jakinaraziko baitzaizkie: enklabeko udalei, udalerri mugakideetako udalei eta Euskadiko eta Gaztela eta Leongo autonomia erkidegoetako administrazioei.</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lastRenderedPageBreak/>
        <w:t>VIII.</w:t>
      </w:r>
      <w:r w:rsidR="00BF173D" w:rsidRPr="009C52F4">
        <w:rPr>
          <w:rFonts w:eastAsiaTheme="minorHAnsi"/>
          <w:sz w:val="24"/>
          <w:szCs w:val="24"/>
          <w:lang w:eastAsia="en-US"/>
        </w:rPr>
        <w:tab/>
      </w:r>
      <w:r w:rsidRPr="00361372">
        <w:rPr>
          <w:rFonts w:eastAsiaTheme="minorHAnsi"/>
          <w:sz w:val="24"/>
          <w:szCs w:val="24"/>
          <w:lang w:eastAsia="en-US"/>
        </w:rPr>
        <w:t xml:space="preserve">Nolanahi ere, esparru akordio </w:t>
      </w:r>
      <w:r w:rsidR="00D10825" w:rsidRPr="00361372">
        <w:rPr>
          <w:rFonts w:eastAsiaTheme="minorHAnsi"/>
          <w:sz w:val="24"/>
          <w:szCs w:val="24"/>
          <w:lang w:eastAsia="en-US"/>
        </w:rPr>
        <w:t>hau</w:t>
      </w:r>
      <w:r w:rsidRPr="00361372">
        <w:rPr>
          <w:rFonts w:eastAsiaTheme="minorHAnsi"/>
          <w:sz w:val="24"/>
          <w:szCs w:val="24"/>
          <w:lang w:eastAsia="en-US"/>
        </w:rPr>
        <w:t xml:space="preserve"> izenpetzean erabat beteko da Euskadiko Autonomia Estatutuaren 8. artikuluan eta Gaztela eta Leongo Autonomia Estatutuaren hirugarren xedapen iragankorrean xedatutakoa, bai eta haien babesean Trebiñuko enklabeari buruz gara daitezkeen prozeduretan xedatutakoa ere.</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IX.</w:t>
      </w:r>
      <w:r w:rsidR="00BF173D" w:rsidRPr="009C52F4">
        <w:rPr>
          <w:rFonts w:eastAsiaTheme="minorHAnsi"/>
          <w:sz w:val="24"/>
          <w:szCs w:val="24"/>
          <w:lang w:eastAsia="en-US"/>
        </w:rPr>
        <w:tab/>
      </w:r>
      <w:r w:rsidRPr="00361372">
        <w:rPr>
          <w:rFonts w:eastAsiaTheme="minorHAnsi"/>
          <w:sz w:val="24"/>
          <w:szCs w:val="24"/>
          <w:lang w:eastAsia="en-US"/>
        </w:rPr>
        <w:t>Hona hemen esparru akordio honen aurrekari diren agiriak:</w:t>
      </w:r>
      <w:r w:rsidR="00BF173D" w:rsidRPr="009C52F4">
        <w:rPr>
          <w:rFonts w:eastAsiaTheme="minorHAnsi"/>
          <w:sz w:val="24"/>
          <w:szCs w:val="24"/>
          <w:lang w:eastAsia="en-US"/>
        </w:rPr>
        <w:t xml:space="preserve"> </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1)</w:t>
      </w:r>
      <w:r w:rsidRPr="009C52F4">
        <w:rPr>
          <w:rFonts w:eastAsiaTheme="minorHAnsi"/>
          <w:sz w:val="24"/>
          <w:szCs w:val="24"/>
          <w:lang w:eastAsia="en-US"/>
        </w:rPr>
        <w:tab/>
      </w:r>
      <w:r w:rsidR="000F777E" w:rsidRPr="00361372">
        <w:rPr>
          <w:rFonts w:eastAsiaTheme="minorHAnsi"/>
          <w:sz w:val="24"/>
          <w:szCs w:val="24"/>
          <w:lang w:eastAsia="en-US"/>
        </w:rPr>
        <w:t xml:space="preserve">Arabako Foru Aldundiak eta Trebiñuko Konderriko eta </w:t>
      </w:r>
      <w:proofErr w:type="spellStart"/>
      <w:r w:rsidR="000F777E" w:rsidRPr="00361372">
        <w:rPr>
          <w:rFonts w:eastAsiaTheme="minorHAnsi"/>
          <w:sz w:val="24"/>
          <w:szCs w:val="24"/>
          <w:lang w:eastAsia="en-US"/>
        </w:rPr>
        <w:t>Argantzongo</w:t>
      </w:r>
      <w:proofErr w:type="spellEnd"/>
      <w:r w:rsidR="000F777E" w:rsidRPr="00361372">
        <w:rPr>
          <w:rFonts w:eastAsiaTheme="minorHAnsi"/>
          <w:sz w:val="24"/>
          <w:szCs w:val="24"/>
          <w:lang w:eastAsia="en-US"/>
        </w:rPr>
        <w:t xml:space="preserve"> udalek 2001eko azaroaren 28an izenpetutako esparru akordio instituzionala.</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2)</w:t>
      </w:r>
      <w:r w:rsidRPr="009C52F4">
        <w:rPr>
          <w:rFonts w:eastAsiaTheme="minorHAnsi"/>
          <w:sz w:val="24"/>
          <w:szCs w:val="24"/>
          <w:lang w:eastAsia="en-US"/>
        </w:rPr>
        <w:tab/>
        <w:t xml:space="preserve"> </w:t>
      </w:r>
      <w:r w:rsidR="000F777E" w:rsidRPr="00361372">
        <w:rPr>
          <w:rFonts w:eastAsiaTheme="minorHAnsi"/>
          <w:sz w:val="24"/>
          <w:szCs w:val="24"/>
          <w:lang w:eastAsia="en-US"/>
        </w:rPr>
        <w:t>Eusko Jaurlaritzak eta Gaztela eta Leongo Juntak 2012ko urtarrilaren 23an izenpetutako lankidetzarako protokolo orokorra. Protokolo horretan adostu zen zenbait arlotan lankidetza harremanak zehaztea, eta, hain zuzen, arlo horietako batzuk, Trebiñuko enklabeari laguntzeari dagozkionak, antolatzeko eta gauzatzeko eskumena Arabako Foru Aldundiak dauka.</w:t>
      </w:r>
    </w:p>
    <w:p w:rsidR="00BE3C6F"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3)     Lankidetzarako esparru akordioa, Arabako Foru Aldundiaren eta Burgosko Probintzia Diputazioaren artean 2017ko apirilaren 24an izenpetua, Trebiñuko enklabea dela eta. Horrez gain, geroago beste lankidetza hitzarmen batzuk izenpetu ziren 2018ko apirilaren 3an.</w:t>
      </w:r>
    </w:p>
    <w:p w:rsidR="00BF173D" w:rsidRPr="009C52F4" w:rsidRDefault="00BF173D" w:rsidP="00BF173D">
      <w:pPr>
        <w:spacing w:after="200" w:line="276" w:lineRule="auto"/>
        <w:jc w:val="both"/>
        <w:rPr>
          <w:rFonts w:eastAsiaTheme="minorHAnsi"/>
          <w:sz w:val="24"/>
          <w:szCs w:val="24"/>
          <w:lang w:eastAsia="en-US"/>
        </w:rPr>
      </w:pPr>
    </w:p>
    <w:p w:rsidR="00BF173D" w:rsidRPr="009C52F4" w:rsidRDefault="000F777E" w:rsidP="000F777E">
      <w:pPr>
        <w:spacing w:after="200" w:line="276" w:lineRule="auto"/>
        <w:jc w:val="center"/>
        <w:rPr>
          <w:rFonts w:eastAsiaTheme="minorHAnsi"/>
          <w:b/>
          <w:sz w:val="24"/>
          <w:szCs w:val="24"/>
          <w:lang w:eastAsia="en-US"/>
        </w:rPr>
      </w:pPr>
      <w:r w:rsidRPr="00361372">
        <w:rPr>
          <w:rFonts w:eastAsiaTheme="minorHAnsi"/>
          <w:b/>
          <w:sz w:val="24"/>
          <w:szCs w:val="24"/>
          <w:lang w:eastAsia="en-US"/>
        </w:rPr>
        <w:t>KLAUSULAK</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1.</w:t>
      </w:r>
      <w:r w:rsidRPr="009C52F4">
        <w:rPr>
          <w:rFonts w:eastAsiaTheme="minorHAnsi"/>
          <w:sz w:val="24"/>
          <w:szCs w:val="24"/>
          <w:lang w:eastAsia="en-US"/>
        </w:rPr>
        <w:tab/>
      </w:r>
      <w:r w:rsidR="000F777E" w:rsidRPr="00361372">
        <w:rPr>
          <w:rFonts w:eastAsiaTheme="minorHAnsi"/>
          <w:sz w:val="24"/>
          <w:szCs w:val="24"/>
          <w:lang w:eastAsia="en-US"/>
        </w:rPr>
        <w:t>XEDEA</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Esparru akordio honen xedea da adostea eta era sistematikoan antolatzea Trebiñuko enklabeko eta erakunde bien artean dauden udalerri mugakideetako biztanleei zerbitzu hobea emateko behar diren lankidetza harremanak, alde bakoitzak onartuta duen bere eskumenen eremuan jardunez beti.</w:t>
      </w:r>
      <w:r w:rsidR="00BF173D" w:rsidRPr="009C52F4">
        <w:rPr>
          <w:rFonts w:eastAsiaTheme="minorHAnsi"/>
          <w:sz w:val="24"/>
          <w:szCs w:val="24"/>
          <w:lang w:eastAsia="en-US"/>
        </w:rPr>
        <w:tab/>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Aldeek, bakoitzak bere administrazio organoaren bitartez, hirugarren klausulan zehaztutako gaietan administrazioen arteko lankidetzarako hitzarmen proposamenak egingo dituzte sei hilabeteko epean, esparru akordio hau izenpetzen denetik aurrera. Proposamenetan honako hauek ere jaso beharko dira: aurrekontua, nola finantzatuko den eta hitzarmenaren xede den zerbitzuaren eraginpean izango den lurralde eremua, zehatz mehatz mugatuta.</w:t>
      </w:r>
      <w:r w:rsidR="00BF173D" w:rsidRPr="009C52F4">
        <w:rPr>
          <w:rFonts w:eastAsiaTheme="minorHAnsi"/>
          <w:sz w:val="24"/>
          <w:szCs w:val="24"/>
          <w:lang w:eastAsia="en-US"/>
        </w:rPr>
        <w:t xml:space="preserve"> </w:t>
      </w:r>
      <w:r w:rsidRPr="00361372">
        <w:rPr>
          <w:rFonts w:eastAsiaTheme="minorHAnsi"/>
          <w:sz w:val="24"/>
          <w:szCs w:val="24"/>
          <w:lang w:eastAsia="en-US"/>
        </w:rPr>
        <w:t>Hitzarmen bakoitza era independentean izenpetuko dute aldeek, eta eragindako udalerriei entzunaldiko izapidea eskainiko zaie.</w:t>
      </w:r>
    </w:p>
    <w:p w:rsidR="0086012F" w:rsidRPr="009C52F4" w:rsidRDefault="0086012F" w:rsidP="00BF173D">
      <w:pPr>
        <w:spacing w:after="200" w:line="276" w:lineRule="auto"/>
        <w:jc w:val="both"/>
        <w:rPr>
          <w:rFonts w:eastAsiaTheme="minorHAnsi"/>
          <w:sz w:val="24"/>
          <w:szCs w:val="24"/>
          <w:lang w:eastAsia="en-US"/>
        </w:rPr>
      </w:pP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2.</w:t>
      </w:r>
      <w:r w:rsidRPr="009C52F4">
        <w:rPr>
          <w:rFonts w:eastAsiaTheme="minorHAnsi"/>
          <w:sz w:val="24"/>
          <w:szCs w:val="24"/>
          <w:lang w:eastAsia="en-US"/>
        </w:rPr>
        <w:tab/>
        <w:t xml:space="preserve"> </w:t>
      </w:r>
      <w:r w:rsidR="000F777E" w:rsidRPr="00361372">
        <w:rPr>
          <w:rFonts w:eastAsiaTheme="minorHAnsi"/>
          <w:sz w:val="24"/>
          <w:szCs w:val="24"/>
          <w:lang w:eastAsia="en-US"/>
        </w:rPr>
        <w:t>ESPARRU AKORDIOAREN IZAERA</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 xml:space="preserve">Esparru akordio honek izaera administratiboa du. Administrazioen arteko lankidetza harremanetan dago oinarrituta, eta erakundeen arteko leialtasun eta lankidetza printzipioak ditu </w:t>
      </w:r>
      <w:r w:rsidRPr="00361372">
        <w:rPr>
          <w:rFonts w:eastAsiaTheme="minorHAnsi"/>
          <w:sz w:val="24"/>
          <w:szCs w:val="24"/>
          <w:lang w:eastAsia="en-US"/>
        </w:rPr>
        <w:lastRenderedPageBreak/>
        <w:t>euskarri, bat etorriz Sektore Publikoaren Araubide Juridikoaren urriaren 1eko 40/2015 Legeak 3,47 eta hurrengo artikuluetan xedatutakoarekin, eta Toki Araubidearen Oinarriak arautzen dituen apirilaren 2ko 7/1985 Legeak 55. artikuluan ezarritakoarekin.</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Esparru akordio hau formalizatu eta izenpetzeak ez du ezertan eragotziko kasuan kasu Euskadiko Autonomia Estatutuaren 8. artikuluan eta Gaztela eta Leongo Autonomia Estatutuaren hirugarren xedapen iragankorrean jasotako xedapenen babesean gara daitezkeen prozeduretan xedatutakoa, ez eta organo eta erakunde ordezkariek aurkez dezaketen edozein ekimenen babespeko prozeduretan ezarritakoa ere.</w:t>
      </w:r>
    </w:p>
    <w:p w:rsidR="00122192" w:rsidRPr="009C52F4" w:rsidRDefault="00122192" w:rsidP="00BF173D">
      <w:pPr>
        <w:spacing w:after="200" w:line="276" w:lineRule="auto"/>
        <w:jc w:val="both"/>
        <w:rPr>
          <w:rFonts w:eastAsiaTheme="minorHAnsi"/>
          <w:sz w:val="24"/>
          <w:szCs w:val="24"/>
          <w:lang w:eastAsia="en-US"/>
        </w:rPr>
      </w:pP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3.</w:t>
      </w:r>
      <w:r w:rsidRPr="009C52F4">
        <w:rPr>
          <w:rFonts w:eastAsiaTheme="minorHAnsi"/>
          <w:sz w:val="24"/>
          <w:szCs w:val="24"/>
          <w:lang w:eastAsia="en-US"/>
        </w:rPr>
        <w:tab/>
      </w:r>
      <w:r w:rsidR="000F777E" w:rsidRPr="00361372">
        <w:rPr>
          <w:rFonts w:eastAsiaTheme="minorHAnsi"/>
          <w:sz w:val="24"/>
          <w:szCs w:val="24"/>
          <w:lang w:eastAsia="en-US"/>
        </w:rPr>
        <w:t>LANKIDETZA HERRITARREN INTERESEKO GAIETAN</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Enklabeko herritarrei zerbitzuak emateko, aldeek beren arteko lankidetzako lehentasunezko arlo hauek identifikatu dituzte (batzuk udalerri mugakideetara ere zabal daitezke):</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1)</w:t>
      </w:r>
      <w:r w:rsidRPr="009C52F4">
        <w:rPr>
          <w:rFonts w:eastAsiaTheme="minorHAnsi"/>
          <w:sz w:val="24"/>
          <w:szCs w:val="24"/>
          <w:lang w:eastAsia="en-US"/>
        </w:rPr>
        <w:tab/>
      </w:r>
      <w:r w:rsidR="000F777E" w:rsidRPr="00361372">
        <w:rPr>
          <w:rFonts w:eastAsiaTheme="minorHAnsi"/>
          <w:sz w:val="24"/>
          <w:szCs w:val="24"/>
          <w:lang w:eastAsia="en-US"/>
        </w:rPr>
        <w:t>Adinekoak, desgaituak eta mendekotasunak dituztenak gizarteratzea eta gizarte arreta ematea.</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2)</w:t>
      </w:r>
      <w:r w:rsidRPr="009C52F4">
        <w:rPr>
          <w:rFonts w:eastAsiaTheme="minorHAnsi"/>
          <w:sz w:val="24"/>
          <w:szCs w:val="24"/>
          <w:lang w:eastAsia="en-US"/>
        </w:rPr>
        <w:tab/>
      </w:r>
      <w:r w:rsidR="000F777E" w:rsidRPr="00361372">
        <w:rPr>
          <w:rFonts w:eastAsiaTheme="minorHAnsi"/>
          <w:sz w:val="24"/>
          <w:szCs w:val="24"/>
          <w:lang w:eastAsia="en-US"/>
        </w:rPr>
        <w:t>Genero indarkeriaren aurkako protokoloak eta koordinazioa.</w:t>
      </w:r>
      <w:r w:rsidRPr="009C52F4">
        <w:rPr>
          <w:rFonts w:eastAsiaTheme="minorHAnsi"/>
          <w:sz w:val="24"/>
          <w:szCs w:val="24"/>
          <w:lang w:eastAsia="en-US"/>
        </w:rPr>
        <w:t xml:space="preserve"> </w:t>
      </w:r>
      <w:r w:rsidR="000F777E" w:rsidRPr="00361372">
        <w:rPr>
          <w:rFonts w:eastAsiaTheme="minorHAnsi"/>
          <w:sz w:val="24"/>
          <w:szCs w:val="24"/>
          <w:lang w:eastAsia="en-US"/>
        </w:rPr>
        <w:t>Berdintasunaren arloko politika publikoak.</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3)</w:t>
      </w:r>
      <w:r w:rsidRPr="009C52F4">
        <w:rPr>
          <w:rFonts w:eastAsiaTheme="minorHAnsi"/>
          <w:sz w:val="24"/>
          <w:szCs w:val="24"/>
          <w:lang w:eastAsia="en-US"/>
        </w:rPr>
        <w:tab/>
      </w:r>
      <w:r w:rsidR="000F777E" w:rsidRPr="00361372">
        <w:rPr>
          <w:rFonts w:eastAsiaTheme="minorHAnsi"/>
          <w:sz w:val="24"/>
          <w:szCs w:val="24"/>
          <w:lang w:eastAsia="en-US"/>
        </w:rPr>
        <w:t>Gazteriaren arloko politika publikoak.</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4)</w:t>
      </w:r>
      <w:r w:rsidRPr="009C52F4">
        <w:rPr>
          <w:rFonts w:eastAsiaTheme="minorHAnsi"/>
          <w:sz w:val="24"/>
          <w:szCs w:val="24"/>
          <w:lang w:eastAsia="en-US"/>
        </w:rPr>
        <w:tab/>
      </w:r>
      <w:r w:rsidR="000F777E" w:rsidRPr="00361372">
        <w:rPr>
          <w:rFonts w:eastAsiaTheme="minorHAnsi"/>
          <w:sz w:val="24"/>
          <w:szCs w:val="24"/>
          <w:lang w:eastAsia="en-US"/>
        </w:rPr>
        <w:t>Babes zibila eta larrialdiei aurre egitea, bereziki prebentzio, su itzaltze eta salbamendu arloan.</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5)</w:t>
      </w:r>
      <w:r w:rsidRPr="009C52F4">
        <w:rPr>
          <w:rFonts w:eastAsiaTheme="minorHAnsi"/>
          <w:sz w:val="24"/>
          <w:szCs w:val="24"/>
          <w:lang w:eastAsia="en-US"/>
        </w:rPr>
        <w:tab/>
      </w:r>
      <w:r w:rsidR="000F777E" w:rsidRPr="00361372">
        <w:rPr>
          <w:rFonts w:eastAsiaTheme="minorHAnsi"/>
          <w:sz w:val="24"/>
          <w:szCs w:val="24"/>
          <w:lang w:eastAsia="en-US"/>
        </w:rPr>
        <w:t>Komunikazio eta garraio azpiegiturak.</w:t>
      </w:r>
      <w:r w:rsidRPr="009C52F4">
        <w:rPr>
          <w:rFonts w:eastAsiaTheme="minorHAnsi"/>
          <w:sz w:val="24"/>
          <w:szCs w:val="24"/>
          <w:lang w:eastAsia="en-US"/>
        </w:rPr>
        <w:t xml:space="preserve"> </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6)</w:t>
      </w:r>
      <w:r w:rsidRPr="009C52F4">
        <w:rPr>
          <w:rFonts w:eastAsiaTheme="minorHAnsi"/>
          <w:sz w:val="24"/>
          <w:szCs w:val="24"/>
          <w:lang w:eastAsia="en-US"/>
        </w:rPr>
        <w:tab/>
      </w:r>
      <w:r w:rsidR="000F777E" w:rsidRPr="00361372">
        <w:rPr>
          <w:rFonts w:eastAsiaTheme="minorHAnsi"/>
          <w:sz w:val="24"/>
          <w:szCs w:val="24"/>
          <w:lang w:eastAsia="en-US"/>
        </w:rPr>
        <w:t>Neguko bidezaintza planak.</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7)</w:t>
      </w:r>
      <w:r w:rsidRPr="009C52F4">
        <w:rPr>
          <w:rFonts w:eastAsiaTheme="minorHAnsi"/>
          <w:sz w:val="24"/>
          <w:szCs w:val="24"/>
          <w:lang w:eastAsia="en-US"/>
        </w:rPr>
        <w:tab/>
      </w:r>
      <w:r w:rsidR="000F777E" w:rsidRPr="00361372">
        <w:rPr>
          <w:rFonts w:eastAsiaTheme="minorHAnsi"/>
          <w:sz w:val="24"/>
          <w:szCs w:val="24"/>
          <w:lang w:eastAsia="en-US"/>
        </w:rPr>
        <w:t>Ekipamenduko eta beste azpiegitura batzuetako elementu txikiak kontserbatzeko, mantentzeko eta zaharberritzeko proiektuak.</w:t>
      </w:r>
      <w:r w:rsidRPr="009C52F4">
        <w:rPr>
          <w:rFonts w:eastAsiaTheme="minorHAnsi"/>
          <w:sz w:val="24"/>
          <w:szCs w:val="24"/>
          <w:lang w:eastAsia="en-US"/>
        </w:rPr>
        <w:t xml:space="preserve"> </w:t>
      </w:r>
    </w:p>
    <w:p w:rsidR="00BF173D" w:rsidRPr="009C52F4" w:rsidRDefault="00BF173D" w:rsidP="000F777E">
      <w:pPr>
        <w:spacing w:after="200" w:line="276" w:lineRule="auto"/>
        <w:jc w:val="both"/>
        <w:rPr>
          <w:rFonts w:eastAsiaTheme="minorHAnsi"/>
          <w:strike/>
          <w:sz w:val="24"/>
          <w:szCs w:val="24"/>
          <w:lang w:eastAsia="en-US"/>
        </w:rPr>
      </w:pPr>
      <w:r w:rsidRPr="009C52F4">
        <w:rPr>
          <w:rFonts w:eastAsiaTheme="minorHAnsi"/>
          <w:sz w:val="24"/>
          <w:szCs w:val="24"/>
          <w:lang w:eastAsia="en-US"/>
        </w:rPr>
        <w:t>8)</w:t>
      </w:r>
      <w:r w:rsidRPr="009C52F4">
        <w:rPr>
          <w:rFonts w:eastAsiaTheme="minorHAnsi"/>
          <w:sz w:val="24"/>
          <w:szCs w:val="24"/>
          <w:lang w:eastAsia="en-US"/>
        </w:rPr>
        <w:tab/>
      </w:r>
      <w:r w:rsidR="000F777E" w:rsidRPr="00361372">
        <w:rPr>
          <w:rFonts w:eastAsiaTheme="minorHAnsi"/>
          <w:sz w:val="24"/>
          <w:szCs w:val="24"/>
          <w:lang w:eastAsia="en-US"/>
        </w:rPr>
        <w:t>Ondasun historiko-artistiko babestuak kontserbatzeko, mantentzeko edo zaharberritzeko proiektuak.</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9)</w:t>
      </w:r>
      <w:r w:rsidRPr="009C52F4">
        <w:rPr>
          <w:rFonts w:eastAsiaTheme="minorHAnsi"/>
          <w:sz w:val="24"/>
          <w:szCs w:val="24"/>
          <w:lang w:eastAsia="en-US"/>
        </w:rPr>
        <w:tab/>
      </w:r>
      <w:r w:rsidR="000F777E" w:rsidRPr="00361372">
        <w:rPr>
          <w:rFonts w:eastAsiaTheme="minorHAnsi"/>
          <w:sz w:val="24"/>
          <w:szCs w:val="24"/>
          <w:lang w:eastAsia="en-US"/>
        </w:rPr>
        <w:t>Ingurumena eta espazio bereziak babesteko proiektuak, hondakinak bildu eta kudeatzekoak, eta uren arloko babes eta esku hartze proiektuak.</w:t>
      </w: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10)</w:t>
      </w:r>
      <w:r w:rsidRPr="009C52F4">
        <w:rPr>
          <w:rFonts w:eastAsiaTheme="minorHAnsi"/>
          <w:sz w:val="24"/>
          <w:szCs w:val="24"/>
          <w:lang w:eastAsia="en-US"/>
        </w:rPr>
        <w:tab/>
      </w:r>
      <w:r w:rsidR="000F777E" w:rsidRPr="00361372">
        <w:rPr>
          <w:rFonts w:eastAsiaTheme="minorHAnsi"/>
          <w:sz w:val="24"/>
          <w:szCs w:val="24"/>
          <w:lang w:eastAsia="en-US"/>
        </w:rPr>
        <w:t>Landa ingurunea sustatu eta babestea; eta, horretarako, jarduera ekonomikoa bera sustatzeko zein landa inguruneko pertsonak eta proiektuak lagundu, garatu eta bultzatzeko politikak koordinatzea.</w:t>
      </w:r>
    </w:p>
    <w:p w:rsidR="00BF173D" w:rsidRPr="009C52F4" w:rsidRDefault="00BF173D" w:rsidP="00490F5F">
      <w:pPr>
        <w:spacing w:after="200" w:line="276" w:lineRule="auto"/>
        <w:jc w:val="both"/>
        <w:rPr>
          <w:rFonts w:eastAsiaTheme="minorHAnsi"/>
          <w:sz w:val="24"/>
          <w:szCs w:val="24"/>
          <w:lang w:eastAsia="en-US"/>
        </w:rPr>
      </w:pPr>
      <w:r w:rsidRPr="009C52F4">
        <w:rPr>
          <w:rFonts w:eastAsiaTheme="minorHAnsi"/>
          <w:sz w:val="24"/>
          <w:szCs w:val="24"/>
          <w:lang w:eastAsia="en-US"/>
        </w:rPr>
        <w:t>11)</w:t>
      </w:r>
      <w:r w:rsidRPr="009C52F4">
        <w:rPr>
          <w:rFonts w:eastAsiaTheme="minorHAnsi"/>
          <w:sz w:val="24"/>
          <w:szCs w:val="24"/>
          <w:lang w:eastAsia="en-US"/>
        </w:rPr>
        <w:tab/>
      </w:r>
      <w:r w:rsidR="000F777E" w:rsidRPr="00361372">
        <w:rPr>
          <w:rFonts w:eastAsiaTheme="minorHAnsi"/>
          <w:sz w:val="24"/>
          <w:szCs w:val="24"/>
          <w:lang w:eastAsia="en-US"/>
        </w:rPr>
        <w:t>Elkarlanean aritzea udalaren dirubilketaren kudeaketan.</w:t>
      </w:r>
    </w:p>
    <w:p w:rsidR="00BF173D" w:rsidRPr="009C52F4" w:rsidRDefault="00BF173D" w:rsidP="00490F5F">
      <w:pPr>
        <w:spacing w:after="200" w:line="276" w:lineRule="auto"/>
        <w:jc w:val="both"/>
        <w:rPr>
          <w:rFonts w:eastAsiaTheme="minorHAnsi"/>
          <w:sz w:val="24"/>
          <w:szCs w:val="24"/>
          <w:lang w:eastAsia="en-US"/>
        </w:rPr>
      </w:pPr>
      <w:r w:rsidRPr="009C52F4">
        <w:rPr>
          <w:rFonts w:eastAsiaTheme="minorHAnsi"/>
          <w:sz w:val="24"/>
          <w:szCs w:val="24"/>
          <w:lang w:eastAsia="en-US"/>
        </w:rPr>
        <w:lastRenderedPageBreak/>
        <w:t>12)</w:t>
      </w:r>
      <w:r w:rsidRPr="009C52F4">
        <w:rPr>
          <w:rFonts w:eastAsiaTheme="minorHAnsi"/>
          <w:sz w:val="24"/>
          <w:szCs w:val="24"/>
          <w:lang w:eastAsia="en-US"/>
        </w:rPr>
        <w:tab/>
      </w:r>
      <w:r w:rsidR="000F777E" w:rsidRPr="00361372">
        <w:rPr>
          <w:rFonts w:eastAsiaTheme="minorHAnsi"/>
          <w:sz w:val="24"/>
          <w:szCs w:val="24"/>
          <w:lang w:eastAsia="en-US"/>
        </w:rPr>
        <w:t>Hornidura eta zerbitzuen administrazio kontratazio zentralizatua erraztea.</w:t>
      </w:r>
    </w:p>
    <w:p w:rsidR="0086012F" w:rsidRPr="009C52F4" w:rsidRDefault="00BF173D" w:rsidP="000F777E">
      <w:pPr>
        <w:spacing w:after="200" w:line="276" w:lineRule="auto"/>
        <w:jc w:val="both"/>
        <w:rPr>
          <w:rFonts w:eastAsiaTheme="minorHAnsi"/>
          <w:strike/>
          <w:sz w:val="24"/>
          <w:szCs w:val="24"/>
          <w:lang w:eastAsia="en-US"/>
        </w:rPr>
      </w:pPr>
      <w:r w:rsidRPr="009C52F4">
        <w:rPr>
          <w:rFonts w:eastAsiaTheme="minorHAnsi"/>
          <w:sz w:val="24"/>
          <w:szCs w:val="24"/>
          <w:lang w:eastAsia="en-US"/>
        </w:rPr>
        <w:t>13)</w:t>
      </w:r>
      <w:r w:rsidRPr="009C52F4">
        <w:rPr>
          <w:rFonts w:eastAsiaTheme="minorHAnsi"/>
          <w:sz w:val="24"/>
          <w:szCs w:val="24"/>
          <w:lang w:eastAsia="en-US"/>
        </w:rPr>
        <w:tab/>
      </w:r>
      <w:r w:rsidR="000F777E" w:rsidRPr="00361372">
        <w:rPr>
          <w:rFonts w:eastAsiaTheme="minorHAnsi"/>
          <w:sz w:val="24"/>
          <w:szCs w:val="24"/>
          <w:lang w:eastAsia="en-US"/>
        </w:rPr>
        <w:t>Kultura eta kirol jarduerak sustatzea.</w:t>
      </w:r>
    </w:p>
    <w:p w:rsidR="00BB7991"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14)        Euskara sustatu eta bultzatzeko jarduerak.</w:t>
      </w:r>
    </w:p>
    <w:p w:rsidR="0086012F" w:rsidRPr="009C52F4" w:rsidRDefault="0086012F" w:rsidP="0086012F">
      <w:pPr>
        <w:spacing w:after="200" w:line="276" w:lineRule="auto"/>
        <w:jc w:val="both"/>
        <w:rPr>
          <w:rFonts w:eastAsiaTheme="minorHAnsi"/>
          <w:sz w:val="24"/>
          <w:szCs w:val="24"/>
          <w:lang w:eastAsia="en-US"/>
        </w:rPr>
      </w:pPr>
    </w:p>
    <w:p w:rsidR="00BF173D" w:rsidRPr="009C52F4" w:rsidRDefault="00BF173D" w:rsidP="000F777E">
      <w:pPr>
        <w:spacing w:after="240" w:line="276" w:lineRule="auto"/>
        <w:jc w:val="both"/>
        <w:rPr>
          <w:rFonts w:eastAsiaTheme="minorHAnsi"/>
          <w:sz w:val="24"/>
          <w:szCs w:val="24"/>
          <w:lang w:eastAsia="en-US"/>
        </w:rPr>
      </w:pPr>
      <w:r w:rsidRPr="009C52F4">
        <w:rPr>
          <w:rFonts w:eastAsiaTheme="minorHAnsi"/>
          <w:sz w:val="24"/>
          <w:szCs w:val="24"/>
          <w:lang w:eastAsia="en-US"/>
        </w:rPr>
        <w:t>4.</w:t>
      </w:r>
      <w:r w:rsidRPr="009C52F4">
        <w:rPr>
          <w:rFonts w:eastAsiaTheme="minorHAnsi"/>
          <w:sz w:val="24"/>
          <w:szCs w:val="24"/>
          <w:lang w:eastAsia="en-US"/>
        </w:rPr>
        <w:tab/>
      </w:r>
      <w:r w:rsidR="000F777E" w:rsidRPr="00361372">
        <w:rPr>
          <w:rFonts w:eastAsiaTheme="minorHAnsi"/>
          <w:sz w:val="24"/>
          <w:szCs w:val="24"/>
          <w:lang w:eastAsia="en-US"/>
        </w:rPr>
        <w:t>JARRAIPENEKO BATZORDE TEKNIKOA</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Esparru akordio honen Jarraipeneko Batzorde Teknikoa sortuko da, eta eginkizun izango du esparru akordioaren klausuletan jasotako egitekoak, izenpetu ondoren nolabait garatzea behar dutenak, gauzatzea.</w:t>
      </w:r>
    </w:p>
    <w:p w:rsidR="00C6255F"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Alde bakoitzaren hiru ordezkarik osatuko dute Jarraipeneko Batzorde Teknikoa.</w:t>
      </w:r>
      <w:r w:rsidR="00BF173D" w:rsidRPr="009C52F4">
        <w:rPr>
          <w:rFonts w:eastAsiaTheme="minorHAnsi"/>
          <w:sz w:val="24"/>
          <w:szCs w:val="24"/>
          <w:lang w:eastAsia="en-US"/>
        </w:rPr>
        <w:t xml:space="preserve"> </w:t>
      </w:r>
      <w:r w:rsidRPr="00361372">
        <w:rPr>
          <w:rFonts w:eastAsiaTheme="minorHAnsi"/>
          <w:sz w:val="24"/>
          <w:szCs w:val="24"/>
          <w:lang w:eastAsia="en-US"/>
        </w:rPr>
        <w:t>Urtean behin bilduko da, eta aldeetako edozeinek eskatzen duen guztietan ere bai.</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Aldeen ohiko baliabideak erabiliz funtzionatuko du.</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Jarraipeneko Batzorde Teknikoa ez da administrazio organoa izango eta, beraz, ez du administrazio egintzarik emateko ahalmenik izango.</w:t>
      </w:r>
      <w:r w:rsidR="00BF173D" w:rsidRPr="009C52F4">
        <w:rPr>
          <w:rFonts w:eastAsiaTheme="minorHAnsi"/>
          <w:sz w:val="24"/>
          <w:szCs w:val="24"/>
          <w:lang w:eastAsia="en-US"/>
        </w:rPr>
        <w:t xml:space="preserve"> </w:t>
      </w:r>
      <w:r w:rsidRPr="00361372">
        <w:rPr>
          <w:rFonts w:eastAsiaTheme="minorHAnsi"/>
          <w:sz w:val="24"/>
          <w:szCs w:val="24"/>
          <w:lang w:eastAsia="en-US"/>
        </w:rPr>
        <w:t>Administrazio egintzak aldeetako organo eskudunek emango dituzte beren eskumen eta jardute eremuaren arabera, ordenamendu juridikoaren arabera.</w:t>
      </w:r>
    </w:p>
    <w:p w:rsidR="00185EFB" w:rsidRPr="009C52F4" w:rsidRDefault="00185EFB" w:rsidP="00BF173D">
      <w:pPr>
        <w:spacing w:after="200" w:line="276" w:lineRule="auto"/>
        <w:jc w:val="both"/>
        <w:rPr>
          <w:rFonts w:eastAsiaTheme="minorHAnsi"/>
          <w:sz w:val="24"/>
          <w:szCs w:val="24"/>
          <w:lang w:eastAsia="en-US"/>
        </w:rPr>
      </w:pP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5.</w:t>
      </w:r>
      <w:r w:rsidRPr="009C52F4">
        <w:rPr>
          <w:rFonts w:eastAsiaTheme="minorHAnsi"/>
          <w:sz w:val="24"/>
          <w:szCs w:val="24"/>
          <w:lang w:eastAsia="en-US"/>
        </w:rPr>
        <w:tab/>
      </w:r>
      <w:r w:rsidR="000F777E" w:rsidRPr="00361372">
        <w:rPr>
          <w:rFonts w:eastAsiaTheme="minorHAnsi"/>
          <w:sz w:val="24"/>
          <w:szCs w:val="24"/>
          <w:lang w:eastAsia="en-US"/>
        </w:rPr>
        <w:t>ESPARRU AKORDIOAREN IRAUPENA</w:t>
      </w:r>
    </w:p>
    <w:p w:rsidR="00BF173D" w:rsidRPr="009C52F4" w:rsidRDefault="000F777E" w:rsidP="000F777E">
      <w:pPr>
        <w:spacing w:after="200" w:line="276" w:lineRule="auto"/>
        <w:jc w:val="both"/>
        <w:rPr>
          <w:rFonts w:eastAsiaTheme="minorHAnsi"/>
          <w:strike/>
          <w:sz w:val="24"/>
          <w:szCs w:val="24"/>
          <w:lang w:eastAsia="en-US"/>
        </w:rPr>
      </w:pPr>
      <w:r w:rsidRPr="00361372">
        <w:rPr>
          <w:rFonts w:eastAsiaTheme="minorHAnsi"/>
          <w:sz w:val="24"/>
          <w:szCs w:val="24"/>
          <w:lang w:eastAsia="en-US"/>
        </w:rPr>
        <w:t>Esparru akordio honek lau urteko iraupena izango du izenpetzen denetik aurrera, eta beste lau urtez luzatu ahal izango da, aldeen berariazko adostasunez.</w:t>
      </w:r>
      <w:r w:rsidR="0086012F" w:rsidRPr="009C52F4">
        <w:rPr>
          <w:rFonts w:eastAsiaTheme="minorHAnsi"/>
          <w:sz w:val="24"/>
          <w:szCs w:val="24"/>
          <w:lang w:eastAsia="en-US"/>
        </w:rPr>
        <w:t xml:space="preserve"> </w:t>
      </w:r>
      <w:r w:rsidR="00BF173D" w:rsidRPr="009C52F4">
        <w:rPr>
          <w:rFonts w:eastAsiaTheme="minorHAnsi"/>
          <w:sz w:val="24"/>
          <w:szCs w:val="24"/>
          <w:lang w:eastAsia="en-US"/>
        </w:rPr>
        <w:t xml:space="preserve"> </w:t>
      </w:r>
      <w:r w:rsidRPr="00361372">
        <w:rPr>
          <w:rFonts w:eastAsiaTheme="minorHAnsi"/>
          <w:sz w:val="24"/>
          <w:szCs w:val="24"/>
          <w:lang w:eastAsia="en-US"/>
        </w:rPr>
        <w:t>Esparru akordioaren indarraldia bukatu baino hiru hilabete lehenago onetsi beharko da akordio luzapena.</w:t>
      </w:r>
      <w:r w:rsidR="00BF173D" w:rsidRPr="009C52F4">
        <w:rPr>
          <w:rFonts w:eastAsiaTheme="minorHAnsi"/>
          <w:strike/>
          <w:sz w:val="24"/>
          <w:szCs w:val="24"/>
          <w:lang w:eastAsia="en-US"/>
        </w:rPr>
        <w:t xml:space="preserve"> </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Esparru akordioa bukatutzat joko da aldeetako edozeinek berariaz hala eskatzen badu, helburu guztiak bete direlako edo behin betiko irtenbidea aurkitu delako enklabearen egoera modu iraunkorrean konpontzeko, ordenamendu juridikoarekin bat etorriz. Aldeek hiru hilabeteko aurrerapenez eman beharko diote horren berri elkarri.</w:t>
      </w:r>
    </w:p>
    <w:p w:rsidR="0086012F" w:rsidRPr="009C52F4" w:rsidRDefault="0086012F" w:rsidP="00BF173D">
      <w:pPr>
        <w:spacing w:after="200" w:line="276" w:lineRule="auto"/>
        <w:jc w:val="both"/>
        <w:rPr>
          <w:rFonts w:eastAsiaTheme="minorHAnsi"/>
          <w:sz w:val="24"/>
          <w:szCs w:val="24"/>
          <w:lang w:eastAsia="en-US"/>
        </w:rPr>
      </w:pP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t>6.</w:t>
      </w:r>
      <w:r w:rsidR="00F1764D" w:rsidRPr="009C52F4">
        <w:rPr>
          <w:rFonts w:eastAsiaTheme="minorHAnsi"/>
          <w:sz w:val="24"/>
          <w:szCs w:val="24"/>
          <w:lang w:eastAsia="en-US"/>
        </w:rPr>
        <w:tab/>
      </w:r>
      <w:r w:rsidR="000F777E" w:rsidRPr="00361372">
        <w:rPr>
          <w:rFonts w:eastAsiaTheme="minorHAnsi"/>
          <w:sz w:val="24"/>
          <w:szCs w:val="24"/>
          <w:lang w:eastAsia="en-US"/>
        </w:rPr>
        <w:t>ESPARRU AKORDIOARI BURUZKO ARGIBIDEAK</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Esparru akordio honen berri emango zaie enklabeko udalei eta, dagokionean, eragindako gainerako udalei, Eusko Jaurlaritzari eta Gaztela eta Leongo Juntari.</w:t>
      </w:r>
    </w:p>
    <w:p w:rsidR="0086012F" w:rsidRPr="009C52F4" w:rsidRDefault="0086012F" w:rsidP="00BF173D">
      <w:pPr>
        <w:spacing w:after="200" w:line="276" w:lineRule="auto"/>
        <w:jc w:val="both"/>
        <w:rPr>
          <w:rFonts w:eastAsiaTheme="minorHAnsi"/>
          <w:sz w:val="24"/>
          <w:szCs w:val="24"/>
          <w:lang w:eastAsia="en-US"/>
        </w:rPr>
      </w:pPr>
    </w:p>
    <w:p w:rsidR="00BF173D" w:rsidRPr="009C52F4" w:rsidRDefault="00BF173D" w:rsidP="000F777E">
      <w:pPr>
        <w:spacing w:after="200" w:line="276" w:lineRule="auto"/>
        <w:jc w:val="both"/>
        <w:rPr>
          <w:rFonts w:eastAsiaTheme="minorHAnsi"/>
          <w:sz w:val="24"/>
          <w:szCs w:val="24"/>
          <w:lang w:eastAsia="en-US"/>
        </w:rPr>
      </w:pPr>
      <w:r w:rsidRPr="009C52F4">
        <w:rPr>
          <w:rFonts w:eastAsiaTheme="minorHAnsi"/>
          <w:sz w:val="24"/>
          <w:szCs w:val="24"/>
          <w:lang w:eastAsia="en-US"/>
        </w:rPr>
        <w:lastRenderedPageBreak/>
        <w:t>7.</w:t>
      </w:r>
      <w:r w:rsidRPr="009C52F4">
        <w:rPr>
          <w:rFonts w:eastAsiaTheme="minorHAnsi"/>
          <w:sz w:val="24"/>
          <w:szCs w:val="24"/>
          <w:lang w:eastAsia="en-US"/>
        </w:rPr>
        <w:tab/>
      </w:r>
      <w:r w:rsidR="000F777E" w:rsidRPr="00361372">
        <w:rPr>
          <w:rFonts w:eastAsiaTheme="minorHAnsi"/>
          <w:sz w:val="24"/>
          <w:szCs w:val="24"/>
          <w:lang w:eastAsia="en-US"/>
        </w:rPr>
        <w:t>IZAERA JURIDIKOA</w:t>
      </w:r>
    </w:p>
    <w:p w:rsidR="00BF173D" w:rsidRPr="009C52F4" w:rsidRDefault="000F777E" w:rsidP="000F777E">
      <w:pPr>
        <w:spacing w:after="200" w:line="276" w:lineRule="auto"/>
        <w:jc w:val="both"/>
        <w:rPr>
          <w:rFonts w:eastAsiaTheme="minorHAnsi"/>
          <w:sz w:val="24"/>
          <w:szCs w:val="24"/>
          <w:lang w:eastAsia="en-US"/>
        </w:rPr>
      </w:pPr>
      <w:r w:rsidRPr="00361372">
        <w:rPr>
          <w:rFonts w:eastAsiaTheme="minorHAnsi"/>
          <w:sz w:val="24"/>
          <w:szCs w:val="24"/>
          <w:lang w:eastAsia="en-US"/>
        </w:rPr>
        <w:t xml:space="preserve">Esparru akordio honek administrazio izaera du, eta aldeak administrazioarekiko auzien </w:t>
      </w:r>
      <w:proofErr w:type="spellStart"/>
      <w:r w:rsidRPr="00361372">
        <w:rPr>
          <w:rFonts w:eastAsiaTheme="minorHAnsi"/>
          <w:sz w:val="24"/>
          <w:szCs w:val="24"/>
          <w:lang w:eastAsia="en-US"/>
        </w:rPr>
        <w:t>jurisdikziopean</w:t>
      </w:r>
      <w:proofErr w:type="spellEnd"/>
      <w:r w:rsidRPr="00361372">
        <w:rPr>
          <w:rFonts w:eastAsiaTheme="minorHAnsi"/>
          <w:sz w:val="24"/>
          <w:szCs w:val="24"/>
          <w:lang w:eastAsia="en-US"/>
        </w:rPr>
        <w:t xml:space="preserve"> egongo dira akordioa interpretatu eta aplikatzetik erator daitezkeen auzi guztietan.</w:t>
      </w:r>
    </w:p>
    <w:p w:rsidR="00BF173D" w:rsidRPr="009C52F4" w:rsidRDefault="000F777E" w:rsidP="000F777E">
      <w:pPr>
        <w:spacing w:after="600" w:line="276" w:lineRule="auto"/>
        <w:jc w:val="both"/>
        <w:rPr>
          <w:rFonts w:eastAsiaTheme="minorHAnsi"/>
          <w:sz w:val="24"/>
          <w:szCs w:val="24"/>
          <w:lang w:eastAsia="en-US"/>
        </w:rPr>
      </w:pPr>
      <w:r w:rsidRPr="00361372">
        <w:rPr>
          <w:rFonts w:eastAsiaTheme="minorHAnsi"/>
          <w:sz w:val="24"/>
          <w:szCs w:val="24"/>
          <w:lang w:eastAsia="en-US"/>
        </w:rPr>
        <w:t>Aldeak ados daudenez hitzartutako klausula guztiekin, hitzematen dute klausula horiek ahalik eta modu zorrotz eta zehatzenean beteko dituztela ordezkari gisa esku hartzen dutenean; eta, bat datozela adierazteko, agiri hau eta agiriaren hamabi kopiak izenpetu dituzte goiburuan adierazitako tokian eta egunean.</w:t>
      </w:r>
    </w:p>
    <w:p w:rsidR="00BF173D" w:rsidRPr="009C52F4" w:rsidRDefault="008E141F" w:rsidP="008E141F">
      <w:pPr>
        <w:spacing w:after="200" w:line="276" w:lineRule="auto"/>
        <w:jc w:val="both"/>
        <w:rPr>
          <w:rFonts w:eastAsiaTheme="minorHAnsi"/>
          <w:b/>
          <w:sz w:val="24"/>
          <w:szCs w:val="24"/>
          <w:lang w:eastAsia="en-US"/>
        </w:rPr>
      </w:pPr>
      <w:r w:rsidRPr="00361372">
        <w:rPr>
          <w:rFonts w:eastAsiaTheme="minorHAnsi"/>
          <w:b/>
          <w:sz w:val="24"/>
          <w:szCs w:val="24"/>
          <w:lang w:eastAsia="en-US"/>
        </w:rPr>
        <w:t>ARABAKO FORU ALDUNDIAREN IZENEAN       BURGOSKO PROBINTZIA DIPUTAZIOAREN IZENEAN</w:t>
      </w:r>
    </w:p>
    <w:p w:rsidR="00BF173D" w:rsidRPr="009C52F4" w:rsidRDefault="00BF173D" w:rsidP="00BF173D">
      <w:pPr>
        <w:spacing w:after="200" w:line="276" w:lineRule="auto"/>
        <w:jc w:val="both"/>
        <w:rPr>
          <w:rFonts w:eastAsiaTheme="minorHAnsi"/>
          <w:sz w:val="24"/>
          <w:szCs w:val="24"/>
          <w:lang w:eastAsia="en-US"/>
        </w:rPr>
      </w:pPr>
    </w:p>
    <w:p w:rsidR="00E61770" w:rsidRPr="009C52F4" w:rsidRDefault="00E61770" w:rsidP="00BF173D">
      <w:pPr>
        <w:spacing w:after="200" w:line="276" w:lineRule="auto"/>
        <w:jc w:val="both"/>
        <w:rPr>
          <w:rFonts w:eastAsiaTheme="minorHAnsi"/>
          <w:sz w:val="24"/>
          <w:szCs w:val="24"/>
          <w:lang w:eastAsia="en-US"/>
        </w:rPr>
      </w:pPr>
    </w:p>
    <w:p w:rsidR="00BF173D" w:rsidRPr="009C52F4" w:rsidRDefault="008E141F" w:rsidP="008E141F">
      <w:pPr>
        <w:spacing w:after="200" w:line="276" w:lineRule="auto"/>
        <w:jc w:val="both"/>
        <w:rPr>
          <w:rFonts w:eastAsiaTheme="minorHAnsi"/>
          <w:b/>
          <w:sz w:val="24"/>
          <w:szCs w:val="24"/>
          <w:lang w:eastAsia="en-US"/>
        </w:rPr>
      </w:pPr>
      <w:r w:rsidRPr="00361372">
        <w:rPr>
          <w:rFonts w:eastAsiaTheme="minorHAnsi"/>
          <w:b/>
          <w:sz w:val="24"/>
          <w:szCs w:val="24"/>
          <w:lang w:eastAsia="en-US"/>
        </w:rPr>
        <w:t>Izpta.:</w:t>
      </w:r>
      <w:r w:rsidR="00BF173D" w:rsidRPr="009C52F4">
        <w:rPr>
          <w:rFonts w:eastAsiaTheme="minorHAnsi"/>
          <w:b/>
          <w:sz w:val="24"/>
          <w:szCs w:val="24"/>
          <w:lang w:eastAsia="en-US"/>
        </w:rPr>
        <w:t xml:space="preserve"> </w:t>
      </w:r>
      <w:r w:rsidRPr="00361372">
        <w:rPr>
          <w:rFonts w:eastAsiaTheme="minorHAnsi"/>
          <w:b/>
          <w:sz w:val="24"/>
          <w:szCs w:val="24"/>
          <w:lang w:eastAsia="en-US"/>
        </w:rPr>
        <w:t>Ramiro González Vicente</w:t>
      </w:r>
      <w:r w:rsidR="00BF173D" w:rsidRPr="009C52F4">
        <w:rPr>
          <w:rFonts w:eastAsiaTheme="minorHAnsi"/>
          <w:b/>
          <w:sz w:val="24"/>
          <w:szCs w:val="24"/>
          <w:lang w:eastAsia="en-US"/>
        </w:rPr>
        <w:tab/>
      </w:r>
      <w:r w:rsidR="00BF173D" w:rsidRPr="009C52F4">
        <w:rPr>
          <w:rFonts w:eastAsiaTheme="minorHAnsi"/>
          <w:b/>
          <w:sz w:val="24"/>
          <w:szCs w:val="24"/>
          <w:lang w:eastAsia="en-US"/>
        </w:rPr>
        <w:tab/>
      </w:r>
      <w:r w:rsidR="00BF173D" w:rsidRPr="009C52F4">
        <w:rPr>
          <w:rFonts w:eastAsiaTheme="minorHAnsi"/>
          <w:b/>
          <w:sz w:val="24"/>
          <w:szCs w:val="24"/>
          <w:lang w:eastAsia="en-US"/>
        </w:rPr>
        <w:tab/>
        <w:t xml:space="preserve">         </w:t>
      </w:r>
      <w:r w:rsidRPr="00361372">
        <w:rPr>
          <w:rFonts w:eastAsiaTheme="minorHAnsi"/>
          <w:b/>
          <w:sz w:val="24"/>
          <w:szCs w:val="24"/>
          <w:lang w:eastAsia="en-US"/>
        </w:rPr>
        <w:t>Izpta.:</w:t>
      </w:r>
      <w:r w:rsidR="00BF173D" w:rsidRPr="009C52F4">
        <w:rPr>
          <w:rFonts w:eastAsiaTheme="minorHAnsi"/>
          <w:b/>
          <w:sz w:val="24"/>
          <w:szCs w:val="24"/>
          <w:lang w:eastAsia="en-US"/>
        </w:rPr>
        <w:t xml:space="preserve"> </w:t>
      </w:r>
      <w:proofErr w:type="spellStart"/>
      <w:r w:rsidRPr="00361372">
        <w:rPr>
          <w:rFonts w:eastAsiaTheme="minorHAnsi"/>
          <w:b/>
          <w:sz w:val="24"/>
          <w:szCs w:val="24"/>
          <w:lang w:eastAsia="en-US"/>
        </w:rPr>
        <w:t>César</w:t>
      </w:r>
      <w:proofErr w:type="spellEnd"/>
      <w:r w:rsidRPr="00361372">
        <w:rPr>
          <w:rFonts w:eastAsiaTheme="minorHAnsi"/>
          <w:b/>
          <w:sz w:val="24"/>
          <w:szCs w:val="24"/>
          <w:lang w:eastAsia="en-US"/>
        </w:rPr>
        <w:t xml:space="preserve"> Rico Ruiz</w:t>
      </w:r>
    </w:p>
    <w:sectPr w:rsidR="00BF173D" w:rsidRPr="009C52F4" w:rsidSect="00C93457">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851" w:left="1701" w:header="851"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77E" w:rsidRDefault="000F777E">
      <w:r>
        <w:separator/>
      </w:r>
    </w:p>
  </w:endnote>
  <w:endnote w:type="continuationSeparator" w:id="0">
    <w:p w:rsidR="000F777E" w:rsidRDefault="000F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372" w:rsidRDefault="003613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E" w:rsidRDefault="000F777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75920" cy="281305"/>
              <wp:effectExtent l="0" t="0" r="0" b="0"/>
              <wp:wrapNone/>
              <wp:docPr id="3"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281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777E" w:rsidRDefault="000F777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6</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29.6pt;height:22.1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" fillcolor="white [3201]" stroked="f" strokeweight=".5pt">
              <v:textbox style="mso-fit-shape-to-text:t" inset="0,,0">
                <w:txbxContent>
                  <w:p w:rsidR="000F777E" w:rsidRDefault="000F777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6</w:t>
                    </w:r>
                    <w:r>
                      <w:rPr>
                        <w:color w:val="0F243E" w:themeColor="text2" w:themeShade="80"/>
                        <w:sz w:val="26"/>
                        <w:szCs w:val="26"/>
                      </w:rPr>
                      <w:fldChar w:fldCharType="end"/>
                    </w:r>
                  </w:p>
                </w:txbxContent>
              </v:textbox>
              <w10:wrap anchorx="page" anchory="page"/>
            </v:shape>
          </w:pict>
        </mc:Fallback>
      </mc:AlternateContent>
    </w:r>
  </w:p>
  <w:p w:rsidR="000F777E" w:rsidRPr="0082547F" w:rsidRDefault="000F777E">
    <w:pPr>
      <w:pStyle w:val="Piedepgina"/>
      <w:tabs>
        <w:tab w:val="clear" w:pos="4252"/>
        <w:tab w:val="clear" w:pos="8504"/>
      </w:tabs>
      <w:jc w:val="right"/>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E" w:rsidRDefault="000F777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777E" w:rsidRDefault="000F777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" fillcolor="white [3201]" stroked="f" strokeweight=".5pt">
              <v:textbox style="mso-fit-shape-to-text:t" inset="0,,0">
                <w:txbxContent>
                  <w:p w:rsidR="000F777E" w:rsidRDefault="000F777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0F777E" w:rsidRDefault="000F777E" w:rsidP="0082547F">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77E" w:rsidRDefault="000F777E">
      <w:r>
        <w:separator/>
      </w:r>
    </w:p>
  </w:footnote>
  <w:footnote w:type="continuationSeparator" w:id="0">
    <w:p w:rsidR="000F777E" w:rsidRDefault="000F7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372" w:rsidRDefault="003613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0F777E" w:rsidRPr="007335E7" w:rsidTr="00BE3C6F">
      <w:trPr>
        <w:cantSplit/>
        <w:trHeight w:val="338"/>
      </w:trPr>
      <w:tc>
        <w:tcPr>
          <w:tcW w:w="3856" w:type="dxa"/>
        </w:tcPr>
        <w:p w:rsidR="000F777E" w:rsidRPr="007335E7" w:rsidRDefault="000F777E" w:rsidP="007335E7">
          <w:pPr>
            <w:tabs>
              <w:tab w:val="center" w:pos="4252"/>
              <w:tab w:val="right" w:pos="8504"/>
            </w:tabs>
            <w:rPr>
              <w:lang w:val="es-ES_tradnl"/>
            </w:rPr>
          </w:pPr>
        </w:p>
      </w:tc>
      <w:tc>
        <w:tcPr>
          <w:tcW w:w="1361" w:type="dxa"/>
          <w:vMerge w:val="restart"/>
        </w:tcPr>
        <w:p w:rsidR="000F777E" w:rsidRPr="007335E7" w:rsidRDefault="000F777E" w:rsidP="007335E7">
          <w:pPr>
            <w:tabs>
              <w:tab w:val="center" w:pos="4252"/>
              <w:tab w:val="right" w:pos="8504"/>
            </w:tabs>
            <w:jc w:val="center"/>
            <w:rPr>
              <w:lang w:val="es-ES_tradnl"/>
            </w:rPr>
          </w:pPr>
          <w:r>
            <w:rPr>
              <w:noProof/>
            </w:rPr>
            <w:drawing>
              <wp:inline distT="0" distB="0" distL="0" distR="0">
                <wp:extent cx="429260" cy="429260"/>
                <wp:effectExtent l="0" t="0" r="8890" b="889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3856" w:type="dxa"/>
        </w:tcPr>
        <w:p w:rsidR="000F777E" w:rsidRPr="007335E7" w:rsidRDefault="000F777E" w:rsidP="007335E7">
          <w:pPr>
            <w:tabs>
              <w:tab w:val="center" w:pos="4252"/>
              <w:tab w:val="right" w:pos="8504"/>
            </w:tabs>
            <w:rPr>
              <w:lang w:val="es-ES_tradnl"/>
            </w:rPr>
          </w:pPr>
        </w:p>
      </w:tc>
    </w:tr>
    <w:tr w:rsidR="000F777E" w:rsidRPr="007335E7" w:rsidTr="00BE3C6F">
      <w:trPr>
        <w:cantSplit/>
        <w:trHeight w:val="337"/>
      </w:trPr>
      <w:tc>
        <w:tcPr>
          <w:tcW w:w="3856" w:type="dxa"/>
        </w:tcPr>
        <w:p w:rsidR="000F777E" w:rsidRPr="007335E7" w:rsidRDefault="000F777E" w:rsidP="007335E7">
          <w:pPr>
            <w:tabs>
              <w:tab w:val="center" w:pos="4252"/>
              <w:tab w:val="right" w:pos="8504"/>
            </w:tabs>
            <w:rPr>
              <w:lang w:val="es-ES_tradnl"/>
            </w:rPr>
          </w:pPr>
        </w:p>
      </w:tc>
      <w:tc>
        <w:tcPr>
          <w:tcW w:w="1361" w:type="dxa"/>
          <w:vMerge/>
        </w:tcPr>
        <w:p w:rsidR="000F777E" w:rsidRPr="007335E7" w:rsidRDefault="000F777E" w:rsidP="007335E7">
          <w:pPr>
            <w:tabs>
              <w:tab w:val="center" w:pos="4252"/>
              <w:tab w:val="right" w:pos="8504"/>
            </w:tabs>
            <w:jc w:val="center"/>
            <w:rPr>
              <w:lang w:val="es-ES_tradnl"/>
            </w:rPr>
          </w:pPr>
        </w:p>
      </w:tc>
      <w:tc>
        <w:tcPr>
          <w:tcW w:w="3856" w:type="dxa"/>
        </w:tcPr>
        <w:p w:rsidR="000F777E" w:rsidRPr="007335E7" w:rsidRDefault="000F777E" w:rsidP="007335E7">
          <w:pPr>
            <w:tabs>
              <w:tab w:val="center" w:pos="4252"/>
              <w:tab w:val="right" w:pos="8504"/>
            </w:tabs>
            <w:rPr>
              <w:lang w:val="es-ES_tradnl"/>
            </w:rPr>
          </w:pPr>
        </w:p>
      </w:tc>
    </w:tr>
  </w:tbl>
  <w:p w:rsidR="000F777E" w:rsidRPr="007335E7" w:rsidRDefault="000F777E" w:rsidP="007335E7">
    <w:pPr>
      <w:tabs>
        <w:tab w:val="center" w:pos="4252"/>
        <w:tab w:val="right" w:pos="8504"/>
      </w:tabs>
      <w:rPr>
        <w:sz w:val="4"/>
        <w:szCs w:val="4"/>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0F777E">
      <w:tc>
        <w:tcPr>
          <w:tcW w:w="6804" w:type="dxa"/>
        </w:tcPr>
        <w:p w:rsidR="000F777E" w:rsidRDefault="000F777E">
          <w:pPr>
            <w:pStyle w:val="Encabezado"/>
            <w:tabs>
              <w:tab w:val="clear" w:pos="4252"/>
              <w:tab w:val="clear" w:pos="8504"/>
            </w:tabs>
            <w:spacing w:after="1200"/>
            <w:ind w:left="74"/>
            <w:rPr>
              <w:rFonts w:ascii="Arial" w:hAnsi="Arial"/>
              <w:noProof/>
              <w:sz w:val="16"/>
            </w:rPr>
          </w:pPr>
          <w:r w:rsidRPr="00C21C4D">
            <w:rPr>
              <w:rFonts w:ascii="Arial" w:hAnsi="Arial"/>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55pt;height:56.4pt" fillcolor="window">
                <v:imagedata r:id="rId1" o:title=""/>
              </v:shape>
              <o:OLEObject Type="Embed" ProgID="Word.Picture.8" ShapeID="_x0000_i1025" DrawAspect="Content" ObjectID="_1679726930" r:id="rId2"/>
            </w:object>
          </w:r>
        </w:p>
        <w:p w:rsidR="000F777E" w:rsidRDefault="000F777E">
          <w:pPr>
            <w:pStyle w:val="Encabezado"/>
            <w:ind w:left="1064"/>
            <w:rPr>
              <w:rFonts w:ascii="Arial" w:hAnsi="Arial"/>
              <w:noProof/>
              <w:sz w:val="16"/>
            </w:rPr>
          </w:pPr>
        </w:p>
      </w:tc>
      <w:tc>
        <w:tcPr>
          <w:tcW w:w="3402" w:type="dxa"/>
        </w:tcPr>
        <w:p w:rsidR="000F777E" w:rsidRPr="005958FA" w:rsidRDefault="000F777E" w:rsidP="005958FA">
          <w:pPr>
            <w:tabs>
              <w:tab w:val="right" w:pos="8504"/>
            </w:tabs>
            <w:spacing w:after="40" w:line="240" w:lineRule="exact"/>
            <w:ind w:left="-68"/>
            <w:rPr>
              <w:rFonts w:ascii="Arial" w:hAnsi="Arial" w:cs="Arial"/>
              <w:b/>
              <w:noProof/>
              <w:sz w:val="18"/>
              <w:lang w:val="es-ES_tradnl" w:bidi="or-IN"/>
            </w:rPr>
          </w:pPr>
          <w:r w:rsidRPr="005958FA">
            <w:rPr>
              <w:rFonts w:ascii="Arial" w:hAnsi="Arial" w:cs="Arial"/>
              <w:b/>
              <w:noProof/>
              <w:sz w:val="18"/>
              <w:lang w:val="es-ES_tradnl" w:bidi="or-IN"/>
            </w:rPr>
            <w:t>Foru Gobernu Kontseilua</w:t>
          </w:r>
        </w:p>
        <w:p w:rsidR="000F777E" w:rsidRPr="005958FA" w:rsidRDefault="000F777E" w:rsidP="005958FA">
          <w:pPr>
            <w:tabs>
              <w:tab w:val="right" w:pos="8504"/>
            </w:tabs>
            <w:spacing w:after="240" w:line="240" w:lineRule="exact"/>
            <w:ind w:left="-68"/>
            <w:rPr>
              <w:rFonts w:ascii="Arial" w:hAnsi="Arial" w:cs="Arial"/>
              <w:b/>
              <w:noProof/>
              <w:sz w:val="18"/>
              <w:lang w:val="es-ES_tradnl" w:bidi="or-IN"/>
            </w:rPr>
          </w:pPr>
          <w:r w:rsidRPr="005958FA">
            <w:rPr>
              <w:rFonts w:ascii="Arial" w:hAnsi="Arial" w:cs="Arial"/>
              <w:b/>
              <w:noProof/>
              <w:sz w:val="18"/>
              <w:lang w:val="es-ES_tradnl" w:bidi="or-IN"/>
            </w:rPr>
            <w:t>Consejo de Gobierno Foral</w:t>
          </w:r>
        </w:p>
        <w:p w:rsidR="000F777E" w:rsidRDefault="000F777E">
          <w:pPr>
            <w:pStyle w:val="Encabezado"/>
            <w:tabs>
              <w:tab w:val="clear" w:pos="4252"/>
            </w:tabs>
            <w:ind w:left="-70"/>
            <w:rPr>
              <w:rFonts w:ascii="Arial" w:hAnsi="Arial"/>
              <w:noProof/>
              <w:sz w:val="18"/>
            </w:rPr>
          </w:pPr>
        </w:p>
      </w:tc>
    </w:tr>
  </w:tbl>
  <w:p w:rsidR="000F777E" w:rsidRDefault="000F777E">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CBE"/>
    <w:multiLevelType w:val="hybridMultilevel"/>
    <w:tmpl w:val="2ADC8146"/>
    <w:lvl w:ilvl="0" w:tplc="A19C77D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5F3243"/>
    <w:multiLevelType w:val="hybridMultilevel"/>
    <w:tmpl w:val="E3302E20"/>
    <w:lvl w:ilvl="0" w:tplc="0C0A0011">
      <w:start w:val="1"/>
      <w:numFmt w:val="decimal"/>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 w15:restartNumberingAfterBreak="0">
    <w:nsid w:val="0F113B8B"/>
    <w:multiLevelType w:val="hybridMultilevel"/>
    <w:tmpl w:val="CBB43532"/>
    <w:lvl w:ilvl="0" w:tplc="6BE8028A">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B6C28F0"/>
    <w:multiLevelType w:val="hybridMultilevel"/>
    <w:tmpl w:val="91E46042"/>
    <w:lvl w:ilvl="0" w:tplc="582C18F8">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2E716CB9"/>
    <w:multiLevelType w:val="hybridMultilevel"/>
    <w:tmpl w:val="1B921D16"/>
    <w:lvl w:ilvl="0" w:tplc="1604DC48">
      <w:start w:val="1"/>
      <w:numFmt w:val="decimal"/>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650491"/>
    <w:multiLevelType w:val="hybridMultilevel"/>
    <w:tmpl w:val="B34AB5D2"/>
    <w:lvl w:ilvl="0" w:tplc="A19C77DE">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71BE6591"/>
    <w:multiLevelType w:val="hybridMultilevel"/>
    <w:tmpl w:val="8642FC1E"/>
    <w:lvl w:ilvl="0" w:tplc="0C0A0011">
      <w:start w:val="1"/>
      <w:numFmt w:val="decimal"/>
      <w:lvlText w:val="%1)"/>
      <w:lvlJc w:val="left"/>
      <w:pPr>
        <w:ind w:left="1211" w:hanging="360"/>
      </w:pPr>
      <w:rPr>
        <w:rFonts w:hint="default"/>
      </w:rPr>
    </w:lvl>
    <w:lvl w:ilvl="1" w:tplc="0C0A0003" w:tentative="1">
      <w:start w:val="1"/>
      <w:numFmt w:val="bullet"/>
      <w:lvlText w:val="o"/>
      <w:lvlJc w:val="left"/>
      <w:pPr>
        <w:ind w:left="80" w:hanging="360"/>
      </w:pPr>
      <w:rPr>
        <w:rFonts w:ascii="Courier New" w:hAnsi="Courier New" w:cs="Courier New" w:hint="default"/>
      </w:rPr>
    </w:lvl>
    <w:lvl w:ilvl="2" w:tplc="0C0A0005" w:tentative="1">
      <w:start w:val="1"/>
      <w:numFmt w:val="bullet"/>
      <w:lvlText w:val=""/>
      <w:lvlJc w:val="left"/>
      <w:pPr>
        <w:ind w:left="800" w:hanging="360"/>
      </w:pPr>
      <w:rPr>
        <w:rFonts w:ascii="Wingdings" w:hAnsi="Wingdings" w:hint="default"/>
      </w:rPr>
    </w:lvl>
    <w:lvl w:ilvl="3" w:tplc="0C0A0001" w:tentative="1">
      <w:start w:val="1"/>
      <w:numFmt w:val="bullet"/>
      <w:lvlText w:val=""/>
      <w:lvlJc w:val="left"/>
      <w:pPr>
        <w:ind w:left="1520" w:hanging="360"/>
      </w:pPr>
      <w:rPr>
        <w:rFonts w:ascii="Symbol" w:hAnsi="Symbol" w:hint="default"/>
      </w:rPr>
    </w:lvl>
    <w:lvl w:ilvl="4" w:tplc="0C0A0003" w:tentative="1">
      <w:start w:val="1"/>
      <w:numFmt w:val="bullet"/>
      <w:lvlText w:val="o"/>
      <w:lvlJc w:val="left"/>
      <w:pPr>
        <w:ind w:left="2240" w:hanging="360"/>
      </w:pPr>
      <w:rPr>
        <w:rFonts w:ascii="Courier New" w:hAnsi="Courier New" w:cs="Courier New" w:hint="default"/>
      </w:rPr>
    </w:lvl>
    <w:lvl w:ilvl="5" w:tplc="0C0A0005" w:tentative="1">
      <w:start w:val="1"/>
      <w:numFmt w:val="bullet"/>
      <w:lvlText w:val=""/>
      <w:lvlJc w:val="left"/>
      <w:pPr>
        <w:ind w:left="2960" w:hanging="360"/>
      </w:pPr>
      <w:rPr>
        <w:rFonts w:ascii="Wingdings" w:hAnsi="Wingdings" w:hint="default"/>
      </w:rPr>
    </w:lvl>
    <w:lvl w:ilvl="6" w:tplc="0C0A0001" w:tentative="1">
      <w:start w:val="1"/>
      <w:numFmt w:val="bullet"/>
      <w:lvlText w:val=""/>
      <w:lvlJc w:val="left"/>
      <w:pPr>
        <w:ind w:left="3680" w:hanging="360"/>
      </w:pPr>
      <w:rPr>
        <w:rFonts w:ascii="Symbol" w:hAnsi="Symbol" w:hint="default"/>
      </w:rPr>
    </w:lvl>
    <w:lvl w:ilvl="7" w:tplc="0C0A0003" w:tentative="1">
      <w:start w:val="1"/>
      <w:numFmt w:val="bullet"/>
      <w:lvlText w:val="o"/>
      <w:lvlJc w:val="left"/>
      <w:pPr>
        <w:ind w:left="4400" w:hanging="360"/>
      </w:pPr>
      <w:rPr>
        <w:rFonts w:ascii="Courier New" w:hAnsi="Courier New" w:cs="Courier New" w:hint="default"/>
      </w:rPr>
    </w:lvl>
    <w:lvl w:ilvl="8" w:tplc="0C0A0005" w:tentative="1">
      <w:start w:val="1"/>
      <w:numFmt w:val="bullet"/>
      <w:lvlText w:val=""/>
      <w:lvlJc w:val="left"/>
      <w:pPr>
        <w:ind w:left="5120" w:hanging="360"/>
      </w:pPr>
      <w:rPr>
        <w:rFonts w:ascii="Wingdings" w:hAnsi="Wingdings" w:hint="default"/>
      </w:rPr>
    </w:lvl>
  </w:abstractNum>
  <w:abstractNum w:abstractNumId="7" w15:restartNumberingAfterBreak="0">
    <w:nsid w:val="774271F1"/>
    <w:multiLevelType w:val="hybridMultilevel"/>
    <w:tmpl w:val="85E2D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6D"/>
    <w:rsid w:val="000111BF"/>
    <w:rsid w:val="000113C8"/>
    <w:rsid w:val="0004074F"/>
    <w:rsid w:val="00060F7B"/>
    <w:rsid w:val="00090B72"/>
    <w:rsid w:val="000A7743"/>
    <w:rsid w:val="000F1A6E"/>
    <w:rsid w:val="000F5A3B"/>
    <w:rsid w:val="000F777E"/>
    <w:rsid w:val="0010797E"/>
    <w:rsid w:val="00122192"/>
    <w:rsid w:val="00126BBF"/>
    <w:rsid w:val="00130A36"/>
    <w:rsid w:val="00134141"/>
    <w:rsid w:val="0018116A"/>
    <w:rsid w:val="00185EFB"/>
    <w:rsid w:val="001874DC"/>
    <w:rsid w:val="00193244"/>
    <w:rsid w:val="0019508F"/>
    <w:rsid w:val="001A2E74"/>
    <w:rsid w:val="001A38B4"/>
    <w:rsid w:val="001A39E3"/>
    <w:rsid w:val="001A7F0E"/>
    <w:rsid w:val="001E3BDD"/>
    <w:rsid w:val="00210783"/>
    <w:rsid w:val="00211807"/>
    <w:rsid w:val="00223694"/>
    <w:rsid w:val="002309B6"/>
    <w:rsid w:val="0025586D"/>
    <w:rsid w:val="00271319"/>
    <w:rsid w:val="00291AB4"/>
    <w:rsid w:val="002A40BA"/>
    <w:rsid w:val="002A41A0"/>
    <w:rsid w:val="002B6968"/>
    <w:rsid w:val="002C7C20"/>
    <w:rsid w:val="00313569"/>
    <w:rsid w:val="00322C14"/>
    <w:rsid w:val="0033063B"/>
    <w:rsid w:val="00361372"/>
    <w:rsid w:val="00364882"/>
    <w:rsid w:val="003855F7"/>
    <w:rsid w:val="00393B92"/>
    <w:rsid w:val="003A0DF6"/>
    <w:rsid w:val="003A150B"/>
    <w:rsid w:val="003C6819"/>
    <w:rsid w:val="003D3C21"/>
    <w:rsid w:val="003E26AF"/>
    <w:rsid w:val="003E6441"/>
    <w:rsid w:val="003E6867"/>
    <w:rsid w:val="00406392"/>
    <w:rsid w:val="00406C16"/>
    <w:rsid w:val="004249B7"/>
    <w:rsid w:val="00436531"/>
    <w:rsid w:val="00460558"/>
    <w:rsid w:val="0046283B"/>
    <w:rsid w:val="00466EC1"/>
    <w:rsid w:val="00490F5F"/>
    <w:rsid w:val="004B2B84"/>
    <w:rsid w:val="004B33FA"/>
    <w:rsid w:val="004B5343"/>
    <w:rsid w:val="004C772F"/>
    <w:rsid w:val="00525E12"/>
    <w:rsid w:val="00533C5F"/>
    <w:rsid w:val="00553487"/>
    <w:rsid w:val="00571378"/>
    <w:rsid w:val="005861CC"/>
    <w:rsid w:val="0058650A"/>
    <w:rsid w:val="00586E70"/>
    <w:rsid w:val="005950F4"/>
    <w:rsid w:val="005958FA"/>
    <w:rsid w:val="005B62B1"/>
    <w:rsid w:val="005C7E25"/>
    <w:rsid w:val="005D096E"/>
    <w:rsid w:val="005D1A44"/>
    <w:rsid w:val="006000D4"/>
    <w:rsid w:val="00604C78"/>
    <w:rsid w:val="00634EC6"/>
    <w:rsid w:val="00655D8A"/>
    <w:rsid w:val="00657D5E"/>
    <w:rsid w:val="00672B86"/>
    <w:rsid w:val="00683320"/>
    <w:rsid w:val="006973C9"/>
    <w:rsid w:val="006D73A1"/>
    <w:rsid w:val="006E2DF1"/>
    <w:rsid w:val="006F5B3A"/>
    <w:rsid w:val="00731633"/>
    <w:rsid w:val="007335E7"/>
    <w:rsid w:val="00795A2C"/>
    <w:rsid w:val="00797231"/>
    <w:rsid w:val="007A02F0"/>
    <w:rsid w:val="007A0496"/>
    <w:rsid w:val="007B0939"/>
    <w:rsid w:val="007D4D6D"/>
    <w:rsid w:val="0081490C"/>
    <w:rsid w:val="0082547F"/>
    <w:rsid w:val="0086012F"/>
    <w:rsid w:val="008A32AE"/>
    <w:rsid w:val="008C20B3"/>
    <w:rsid w:val="008C6B38"/>
    <w:rsid w:val="008D3305"/>
    <w:rsid w:val="008E141F"/>
    <w:rsid w:val="008F0ECB"/>
    <w:rsid w:val="00913997"/>
    <w:rsid w:val="00936122"/>
    <w:rsid w:val="00965290"/>
    <w:rsid w:val="009A28D2"/>
    <w:rsid w:val="009C52F4"/>
    <w:rsid w:val="009F6D12"/>
    <w:rsid w:val="00A11522"/>
    <w:rsid w:val="00A16F30"/>
    <w:rsid w:val="00A62279"/>
    <w:rsid w:val="00A62693"/>
    <w:rsid w:val="00A95A12"/>
    <w:rsid w:val="00AD0DE7"/>
    <w:rsid w:val="00B04D2F"/>
    <w:rsid w:val="00B104AC"/>
    <w:rsid w:val="00B23719"/>
    <w:rsid w:val="00B2774D"/>
    <w:rsid w:val="00B75423"/>
    <w:rsid w:val="00BB6C00"/>
    <w:rsid w:val="00BB7991"/>
    <w:rsid w:val="00BC547D"/>
    <w:rsid w:val="00BC75BD"/>
    <w:rsid w:val="00BE3C6F"/>
    <w:rsid w:val="00BF00FC"/>
    <w:rsid w:val="00BF173D"/>
    <w:rsid w:val="00C05B6B"/>
    <w:rsid w:val="00C20E70"/>
    <w:rsid w:val="00C21C4D"/>
    <w:rsid w:val="00C403A5"/>
    <w:rsid w:val="00C6255F"/>
    <w:rsid w:val="00C93457"/>
    <w:rsid w:val="00CB3E10"/>
    <w:rsid w:val="00CC2F76"/>
    <w:rsid w:val="00CE2EAB"/>
    <w:rsid w:val="00CE3257"/>
    <w:rsid w:val="00CF78DD"/>
    <w:rsid w:val="00D10825"/>
    <w:rsid w:val="00D4763D"/>
    <w:rsid w:val="00D53265"/>
    <w:rsid w:val="00DA3245"/>
    <w:rsid w:val="00DB5455"/>
    <w:rsid w:val="00DD63FF"/>
    <w:rsid w:val="00DE46E0"/>
    <w:rsid w:val="00DF6779"/>
    <w:rsid w:val="00E06CEE"/>
    <w:rsid w:val="00E427D1"/>
    <w:rsid w:val="00E61770"/>
    <w:rsid w:val="00E80FF9"/>
    <w:rsid w:val="00EA0B3C"/>
    <w:rsid w:val="00ED370E"/>
    <w:rsid w:val="00ED525D"/>
    <w:rsid w:val="00EE3202"/>
    <w:rsid w:val="00F1764D"/>
    <w:rsid w:val="00F512F0"/>
    <w:rsid w:val="00F8125D"/>
    <w:rsid w:val="00FC4AA8"/>
    <w:rsid w:val="00FD3854"/>
    <w:rsid w:val="00FE32EB"/>
    <w:rsid w:val="00FF4C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D954D4F3-33E4-4BCE-BCB5-31F966D2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4D6D"/>
    <w:pPr>
      <w:spacing w:after="0" w:line="240" w:lineRule="auto"/>
    </w:pPr>
    <w:rPr>
      <w:rFonts w:ascii="Times New Roman" w:eastAsia="Times New Roman" w:hAnsi="Times New Roman" w:cs="Times New Roman"/>
      <w:sz w:val="20"/>
      <w:szCs w:val="20"/>
      <w:lang w:val="eu-ES" w:eastAsia="es-ES"/>
    </w:rPr>
  </w:style>
  <w:style w:type="paragraph" w:styleId="Ttulo1">
    <w:name w:val="heading 1"/>
    <w:basedOn w:val="Normal"/>
    <w:next w:val="Normal"/>
    <w:link w:val="Ttulo1Car"/>
    <w:qFormat/>
    <w:rsid w:val="007D4D6D"/>
    <w:pPr>
      <w:keepNext/>
      <w:spacing w:before="240" w:after="480"/>
      <w:jc w:val="center"/>
      <w:outlineLvl w:val="0"/>
    </w:pPr>
    <w:rPr>
      <w:rFonts w:ascii="Arial" w:hAnsi="Arial"/>
      <w:b/>
      <w:sz w:val="22"/>
      <w:lang w:val="es-ES_tradnl"/>
    </w:rPr>
  </w:style>
  <w:style w:type="paragraph" w:styleId="Ttulo2">
    <w:name w:val="heading 2"/>
    <w:basedOn w:val="Normal"/>
    <w:next w:val="Normal"/>
    <w:link w:val="Ttulo2Car"/>
    <w:qFormat/>
    <w:rsid w:val="007D4D6D"/>
    <w:pPr>
      <w:keepNext/>
      <w:spacing w:before="240" w:after="480"/>
      <w:outlineLvl w:val="1"/>
    </w:pPr>
    <w:rPr>
      <w:b/>
      <w:sz w:val="24"/>
      <w:lang w:val="es-ES_tradnl"/>
    </w:rPr>
  </w:style>
  <w:style w:type="paragraph" w:styleId="Ttulo4">
    <w:name w:val="heading 4"/>
    <w:basedOn w:val="Normal"/>
    <w:next w:val="Normal"/>
    <w:link w:val="Ttulo4Car"/>
    <w:qFormat/>
    <w:rsid w:val="007D4D6D"/>
    <w:pPr>
      <w:keepNext/>
      <w:spacing w:before="1320" w:after="60" w:line="240" w:lineRule="exact"/>
      <w:outlineLvl w:val="3"/>
    </w:pPr>
    <w:rPr>
      <w:b/>
      <w:sz w:val="22"/>
      <w:lang w:val="es-ES_tradnl"/>
    </w:rPr>
  </w:style>
  <w:style w:type="paragraph" w:styleId="Ttulo5">
    <w:name w:val="heading 5"/>
    <w:basedOn w:val="Normal"/>
    <w:next w:val="Normal"/>
    <w:link w:val="Ttulo5Car"/>
    <w:qFormat/>
    <w:rsid w:val="007D4D6D"/>
    <w:pPr>
      <w:keepNext/>
      <w:ind w:left="2124" w:firstLine="708"/>
      <w:outlineLvl w:val="4"/>
    </w:pPr>
    <w:rPr>
      <w:rFonts w:ascii="Verdana" w:hAnsi="Verdan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D6D"/>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7D4D6D"/>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7D4D6D"/>
    <w:rPr>
      <w:rFonts w:ascii="Times New Roman" w:eastAsia="Times New Roman" w:hAnsi="Times New Roman" w:cs="Times New Roman"/>
      <w:b/>
      <w:szCs w:val="20"/>
      <w:lang w:val="es-ES_tradnl" w:eastAsia="es-ES"/>
    </w:rPr>
  </w:style>
  <w:style w:type="character" w:customStyle="1" w:styleId="Ttulo5Car">
    <w:name w:val="Título 5 Car"/>
    <w:basedOn w:val="Fuentedeprrafopredeter"/>
    <w:link w:val="Ttulo5"/>
    <w:rsid w:val="007D4D6D"/>
    <w:rPr>
      <w:rFonts w:ascii="Verdana" w:eastAsia="Times New Roman" w:hAnsi="Verdana" w:cs="Times New Roman"/>
      <w:b/>
      <w:szCs w:val="20"/>
      <w:lang w:eastAsia="es-ES"/>
    </w:rPr>
  </w:style>
  <w:style w:type="paragraph" w:styleId="Textoindependiente3">
    <w:name w:val="Body Text 3"/>
    <w:basedOn w:val="Normal"/>
    <w:link w:val="Textoindependiente3Car"/>
    <w:semiHidden/>
    <w:rsid w:val="007D4D6D"/>
    <w:pPr>
      <w:tabs>
        <w:tab w:val="right" w:pos="8789"/>
      </w:tabs>
    </w:pPr>
    <w:rPr>
      <w:sz w:val="22"/>
    </w:rPr>
  </w:style>
  <w:style w:type="character" w:customStyle="1" w:styleId="Textoindependiente3Car">
    <w:name w:val="Texto independiente 3 Car"/>
    <w:basedOn w:val="Fuentedeprrafopredeter"/>
    <w:link w:val="Textoindependiente3"/>
    <w:semiHidden/>
    <w:rsid w:val="007D4D6D"/>
    <w:rPr>
      <w:rFonts w:ascii="Times New Roman" w:eastAsia="Times New Roman" w:hAnsi="Times New Roman" w:cs="Times New Roman"/>
      <w:szCs w:val="20"/>
      <w:lang w:eastAsia="es-ES"/>
    </w:rPr>
  </w:style>
  <w:style w:type="paragraph" w:styleId="Textoindependiente">
    <w:name w:val="Body Text"/>
    <w:basedOn w:val="Normal"/>
    <w:link w:val="TextoindependienteCar"/>
    <w:semiHidden/>
    <w:rsid w:val="007D4D6D"/>
    <w:pPr>
      <w:jc w:val="both"/>
    </w:pPr>
    <w:rPr>
      <w:b/>
      <w:sz w:val="22"/>
    </w:rPr>
  </w:style>
  <w:style w:type="character" w:customStyle="1" w:styleId="TextoindependienteCar">
    <w:name w:val="Texto independiente Car"/>
    <w:basedOn w:val="Fuentedeprrafopredeter"/>
    <w:link w:val="Textoindependiente"/>
    <w:semiHidden/>
    <w:rsid w:val="007D4D6D"/>
    <w:rPr>
      <w:rFonts w:ascii="Times New Roman" w:eastAsia="Times New Roman" w:hAnsi="Times New Roman" w:cs="Times New Roman"/>
      <w:b/>
      <w:szCs w:val="20"/>
      <w:lang w:eastAsia="es-ES"/>
    </w:rPr>
  </w:style>
  <w:style w:type="paragraph" w:styleId="Sangradetextonormal">
    <w:name w:val="Body Text Indent"/>
    <w:basedOn w:val="Normal"/>
    <w:link w:val="SangradetextonormalCar"/>
    <w:semiHidden/>
    <w:rsid w:val="007D4D6D"/>
    <w:pPr>
      <w:spacing w:after="240"/>
      <w:ind w:firstLine="1134"/>
      <w:jc w:val="both"/>
    </w:pPr>
    <w:rPr>
      <w:rFonts w:ascii="Arial" w:hAnsi="Arial"/>
      <w:b/>
      <w:color w:val="FF0000"/>
      <w:sz w:val="24"/>
      <w:lang w:val="es-ES_tradnl"/>
    </w:rPr>
  </w:style>
  <w:style w:type="character" w:customStyle="1" w:styleId="SangradetextonormalCar">
    <w:name w:val="Sangría de texto normal Car"/>
    <w:basedOn w:val="Fuentedeprrafopredeter"/>
    <w:link w:val="Sangradetextonormal"/>
    <w:semiHidden/>
    <w:rsid w:val="007D4D6D"/>
    <w:rPr>
      <w:rFonts w:ascii="Arial" w:eastAsia="Times New Roman" w:hAnsi="Arial" w:cs="Times New Roman"/>
      <w:b/>
      <w:color w:val="FF0000"/>
      <w:sz w:val="24"/>
      <w:szCs w:val="20"/>
      <w:lang w:val="es-ES_tradnl" w:eastAsia="es-ES"/>
    </w:rPr>
  </w:style>
  <w:style w:type="paragraph" w:styleId="Encabezado">
    <w:name w:val="header"/>
    <w:basedOn w:val="Normal"/>
    <w:link w:val="EncabezadoCar"/>
    <w:semiHidden/>
    <w:rsid w:val="007D4D6D"/>
    <w:pPr>
      <w:tabs>
        <w:tab w:val="center" w:pos="4252"/>
        <w:tab w:val="right" w:pos="8504"/>
      </w:tabs>
    </w:pPr>
    <w:rPr>
      <w:lang w:val="es-ES_tradnl"/>
    </w:rPr>
  </w:style>
  <w:style w:type="character" w:customStyle="1" w:styleId="EncabezadoCar">
    <w:name w:val="Encabezado Car"/>
    <w:basedOn w:val="Fuentedeprrafopredeter"/>
    <w:link w:val="Encabezado"/>
    <w:semiHidden/>
    <w:rsid w:val="007D4D6D"/>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7D4D6D"/>
  </w:style>
  <w:style w:type="paragraph" w:styleId="Piedepgina">
    <w:name w:val="footer"/>
    <w:basedOn w:val="Normal"/>
    <w:link w:val="PiedepginaCar"/>
    <w:uiPriority w:val="99"/>
    <w:rsid w:val="007D4D6D"/>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7D4D6D"/>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7D4D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D4D6D"/>
    <w:rPr>
      <w:rFonts w:ascii="Tahoma" w:eastAsia="Times New Roman" w:hAnsi="Tahoma" w:cs="Tahoma"/>
      <w:sz w:val="16"/>
      <w:szCs w:val="16"/>
      <w:lang w:eastAsia="es-ES"/>
    </w:rPr>
  </w:style>
  <w:style w:type="paragraph" w:styleId="Sangra2detindependiente">
    <w:name w:val="Body Text Indent 2"/>
    <w:basedOn w:val="Normal"/>
    <w:link w:val="Sangra2detindependienteCar"/>
    <w:uiPriority w:val="99"/>
    <w:semiHidden/>
    <w:unhideWhenUsed/>
    <w:rsid w:val="00BF00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F00FC"/>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E2EAB"/>
    <w:pPr>
      <w:spacing w:after="200" w:line="276" w:lineRule="auto"/>
      <w:ind w:left="720"/>
      <w:contextualSpacing/>
    </w:pPr>
    <w:rPr>
      <w:rFonts w:ascii="Calibri" w:hAnsi="Calibri"/>
      <w:sz w:val="22"/>
      <w:szCs w:val="22"/>
    </w:rPr>
  </w:style>
  <w:style w:type="paragraph" w:styleId="NormalWeb">
    <w:name w:val="Normal (Web)"/>
    <w:basedOn w:val="Normal"/>
    <w:uiPriority w:val="99"/>
    <w:semiHidden/>
    <w:unhideWhenUsed/>
    <w:rsid w:val="00EE3202"/>
    <w:pPr>
      <w:spacing w:before="100" w:beforeAutospacing="1" w:after="100" w:afterAutospacing="1"/>
    </w:pPr>
    <w:rPr>
      <w:sz w:val="24"/>
      <w:szCs w:val="24"/>
    </w:rPr>
  </w:style>
  <w:style w:type="paragraph" w:customStyle="1" w:styleId="Default">
    <w:name w:val="Default"/>
    <w:rsid w:val="000113C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04074F"/>
    <w:rPr>
      <w:sz w:val="16"/>
      <w:szCs w:val="16"/>
    </w:rPr>
  </w:style>
  <w:style w:type="paragraph" w:styleId="Textocomentario">
    <w:name w:val="annotation text"/>
    <w:basedOn w:val="Normal"/>
    <w:link w:val="TextocomentarioCar"/>
    <w:uiPriority w:val="99"/>
    <w:semiHidden/>
    <w:unhideWhenUsed/>
    <w:rsid w:val="0004074F"/>
  </w:style>
  <w:style w:type="character" w:customStyle="1" w:styleId="TextocomentarioCar">
    <w:name w:val="Texto comentario Car"/>
    <w:basedOn w:val="Fuentedeprrafopredeter"/>
    <w:link w:val="Textocomentario"/>
    <w:uiPriority w:val="99"/>
    <w:semiHidden/>
    <w:rsid w:val="000407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4074F"/>
    <w:rPr>
      <w:b/>
      <w:bCs/>
    </w:rPr>
  </w:style>
  <w:style w:type="character" w:customStyle="1" w:styleId="AsuntodelcomentarioCar">
    <w:name w:val="Asunto del comentario Car"/>
    <w:basedOn w:val="TextocomentarioCar"/>
    <w:link w:val="Asuntodelcomentario"/>
    <w:uiPriority w:val="99"/>
    <w:semiHidden/>
    <w:rsid w:val="0004074F"/>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94644">
      <w:bodyDiv w:val="1"/>
      <w:marLeft w:val="0"/>
      <w:marRight w:val="0"/>
      <w:marTop w:val="0"/>
      <w:marBottom w:val="0"/>
      <w:divBdr>
        <w:top w:val="none" w:sz="0" w:space="0" w:color="auto"/>
        <w:left w:val="none" w:sz="0" w:space="0" w:color="auto"/>
        <w:bottom w:val="none" w:sz="0" w:space="0" w:color="auto"/>
        <w:right w:val="none" w:sz="0" w:space="0" w:color="auto"/>
      </w:divBdr>
      <w:divsChild>
        <w:div w:id="44066150">
          <w:marLeft w:val="0"/>
          <w:marRight w:val="0"/>
          <w:marTop w:val="0"/>
          <w:marBottom w:val="0"/>
          <w:divBdr>
            <w:top w:val="none" w:sz="0" w:space="0" w:color="auto"/>
            <w:left w:val="none" w:sz="0" w:space="0" w:color="auto"/>
            <w:bottom w:val="none" w:sz="0" w:space="0" w:color="auto"/>
            <w:right w:val="none" w:sz="0" w:space="0" w:color="auto"/>
          </w:divBdr>
          <w:divsChild>
            <w:div w:id="2011323195">
              <w:marLeft w:val="0"/>
              <w:marRight w:val="0"/>
              <w:marTop w:val="0"/>
              <w:marBottom w:val="0"/>
              <w:divBdr>
                <w:top w:val="none" w:sz="0" w:space="0" w:color="auto"/>
                <w:left w:val="none" w:sz="0" w:space="0" w:color="auto"/>
                <w:bottom w:val="none" w:sz="0" w:space="0" w:color="auto"/>
                <w:right w:val="none" w:sz="0" w:space="0" w:color="auto"/>
              </w:divBdr>
              <w:divsChild>
                <w:div w:id="12573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3669">
      <w:bodyDiv w:val="1"/>
      <w:marLeft w:val="0"/>
      <w:marRight w:val="0"/>
      <w:marTop w:val="0"/>
      <w:marBottom w:val="0"/>
      <w:divBdr>
        <w:top w:val="none" w:sz="0" w:space="0" w:color="auto"/>
        <w:left w:val="none" w:sz="0" w:space="0" w:color="auto"/>
        <w:bottom w:val="none" w:sz="0" w:space="0" w:color="auto"/>
        <w:right w:val="none" w:sz="0" w:space="0" w:color="auto"/>
      </w:divBdr>
      <w:divsChild>
        <w:div w:id="578561725">
          <w:marLeft w:val="0"/>
          <w:marRight w:val="0"/>
          <w:marTop w:val="0"/>
          <w:marBottom w:val="0"/>
          <w:divBdr>
            <w:top w:val="none" w:sz="0" w:space="0" w:color="auto"/>
            <w:left w:val="none" w:sz="0" w:space="0" w:color="auto"/>
            <w:bottom w:val="none" w:sz="0" w:space="0" w:color="auto"/>
            <w:right w:val="none" w:sz="0" w:space="0" w:color="auto"/>
          </w:divBdr>
          <w:divsChild>
            <w:div w:id="1969240619">
              <w:marLeft w:val="0"/>
              <w:marRight w:val="0"/>
              <w:marTop w:val="0"/>
              <w:marBottom w:val="0"/>
              <w:divBdr>
                <w:top w:val="none" w:sz="0" w:space="0" w:color="auto"/>
                <w:left w:val="none" w:sz="0" w:space="0" w:color="auto"/>
                <w:bottom w:val="none" w:sz="0" w:space="0" w:color="auto"/>
                <w:right w:val="none" w:sz="0" w:space="0" w:color="auto"/>
              </w:divBdr>
              <w:divsChild>
                <w:div w:id="919683346">
                  <w:marLeft w:val="0"/>
                  <w:marRight w:val="0"/>
                  <w:marTop w:val="0"/>
                  <w:marBottom w:val="0"/>
                  <w:divBdr>
                    <w:top w:val="none" w:sz="0" w:space="0" w:color="auto"/>
                    <w:left w:val="none" w:sz="0" w:space="0" w:color="auto"/>
                    <w:bottom w:val="none" w:sz="0" w:space="0" w:color="auto"/>
                    <w:right w:val="none" w:sz="0" w:space="0" w:color="auto"/>
                  </w:divBdr>
                  <w:divsChild>
                    <w:div w:id="635792546">
                      <w:marLeft w:val="0"/>
                      <w:marRight w:val="0"/>
                      <w:marTop w:val="0"/>
                      <w:marBottom w:val="0"/>
                      <w:divBdr>
                        <w:top w:val="none" w:sz="0" w:space="0" w:color="auto"/>
                        <w:left w:val="none" w:sz="0" w:space="0" w:color="auto"/>
                        <w:bottom w:val="none" w:sz="0" w:space="0" w:color="auto"/>
                        <w:right w:val="none" w:sz="0" w:space="0" w:color="auto"/>
                      </w:divBdr>
                      <w:divsChild>
                        <w:div w:id="525599188">
                          <w:marLeft w:val="0"/>
                          <w:marRight w:val="0"/>
                          <w:marTop w:val="0"/>
                          <w:marBottom w:val="0"/>
                          <w:divBdr>
                            <w:top w:val="none" w:sz="0" w:space="0" w:color="auto"/>
                            <w:left w:val="none" w:sz="0" w:space="0" w:color="auto"/>
                            <w:bottom w:val="none" w:sz="0" w:space="0" w:color="auto"/>
                            <w:right w:val="none" w:sz="0" w:space="0" w:color="auto"/>
                          </w:divBdr>
                          <w:divsChild>
                            <w:div w:id="1534154842">
                              <w:marLeft w:val="0"/>
                              <w:marRight w:val="0"/>
                              <w:marTop w:val="0"/>
                              <w:marBottom w:val="0"/>
                              <w:divBdr>
                                <w:top w:val="none" w:sz="0" w:space="0" w:color="auto"/>
                                <w:left w:val="none" w:sz="0" w:space="0" w:color="auto"/>
                                <w:bottom w:val="none" w:sz="0" w:space="0" w:color="auto"/>
                                <w:right w:val="none" w:sz="0" w:space="0" w:color="auto"/>
                              </w:divBdr>
                              <w:divsChild>
                                <w:div w:id="659044375">
                                  <w:marLeft w:val="0"/>
                                  <w:marRight w:val="0"/>
                                  <w:marTop w:val="0"/>
                                  <w:marBottom w:val="0"/>
                                  <w:divBdr>
                                    <w:top w:val="none" w:sz="0" w:space="0" w:color="auto"/>
                                    <w:left w:val="none" w:sz="0" w:space="0" w:color="auto"/>
                                    <w:bottom w:val="none" w:sz="0" w:space="0" w:color="auto"/>
                                    <w:right w:val="none" w:sz="0" w:space="0" w:color="auto"/>
                                  </w:divBdr>
                                  <w:divsChild>
                                    <w:div w:id="15036188">
                                      <w:marLeft w:val="0"/>
                                      <w:marRight w:val="0"/>
                                      <w:marTop w:val="0"/>
                                      <w:marBottom w:val="0"/>
                                      <w:divBdr>
                                        <w:top w:val="none" w:sz="0" w:space="0" w:color="auto"/>
                                        <w:left w:val="none" w:sz="0" w:space="0" w:color="auto"/>
                                        <w:bottom w:val="none" w:sz="0" w:space="0" w:color="auto"/>
                                        <w:right w:val="none" w:sz="0" w:space="0" w:color="auto"/>
                                      </w:divBdr>
                                      <w:divsChild>
                                        <w:div w:id="295260950">
                                          <w:marLeft w:val="0"/>
                                          <w:marRight w:val="0"/>
                                          <w:marTop w:val="0"/>
                                          <w:marBottom w:val="0"/>
                                          <w:divBdr>
                                            <w:top w:val="none" w:sz="0" w:space="0" w:color="auto"/>
                                            <w:left w:val="none" w:sz="0" w:space="0" w:color="auto"/>
                                            <w:bottom w:val="none" w:sz="0" w:space="0" w:color="auto"/>
                                            <w:right w:val="none" w:sz="0" w:space="0" w:color="auto"/>
                                          </w:divBdr>
                                          <w:divsChild>
                                            <w:div w:id="1872839825">
                                              <w:marLeft w:val="0"/>
                                              <w:marRight w:val="0"/>
                                              <w:marTop w:val="600"/>
                                              <w:marBottom w:val="0"/>
                                              <w:divBdr>
                                                <w:top w:val="single" w:sz="6" w:space="0" w:color="DDDDDD"/>
                                                <w:left w:val="none" w:sz="0" w:space="0" w:color="auto"/>
                                                <w:bottom w:val="none" w:sz="0" w:space="0" w:color="auto"/>
                                                <w:right w:val="none" w:sz="0" w:space="0" w:color="auto"/>
                                              </w:divBdr>
                                              <w:divsChild>
                                                <w:div w:id="1409496714">
                                                  <w:marLeft w:val="0"/>
                                                  <w:marRight w:val="0"/>
                                                  <w:marTop w:val="0"/>
                                                  <w:marBottom w:val="0"/>
                                                  <w:divBdr>
                                                    <w:top w:val="none" w:sz="0" w:space="0" w:color="auto"/>
                                                    <w:left w:val="none" w:sz="0" w:space="0" w:color="auto"/>
                                                    <w:bottom w:val="none" w:sz="0" w:space="0" w:color="auto"/>
                                                    <w:right w:val="none" w:sz="0" w:space="0" w:color="auto"/>
                                                  </w:divBdr>
                                                  <w:divsChild>
                                                    <w:div w:id="553741382">
                                                      <w:marLeft w:val="0"/>
                                                      <w:marRight w:val="0"/>
                                                      <w:marTop w:val="0"/>
                                                      <w:marBottom w:val="0"/>
                                                      <w:divBdr>
                                                        <w:top w:val="none" w:sz="0" w:space="0" w:color="auto"/>
                                                        <w:left w:val="none" w:sz="0" w:space="0" w:color="auto"/>
                                                        <w:bottom w:val="none" w:sz="0" w:space="0" w:color="auto"/>
                                                        <w:right w:val="none" w:sz="0" w:space="0" w:color="auto"/>
                                                      </w:divBdr>
                                                      <w:divsChild>
                                                        <w:div w:id="854807906">
                                                          <w:marLeft w:val="0"/>
                                                          <w:marRight w:val="0"/>
                                                          <w:marTop w:val="0"/>
                                                          <w:marBottom w:val="0"/>
                                                          <w:divBdr>
                                                            <w:top w:val="none" w:sz="0" w:space="0" w:color="auto"/>
                                                            <w:left w:val="none" w:sz="0" w:space="0" w:color="auto"/>
                                                            <w:bottom w:val="none" w:sz="0" w:space="0" w:color="auto"/>
                                                            <w:right w:val="none" w:sz="0" w:space="0" w:color="auto"/>
                                                          </w:divBdr>
                                                          <w:divsChild>
                                                            <w:div w:id="464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551">
      <w:bodyDiv w:val="1"/>
      <w:marLeft w:val="0"/>
      <w:marRight w:val="0"/>
      <w:marTop w:val="0"/>
      <w:marBottom w:val="0"/>
      <w:divBdr>
        <w:top w:val="none" w:sz="0" w:space="0" w:color="auto"/>
        <w:left w:val="none" w:sz="0" w:space="0" w:color="auto"/>
        <w:bottom w:val="none" w:sz="0" w:space="0" w:color="auto"/>
        <w:right w:val="none" w:sz="0" w:space="0" w:color="auto"/>
      </w:divBdr>
      <w:divsChild>
        <w:div w:id="1753311057">
          <w:marLeft w:val="0"/>
          <w:marRight w:val="0"/>
          <w:marTop w:val="0"/>
          <w:marBottom w:val="0"/>
          <w:divBdr>
            <w:top w:val="none" w:sz="0" w:space="0" w:color="auto"/>
            <w:left w:val="none" w:sz="0" w:space="0" w:color="auto"/>
            <w:bottom w:val="none" w:sz="0" w:space="0" w:color="auto"/>
            <w:right w:val="none" w:sz="0" w:space="0" w:color="auto"/>
          </w:divBdr>
          <w:divsChild>
            <w:div w:id="402410020">
              <w:marLeft w:val="0"/>
              <w:marRight w:val="0"/>
              <w:marTop w:val="0"/>
              <w:marBottom w:val="0"/>
              <w:divBdr>
                <w:top w:val="none" w:sz="0" w:space="0" w:color="auto"/>
                <w:left w:val="none" w:sz="0" w:space="0" w:color="auto"/>
                <w:bottom w:val="none" w:sz="0" w:space="0" w:color="auto"/>
                <w:right w:val="none" w:sz="0" w:space="0" w:color="auto"/>
              </w:divBdr>
              <w:divsChild>
                <w:div w:id="1516844733">
                  <w:marLeft w:val="0"/>
                  <w:marRight w:val="0"/>
                  <w:marTop w:val="0"/>
                  <w:marBottom w:val="0"/>
                  <w:divBdr>
                    <w:top w:val="none" w:sz="0" w:space="0" w:color="auto"/>
                    <w:left w:val="none" w:sz="0" w:space="0" w:color="auto"/>
                    <w:bottom w:val="none" w:sz="0" w:space="0" w:color="auto"/>
                    <w:right w:val="none" w:sz="0" w:space="0" w:color="auto"/>
                  </w:divBdr>
                  <w:divsChild>
                    <w:div w:id="446897667">
                      <w:marLeft w:val="0"/>
                      <w:marRight w:val="0"/>
                      <w:marTop w:val="0"/>
                      <w:marBottom w:val="0"/>
                      <w:divBdr>
                        <w:top w:val="none" w:sz="0" w:space="0" w:color="auto"/>
                        <w:left w:val="none" w:sz="0" w:space="0" w:color="auto"/>
                        <w:bottom w:val="none" w:sz="0" w:space="0" w:color="auto"/>
                        <w:right w:val="none" w:sz="0" w:space="0" w:color="auto"/>
                      </w:divBdr>
                      <w:divsChild>
                        <w:div w:id="1496072377">
                          <w:marLeft w:val="0"/>
                          <w:marRight w:val="0"/>
                          <w:marTop w:val="0"/>
                          <w:marBottom w:val="0"/>
                          <w:divBdr>
                            <w:top w:val="none" w:sz="0" w:space="0" w:color="auto"/>
                            <w:left w:val="none" w:sz="0" w:space="0" w:color="auto"/>
                            <w:bottom w:val="none" w:sz="0" w:space="0" w:color="auto"/>
                            <w:right w:val="none" w:sz="0" w:space="0" w:color="auto"/>
                          </w:divBdr>
                          <w:divsChild>
                            <w:div w:id="699935723">
                              <w:marLeft w:val="0"/>
                              <w:marRight w:val="0"/>
                              <w:marTop w:val="0"/>
                              <w:marBottom w:val="0"/>
                              <w:divBdr>
                                <w:top w:val="none" w:sz="0" w:space="0" w:color="auto"/>
                                <w:left w:val="none" w:sz="0" w:space="0" w:color="auto"/>
                                <w:bottom w:val="none" w:sz="0" w:space="0" w:color="auto"/>
                                <w:right w:val="none" w:sz="0" w:space="0" w:color="auto"/>
                              </w:divBdr>
                              <w:divsChild>
                                <w:div w:id="559634236">
                                  <w:marLeft w:val="0"/>
                                  <w:marRight w:val="0"/>
                                  <w:marTop w:val="0"/>
                                  <w:marBottom w:val="0"/>
                                  <w:divBdr>
                                    <w:top w:val="none" w:sz="0" w:space="0" w:color="auto"/>
                                    <w:left w:val="none" w:sz="0" w:space="0" w:color="auto"/>
                                    <w:bottom w:val="none" w:sz="0" w:space="0" w:color="auto"/>
                                    <w:right w:val="none" w:sz="0" w:space="0" w:color="auto"/>
                                  </w:divBdr>
                                  <w:divsChild>
                                    <w:div w:id="1159812900">
                                      <w:marLeft w:val="0"/>
                                      <w:marRight w:val="0"/>
                                      <w:marTop w:val="0"/>
                                      <w:marBottom w:val="0"/>
                                      <w:divBdr>
                                        <w:top w:val="none" w:sz="0" w:space="0" w:color="auto"/>
                                        <w:left w:val="none" w:sz="0" w:space="0" w:color="auto"/>
                                        <w:bottom w:val="none" w:sz="0" w:space="0" w:color="auto"/>
                                        <w:right w:val="none" w:sz="0" w:space="0" w:color="auto"/>
                                      </w:divBdr>
                                      <w:divsChild>
                                        <w:div w:id="1524590518">
                                          <w:marLeft w:val="0"/>
                                          <w:marRight w:val="0"/>
                                          <w:marTop w:val="0"/>
                                          <w:marBottom w:val="0"/>
                                          <w:divBdr>
                                            <w:top w:val="none" w:sz="0" w:space="0" w:color="auto"/>
                                            <w:left w:val="none" w:sz="0" w:space="0" w:color="auto"/>
                                            <w:bottom w:val="none" w:sz="0" w:space="0" w:color="auto"/>
                                            <w:right w:val="none" w:sz="0" w:space="0" w:color="auto"/>
                                          </w:divBdr>
                                          <w:divsChild>
                                            <w:div w:id="1169905856">
                                              <w:marLeft w:val="0"/>
                                              <w:marRight w:val="0"/>
                                              <w:marTop w:val="600"/>
                                              <w:marBottom w:val="0"/>
                                              <w:divBdr>
                                                <w:top w:val="single" w:sz="6" w:space="0" w:color="DDDDDD"/>
                                                <w:left w:val="none" w:sz="0" w:space="0" w:color="auto"/>
                                                <w:bottom w:val="none" w:sz="0" w:space="0" w:color="auto"/>
                                                <w:right w:val="none" w:sz="0" w:space="0" w:color="auto"/>
                                              </w:divBdr>
                                              <w:divsChild>
                                                <w:div w:id="1062827091">
                                                  <w:marLeft w:val="0"/>
                                                  <w:marRight w:val="0"/>
                                                  <w:marTop w:val="0"/>
                                                  <w:marBottom w:val="0"/>
                                                  <w:divBdr>
                                                    <w:top w:val="none" w:sz="0" w:space="0" w:color="auto"/>
                                                    <w:left w:val="none" w:sz="0" w:space="0" w:color="auto"/>
                                                    <w:bottom w:val="none" w:sz="0" w:space="0" w:color="auto"/>
                                                    <w:right w:val="none" w:sz="0" w:space="0" w:color="auto"/>
                                                  </w:divBdr>
                                                  <w:divsChild>
                                                    <w:div w:id="214976255">
                                                      <w:marLeft w:val="0"/>
                                                      <w:marRight w:val="0"/>
                                                      <w:marTop w:val="0"/>
                                                      <w:marBottom w:val="0"/>
                                                      <w:divBdr>
                                                        <w:top w:val="none" w:sz="0" w:space="0" w:color="auto"/>
                                                        <w:left w:val="none" w:sz="0" w:space="0" w:color="auto"/>
                                                        <w:bottom w:val="none" w:sz="0" w:space="0" w:color="auto"/>
                                                        <w:right w:val="none" w:sz="0" w:space="0" w:color="auto"/>
                                                      </w:divBdr>
                                                      <w:divsChild>
                                                        <w:div w:id="466245011">
                                                          <w:marLeft w:val="0"/>
                                                          <w:marRight w:val="0"/>
                                                          <w:marTop w:val="0"/>
                                                          <w:marBottom w:val="0"/>
                                                          <w:divBdr>
                                                            <w:top w:val="none" w:sz="0" w:space="0" w:color="auto"/>
                                                            <w:left w:val="none" w:sz="0" w:space="0" w:color="auto"/>
                                                            <w:bottom w:val="none" w:sz="0" w:space="0" w:color="auto"/>
                                                            <w:right w:val="none" w:sz="0" w:space="0" w:color="auto"/>
                                                          </w:divBdr>
                                                          <w:divsChild>
                                                            <w:div w:id="11929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D14F-CF97-4248-B3BF-4758A1EE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9434</Characters>
  <Application>Microsoft Office Word</Application>
  <DocSecurity>4</DocSecurity>
  <Lines>78</Lines>
  <Paragraphs>22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Saez de Lafuente Uzabal, Nati</cp:lastModifiedBy>
  <cp:revision>2</cp:revision>
  <cp:lastPrinted>2017-03-10T10:40:00Z</cp:lastPrinted>
  <dcterms:created xsi:type="dcterms:W3CDTF">2021-04-12T08:02:00Z</dcterms:created>
  <dcterms:modified xsi:type="dcterms:W3CDTF">2021-04-12T08:02:00Z</dcterms:modified>
</cp:coreProperties>
</file>