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800681" w14:paraId="51EE6072" w14:textId="77777777" w:rsidTr="00EE0139">
        <w:trPr>
          <w:gridAfter w:val="1"/>
          <w:wAfter w:w="285" w:type="dxa"/>
          <w:trHeight w:val="168"/>
        </w:trPr>
        <w:tc>
          <w:tcPr>
            <w:tcW w:w="4253" w:type="dxa"/>
            <w:shd w:val="clear" w:color="auto" w:fill="auto"/>
            <w:vAlign w:val="bottom"/>
          </w:tcPr>
          <w:p w14:paraId="1051EB0A" w14:textId="77777777" w:rsidR="00E92EC4" w:rsidRPr="005D24EE" w:rsidRDefault="00E92EC4" w:rsidP="005C6341">
            <w:pPr>
              <w:rPr>
                <w:rFonts w:ascii="Arial" w:hAnsi="Arial" w:cs="Arial"/>
                <w:b/>
                <w:color w:val="000000" w:themeColor="text1"/>
                <w:sz w:val="12"/>
                <w:szCs w:val="12"/>
              </w:rPr>
            </w:pPr>
          </w:p>
        </w:tc>
        <w:tc>
          <w:tcPr>
            <w:tcW w:w="283" w:type="dxa"/>
          </w:tcPr>
          <w:p w14:paraId="31B298A1" w14:textId="77777777" w:rsidR="00E92EC4" w:rsidRPr="00DF0910" w:rsidRDefault="00E92EC4" w:rsidP="005C6341">
            <w:pPr>
              <w:rPr>
                <w:rFonts w:ascii="Arial" w:hAnsi="Arial" w:cs="Arial"/>
                <w:color w:val="000000" w:themeColor="text1"/>
                <w:sz w:val="12"/>
                <w:szCs w:val="12"/>
              </w:rPr>
            </w:pPr>
          </w:p>
        </w:tc>
        <w:tc>
          <w:tcPr>
            <w:tcW w:w="5103" w:type="dxa"/>
            <w:gridSpan w:val="3"/>
            <w:vMerge w:val="restart"/>
            <w:shd w:val="clear" w:color="auto" w:fill="auto"/>
          </w:tcPr>
          <w:p w14:paraId="2B962298" w14:textId="77777777" w:rsidR="00E92EC4" w:rsidRDefault="00E92EC4" w:rsidP="005C6341">
            <w:pPr>
              <w:tabs>
                <w:tab w:val="left" w:pos="0"/>
              </w:tabs>
              <w:rPr>
                <w:rFonts w:ascii="Arial" w:hAnsi="Arial" w:cs="Arial"/>
                <w:b/>
                <w:noProof/>
                <w:color w:val="000000"/>
                <w:sz w:val="16"/>
                <w:szCs w:val="16"/>
              </w:rPr>
            </w:pPr>
          </w:p>
          <w:p w14:paraId="39B9ED59" w14:textId="77777777" w:rsidR="00E92EC4" w:rsidRDefault="00E92EC4" w:rsidP="005C6341">
            <w:pPr>
              <w:tabs>
                <w:tab w:val="left" w:pos="0"/>
              </w:tabs>
              <w:rPr>
                <w:rFonts w:ascii="Arial" w:hAnsi="Arial" w:cs="Arial"/>
                <w:b/>
                <w:noProof/>
                <w:color w:val="000000"/>
                <w:sz w:val="16"/>
                <w:szCs w:val="16"/>
              </w:rPr>
            </w:pPr>
          </w:p>
          <w:p w14:paraId="2CD337CA" w14:textId="77777777" w:rsidR="00E92EC4" w:rsidRDefault="00E92EC4" w:rsidP="005C6341">
            <w:pPr>
              <w:tabs>
                <w:tab w:val="left" w:pos="0"/>
              </w:tabs>
              <w:rPr>
                <w:rFonts w:ascii="Arial" w:hAnsi="Arial" w:cs="Arial"/>
                <w:b/>
                <w:noProof/>
                <w:color w:val="000000"/>
                <w:sz w:val="16"/>
                <w:szCs w:val="16"/>
              </w:rPr>
            </w:pPr>
          </w:p>
          <w:p w14:paraId="15009204" w14:textId="7DC19E78" w:rsidR="00E92EC4" w:rsidRPr="00D76AF9" w:rsidRDefault="00E92EC4" w:rsidP="00FE3E62">
            <w:pPr>
              <w:spacing w:after="60"/>
              <w:rPr>
                <w:rFonts w:ascii="Arial" w:hAnsi="Arial" w:cs="Arial"/>
                <w:b/>
                <w:noProof/>
                <w:color w:val="000000"/>
                <w:sz w:val="16"/>
                <w:szCs w:val="16"/>
              </w:rPr>
            </w:pPr>
          </w:p>
        </w:tc>
      </w:tr>
      <w:tr w:rsidR="00800681" w14:paraId="576DE0DD" w14:textId="77777777" w:rsidTr="00EE0139">
        <w:trPr>
          <w:gridAfter w:val="1"/>
          <w:wAfter w:w="285" w:type="dxa"/>
          <w:trHeight w:val="168"/>
        </w:trPr>
        <w:tc>
          <w:tcPr>
            <w:tcW w:w="4253" w:type="dxa"/>
            <w:shd w:val="clear" w:color="auto" w:fill="auto"/>
            <w:vAlign w:val="bottom"/>
          </w:tcPr>
          <w:p w14:paraId="40F6C9B5" w14:textId="77777777" w:rsidR="00E92EC4" w:rsidRPr="005D24EE" w:rsidRDefault="00E92EC4" w:rsidP="005C6341">
            <w:pPr>
              <w:rPr>
                <w:rFonts w:ascii="Arial" w:hAnsi="Arial" w:cs="Arial"/>
                <w:b/>
                <w:color w:val="000000" w:themeColor="text1"/>
                <w:sz w:val="12"/>
                <w:szCs w:val="12"/>
              </w:rPr>
            </w:pPr>
          </w:p>
        </w:tc>
        <w:tc>
          <w:tcPr>
            <w:tcW w:w="283" w:type="dxa"/>
          </w:tcPr>
          <w:p w14:paraId="56A50BDB" w14:textId="77777777" w:rsidR="00E92EC4" w:rsidRPr="00DF0910" w:rsidRDefault="00E92EC4" w:rsidP="005C6341">
            <w:pPr>
              <w:rPr>
                <w:rFonts w:ascii="Arial" w:hAnsi="Arial" w:cs="Arial"/>
                <w:color w:val="000000" w:themeColor="text1"/>
                <w:sz w:val="12"/>
                <w:szCs w:val="12"/>
              </w:rPr>
            </w:pPr>
          </w:p>
        </w:tc>
        <w:tc>
          <w:tcPr>
            <w:tcW w:w="5103" w:type="dxa"/>
            <w:gridSpan w:val="3"/>
            <w:vMerge/>
            <w:shd w:val="clear" w:color="auto" w:fill="auto"/>
          </w:tcPr>
          <w:p w14:paraId="14C4A801" w14:textId="77777777" w:rsidR="00E92EC4" w:rsidRPr="00D76AF9" w:rsidRDefault="00E92EC4" w:rsidP="005C6341">
            <w:pPr>
              <w:rPr>
                <w:rFonts w:ascii="Arial" w:hAnsi="Arial" w:cs="Arial"/>
                <w:b/>
                <w:noProof/>
                <w:color w:val="000000"/>
                <w:sz w:val="16"/>
                <w:szCs w:val="16"/>
              </w:rPr>
            </w:pPr>
          </w:p>
        </w:tc>
      </w:tr>
      <w:tr w:rsidR="00800681" w14:paraId="2F1C406E" w14:textId="77777777" w:rsidTr="00EE0139">
        <w:trPr>
          <w:gridAfter w:val="1"/>
          <w:wAfter w:w="285" w:type="dxa"/>
          <w:trHeight w:val="168"/>
        </w:trPr>
        <w:tc>
          <w:tcPr>
            <w:tcW w:w="4253" w:type="dxa"/>
            <w:shd w:val="clear" w:color="auto" w:fill="auto"/>
            <w:vAlign w:val="bottom"/>
          </w:tcPr>
          <w:p w14:paraId="2D586876" w14:textId="77777777" w:rsidR="00E92EC4" w:rsidRPr="005D24EE" w:rsidRDefault="00E92EC4" w:rsidP="005C6341">
            <w:pPr>
              <w:rPr>
                <w:rFonts w:ascii="Arial" w:hAnsi="Arial" w:cs="Arial"/>
                <w:b/>
                <w:color w:val="000000" w:themeColor="text1"/>
                <w:sz w:val="12"/>
                <w:szCs w:val="12"/>
              </w:rPr>
            </w:pPr>
          </w:p>
        </w:tc>
        <w:tc>
          <w:tcPr>
            <w:tcW w:w="283" w:type="dxa"/>
          </w:tcPr>
          <w:p w14:paraId="33AC391B" w14:textId="77777777" w:rsidR="00E92EC4" w:rsidRPr="00DF0910" w:rsidRDefault="00E92EC4" w:rsidP="005C6341">
            <w:pPr>
              <w:rPr>
                <w:rFonts w:ascii="Arial" w:hAnsi="Arial" w:cs="Arial"/>
                <w:color w:val="000000" w:themeColor="text1"/>
                <w:sz w:val="12"/>
                <w:szCs w:val="12"/>
              </w:rPr>
            </w:pPr>
          </w:p>
        </w:tc>
        <w:tc>
          <w:tcPr>
            <w:tcW w:w="5103" w:type="dxa"/>
            <w:gridSpan w:val="3"/>
            <w:vMerge/>
            <w:shd w:val="clear" w:color="auto" w:fill="auto"/>
          </w:tcPr>
          <w:p w14:paraId="71178A29" w14:textId="77777777" w:rsidR="00E92EC4" w:rsidRPr="00D76AF9" w:rsidRDefault="00E92EC4" w:rsidP="005C6341">
            <w:pPr>
              <w:rPr>
                <w:rFonts w:ascii="Arial" w:hAnsi="Arial" w:cs="Arial"/>
                <w:b/>
                <w:noProof/>
                <w:color w:val="000000"/>
                <w:sz w:val="16"/>
                <w:szCs w:val="16"/>
              </w:rPr>
            </w:pPr>
          </w:p>
        </w:tc>
      </w:tr>
      <w:tr w:rsidR="00800681" w14:paraId="775329AB" w14:textId="77777777" w:rsidTr="00EE0139">
        <w:trPr>
          <w:gridAfter w:val="1"/>
          <w:wAfter w:w="285" w:type="dxa"/>
          <w:trHeight w:val="168"/>
        </w:trPr>
        <w:tc>
          <w:tcPr>
            <w:tcW w:w="4253" w:type="dxa"/>
            <w:shd w:val="clear" w:color="auto" w:fill="auto"/>
            <w:vAlign w:val="bottom"/>
          </w:tcPr>
          <w:p w14:paraId="69E08769" w14:textId="77777777" w:rsidR="00E92EC4" w:rsidRPr="005D24EE" w:rsidRDefault="00E92EC4" w:rsidP="005C6341">
            <w:pPr>
              <w:rPr>
                <w:rFonts w:ascii="Arial" w:hAnsi="Arial" w:cs="Arial"/>
                <w:b/>
                <w:color w:val="000000" w:themeColor="text1"/>
                <w:sz w:val="12"/>
                <w:szCs w:val="12"/>
              </w:rPr>
            </w:pPr>
          </w:p>
        </w:tc>
        <w:tc>
          <w:tcPr>
            <w:tcW w:w="283" w:type="dxa"/>
          </w:tcPr>
          <w:p w14:paraId="65B7C3F9" w14:textId="77777777" w:rsidR="00E92EC4" w:rsidRPr="00DF0910" w:rsidRDefault="00E92EC4" w:rsidP="005C6341">
            <w:pPr>
              <w:rPr>
                <w:rFonts w:ascii="Arial" w:hAnsi="Arial" w:cs="Arial"/>
                <w:color w:val="000000" w:themeColor="text1"/>
                <w:sz w:val="12"/>
                <w:szCs w:val="12"/>
              </w:rPr>
            </w:pPr>
          </w:p>
        </w:tc>
        <w:tc>
          <w:tcPr>
            <w:tcW w:w="5103" w:type="dxa"/>
            <w:gridSpan w:val="3"/>
            <w:vMerge/>
            <w:shd w:val="clear" w:color="auto" w:fill="auto"/>
          </w:tcPr>
          <w:p w14:paraId="55E618D3" w14:textId="77777777" w:rsidR="00E92EC4" w:rsidRPr="00D76AF9" w:rsidRDefault="00E92EC4" w:rsidP="005C6341">
            <w:pPr>
              <w:rPr>
                <w:rFonts w:ascii="Arial" w:hAnsi="Arial" w:cs="Arial"/>
                <w:b/>
                <w:noProof/>
                <w:color w:val="000000"/>
                <w:sz w:val="16"/>
                <w:szCs w:val="16"/>
              </w:rPr>
            </w:pPr>
          </w:p>
        </w:tc>
      </w:tr>
      <w:tr w:rsidR="00800681" w14:paraId="359B72E1" w14:textId="77777777" w:rsidTr="00EE0139">
        <w:trPr>
          <w:gridAfter w:val="1"/>
          <w:wAfter w:w="285" w:type="dxa"/>
          <w:trHeight w:val="168"/>
        </w:trPr>
        <w:tc>
          <w:tcPr>
            <w:tcW w:w="4253" w:type="dxa"/>
            <w:shd w:val="clear" w:color="auto" w:fill="auto"/>
            <w:vAlign w:val="bottom"/>
          </w:tcPr>
          <w:p w14:paraId="4C728F37" w14:textId="77777777" w:rsidR="00E92EC4" w:rsidRPr="005D24EE" w:rsidRDefault="00E92EC4" w:rsidP="005C6341">
            <w:pPr>
              <w:rPr>
                <w:rFonts w:ascii="Arial" w:hAnsi="Arial" w:cs="Arial"/>
                <w:b/>
                <w:color w:val="000000" w:themeColor="text1"/>
                <w:sz w:val="12"/>
                <w:szCs w:val="12"/>
              </w:rPr>
            </w:pPr>
          </w:p>
        </w:tc>
        <w:tc>
          <w:tcPr>
            <w:tcW w:w="283" w:type="dxa"/>
          </w:tcPr>
          <w:p w14:paraId="61ED01D4" w14:textId="77777777" w:rsidR="00E92EC4" w:rsidRPr="00DF0910" w:rsidRDefault="00E92EC4" w:rsidP="005C6341">
            <w:pPr>
              <w:rPr>
                <w:rFonts w:ascii="Arial" w:hAnsi="Arial" w:cs="Arial"/>
                <w:color w:val="000000" w:themeColor="text1"/>
                <w:sz w:val="12"/>
                <w:szCs w:val="12"/>
              </w:rPr>
            </w:pPr>
          </w:p>
        </w:tc>
        <w:tc>
          <w:tcPr>
            <w:tcW w:w="5103" w:type="dxa"/>
            <w:gridSpan w:val="3"/>
            <w:vMerge/>
            <w:shd w:val="clear" w:color="auto" w:fill="auto"/>
          </w:tcPr>
          <w:p w14:paraId="5C6BFB7B" w14:textId="77777777" w:rsidR="00E92EC4" w:rsidRPr="00D76AF9" w:rsidRDefault="00E92EC4" w:rsidP="005C6341">
            <w:pPr>
              <w:rPr>
                <w:rFonts w:ascii="Arial" w:hAnsi="Arial" w:cs="Arial"/>
                <w:b/>
                <w:noProof/>
                <w:color w:val="000000"/>
                <w:sz w:val="16"/>
                <w:szCs w:val="16"/>
              </w:rPr>
            </w:pPr>
          </w:p>
        </w:tc>
      </w:tr>
      <w:tr w:rsidR="00800681" w14:paraId="1A23A439" w14:textId="77777777" w:rsidTr="00EE0139">
        <w:trPr>
          <w:gridAfter w:val="1"/>
          <w:wAfter w:w="285" w:type="dxa"/>
          <w:trHeight w:val="168"/>
        </w:trPr>
        <w:tc>
          <w:tcPr>
            <w:tcW w:w="4253" w:type="dxa"/>
            <w:tcBorders>
              <w:bottom w:val="single" w:sz="4" w:space="0" w:color="auto"/>
            </w:tcBorders>
            <w:shd w:val="clear" w:color="auto" w:fill="auto"/>
            <w:vAlign w:val="bottom"/>
          </w:tcPr>
          <w:p w14:paraId="2792E95F" w14:textId="77777777" w:rsidR="00E92EC4" w:rsidRPr="00DF0910" w:rsidRDefault="00061A8D"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4A0FADDD" w14:textId="77777777" w:rsidR="00E92EC4" w:rsidRPr="00DF0910" w:rsidRDefault="00E92EC4" w:rsidP="005C6341">
            <w:pPr>
              <w:rPr>
                <w:rFonts w:ascii="Arial" w:hAnsi="Arial" w:cs="Arial"/>
                <w:color w:val="000000" w:themeColor="text1"/>
                <w:sz w:val="12"/>
                <w:szCs w:val="12"/>
              </w:rPr>
            </w:pPr>
          </w:p>
        </w:tc>
        <w:tc>
          <w:tcPr>
            <w:tcW w:w="5103" w:type="dxa"/>
            <w:gridSpan w:val="3"/>
            <w:vMerge/>
            <w:shd w:val="clear" w:color="auto" w:fill="auto"/>
          </w:tcPr>
          <w:p w14:paraId="568DD4A5" w14:textId="77777777" w:rsidR="00E92EC4" w:rsidRPr="00DF0910" w:rsidRDefault="00E92EC4" w:rsidP="005C6341">
            <w:pPr>
              <w:rPr>
                <w:rFonts w:ascii="Arial" w:hAnsi="Arial" w:cs="Arial"/>
                <w:color w:val="000000" w:themeColor="text1"/>
                <w:sz w:val="12"/>
                <w:szCs w:val="12"/>
              </w:rPr>
            </w:pPr>
          </w:p>
        </w:tc>
      </w:tr>
      <w:tr w:rsidR="00800681" w14:paraId="32C0583C" w14:textId="77777777" w:rsidTr="00EE0139">
        <w:trPr>
          <w:gridAfter w:val="1"/>
          <w:wAfter w:w="285" w:type="dxa"/>
          <w:trHeight w:hRule="exact" w:val="340"/>
        </w:trPr>
        <w:tc>
          <w:tcPr>
            <w:tcW w:w="4253" w:type="dxa"/>
            <w:tcBorders>
              <w:top w:val="single" w:sz="4" w:space="0" w:color="auto"/>
            </w:tcBorders>
            <w:shd w:val="clear" w:color="auto" w:fill="auto"/>
          </w:tcPr>
          <w:p w14:paraId="645FCFDC" w14:textId="77777777" w:rsidR="00E92EC4" w:rsidRPr="00D812A9" w:rsidRDefault="00061A8D" w:rsidP="005C6341">
            <w:pPr>
              <w:rPr>
                <w:rFonts w:ascii="Arial" w:hAnsi="Arial" w:cs="Arial"/>
                <w:color w:val="4F81BD" w:themeColor="accent1"/>
                <w:sz w:val="16"/>
                <w:szCs w:val="16"/>
              </w:rPr>
            </w:pPr>
            <w:r>
              <w:rPr>
                <w:rFonts w:ascii="Arial" w:hAnsi="Arial" w:cs="Arial"/>
                <w:noProof/>
                <w:sz w:val="16"/>
                <w:szCs w:val="16"/>
              </w:rPr>
              <w:t>01244-2026/00002</w:t>
            </w:r>
          </w:p>
        </w:tc>
        <w:tc>
          <w:tcPr>
            <w:tcW w:w="283" w:type="dxa"/>
          </w:tcPr>
          <w:p w14:paraId="4AB60AC1" w14:textId="77777777" w:rsidR="00E92EC4" w:rsidRPr="00DF0910" w:rsidRDefault="00E92EC4" w:rsidP="005C6341">
            <w:pPr>
              <w:rPr>
                <w:rFonts w:ascii="Arial" w:hAnsi="Arial" w:cs="Arial"/>
                <w:color w:val="000000" w:themeColor="text1"/>
                <w:sz w:val="16"/>
                <w:szCs w:val="16"/>
              </w:rPr>
            </w:pPr>
          </w:p>
        </w:tc>
        <w:tc>
          <w:tcPr>
            <w:tcW w:w="5103" w:type="dxa"/>
            <w:gridSpan w:val="3"/>
            <w:vMerge/>
            <w:shd w:val="clear" w:color="auto" w:fill="auto"/>
            <w:vAlign w:val="center"/>
          </w:tcPr>
          <w:p w14:paraId="44C7742A" w14:textId="77777777" w:rsidR="00E92EC4" w:rsidRPr="00DF0910" w:rsidRDefault="00E92EC4" w:rsidP="005C6341">
            <w:pPr>
              <w:rPr>
                <w:rFonts w:ascii="Arial" w:hAnsi="Arial" w:cs="Arial"/>
                <w:color w:val="000000" w:themeColor="text1"/>
                <w:sz w:val="16"/>
                <w:szCs w:val="16"/>
              </w:rPr>
            </w:pPr>
          </w:p>
        </w:tc>
      </w:tr>
      <w:tr w:rsidR="00800681" w14:paraId="2F42FBA5"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1805BBA2" w14:textId="77777777" w:rsidR="00E92EC4" w:rsidRPr="00DF0910" w:rsidRDefault="00061A8D"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2EFBF46B" w14:textId="77777777" w:rsidR="00E92EC4" w:rsidRPr="00DF0910" w:rsidRDefault="00E92EC4" w:rsidP="005C6341">
            <w:pPr>
              <w:jc w:val="center"/>
              <w:rPr>
                <w:rFonts w:ascii="Arial" w:hAnsi="Arial" w:cs="Arial"/>
                <w:color w:val="000000" w:themeColor="text1"/>
                <w:sz w:val="20"/>
              </w:rPr>
            </w:pPr>
          </w:p>
        </w:tc>
        <w:tc>
          <w:tcPr>
            <w:tcW w:w="5103" w:type="dxa"/>
            <w:gridSpan w:val="3"/>
            <w:vMerge/>
            <w:shd w:val="clear" w:color="auto" w:fill="auto"/>
            <w:vAlign w:val="center"/>
          </w:tcPr>
          <w:p w14:paraId="12DC7A0D" w14:textId="77777777" w:rsidR="00E92EC4" w:rsidRPr="00DF0910" w:rsidRDefault="00E92EC4" w:rsidP="005C6341">
            <w:pPr>
              <w:rPr>
                <w:rFonts w:ascii="Arial" w:hAnsi="Arial" w:cs="Arial"/>
                <w:color w:val="000000" w:themeColor="text1"/>
                <w:sz w:val="20"/>
              </w:rPr>
            </w:pPr>
          </w:p>
        </w:tc>
      </w:tr>
      <w:tr w:rsidR="00800681" w14:paraId="74AB35EA" w14:textId="77777777" w:rsidTr="00EE0139">
        <w:trPr>
          <w:gridAfter w:val="1"/>
          <w:wAfter w:w="285" w:type="dxa"/>
          <w:trHeight w:hRule="exact" w:val="663"/>
        </w:trPr>
        <w:tc>
          <w:tcPr>
            <w:tcW w:w="4253" w:type="dxa"/>
            <w:tcBorders>
              <w:top w:val="single" w:sz="4" w:space="0" w:color="auto"/>
            </w:tcBorders>
            <w:shd w:val="clear" w:color="auto" w:fill="auto"/>
          </w:tcPr>
          <w:p w14:paraId="4DF1BCF9" w14:textId="77777777" w:rsidR="00E06F7B" w:rsidRDefault="00E06F7B" w:rsidP="00E06F7B">
            <w:pPr>
              <w:pStyle w:val="Textoindependiente"/>
              <w:spacing w:before="20" w:after="70" w:line="200" w:lineRule="exact"/>
              <w:jc w:val="left"/>
              <w:rPr>
                <w:sz w:val="16"/>
              </w:rPr>
            </w:pPr>
            <w:r>
              <w:rPr>
                <w:sz w:val="16"/>
              </w:rPr>
              <w:t>Nekazaritza Saila / Departamento de Agricultura</w:t>
            </w:r>
          </w:p>
          <w:p w14:paraId="605B1AE3" w14:textId="77777777" w:rsidR="00E92EC4" w:rsidRPr="00D812A9" w:rsidRDefault="00E92EC4" w:rsidP="005C6341">
            <w:pPr>
              <w:rPr>
                <w:rFonts w:ascii="Arial" w:hAnsi="Arial" w:cs="Arial"/>
                <w:color w:val="4F81BD" w:themeColor="accent1"/>
                <w:sz w:val="16"/>
                <w:szCs w:val="16"/>
              </w:rPr>
            </w:pPr>
          </w:p>
        </w:tc>
        <w:tc>
          <w:tcPr>
            <w:tcW w:w="283" w:type="dxa"/>
          </w:tcPr>
          <w:p w14:paraId="222355ED" w14:textId="77777777" w:rsidR="00E92EC4" w:rsidRPr="00DF0910" w:rsidRDefault="00E92EC4"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40A4284F" w14:textId="77777777" w:rsidR="00E92EC4" w:rsidRPr="00DF0910" w:rsidRDefault="00E92EC4" w:rsidP="005C6341">
            <w:pPr>
              <w:rPr>
                <w:rFonts w:ascii="Arial" w:hAnsi="Arial" w:cs="Arial"/>
                <w:color w:val="000000" w:themeColor="text1"/>
                <w:sz w:val="16"/>
                <w:szCs w:val="16"/>
              </w:rPr>
            </w:pPr>
          </w:p>
        </w:tc>
      </w:tr>
      <w:tr w:rsidR="00800681" w14:paraId="28C25D77" w14:textId="77777777" w:rsidTr="00EE0139">
        <w:tc>
          <w:tcPr>
            <w:tcW w:w="4820" w:type="dxa"/>
            <w:gridSpan w:val="3"/>
          </w:tcPr>
          <w:p w14:paraId="67403C54" w14:textId="77777777" w:rsidR="00E92EC4" w:rsidRDefault="00E92EC4"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6575921" w14:textId="77777777" w:rsidR="00E92EC4" w:rsidRDefault="00E92EC4"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0030F13" w14:textId="77777777" w:rsidR="00E92EC4" w:rsidRDefault="00E92EC4"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1065F557" w14:textId="77777777" w:rsidR="00E92EC4" w:rsidRPr="00663BA9" w:rsidRDefault="00E92EC4"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3281CF3E" w14:textId="77777777" w:rsidR="00E92EC4" w:rsidRPr="00426B3C" w:rsidRDefault="00E92EC4"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38F84D83" w14:textId="77777777" w:rsidR="00E92EC4" w:rsidRPr="00663BA9" w:rsidRDefault="00E92EC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800681" w14:paraId="38F2A193" w14:textId="77777777" w:rsidTr="00EE0139">
        <w:tc>
          <w:tcPr>
            <w:tcW w:w="4820" w:type="dxa"/>
            <w:gridSpan w:val="3"/>
          </w:tcPr>
          <w:p w14:paraId="4388694F" w14:textId="77777777" w:rsidR="00E92EC4" w:rsidRPr="00663BA9" w:rsidRDefault="00061A8D"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sidRPr="00E06F7B">
              <w:rPr>
                <w:rFonts w:ascii="Arial" w:hAnsi="Arial" w:cs="Arial"/>
                <w:b/>
                <w:sz w:val="16"/>
                <w:szCs w:val="16"/>
              </w:rPr>
              <w:t xml:space="preserve">EBAZPENA </w:t>
            </w:r>
            <w:r w:rsidRPr="00663BA9">
              <w:rPr>
                <w:rFonts w:ascii="Arial" w:hAnsi="Arial" w:cs="Arial"/>
                <w:b/>
                <w:sz w:val="16"/>
                <w:szCs w:val="16"/>
              </w:rPr>
              <w:t>jakinaraztea.</w:t>
            </w:r>
          </w:p>
          <w:p w14:paraId="633CD5B0" w14:textId="77777777" w:rsidR="00E92EC4" w:rsidRDefault="00E92EC4" w:rsidP="00E72518">
            <w:pPr>
              <w:pStyle w:val="Sangradetextonormal"/>
              <w:tabs>
                <w:tab w:val="clear" w:pos="1702"/>
                <w:tab w:val="clear" w:pos="4253"/>
                <w:tab w:val="clear" w:pos="5104"/>
                <w:tab w:val="clear" w:pos="5812"/>
              </w:tabs>
              <w:spacing w:before="0" w:after="0"/>
              <w:ind w:firstLine="0"/>
              <w:jc w:val="both"/>
              <w:rPr>
                <w:sz w:val="16"/>
              </w:rPr>
            </w:pPr>
          </w:p>
          <w:p w14:paraId="2FDEA08C" w14:textId="755DB5C1" w:rsidR="00E92EC4" w:rsidRPr="00E72518" w:rsidRDefault="00E06F7B"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Nekazaritza zuzendariak</w:t>
            </w:r>
            <w:r w:rsidRPr="00007960">
              <w:rPr>
                <w:rFonts w:ascii="Arial" w:hAnsi="Arial" w:cs="Arial"/>
                <w:sz w:val="16"/>
                <w:szCs w:val="16"/>
              </w:rPr>
              <w:t xml:space="preserve"> ebazpen</w:t>
            </w:r>
            <w:r>
              <w:rPr>
                <w:rFonts w:ascii="Arial" w:hAnsi="Arial" w:cs="Arial"/>
                <w:sz w:val="16"/>
                <w:szCs w:val="16"/>
              </w:rPr>
              <w:t xml:space="preserve"> h</w:t>
            </w:r>
            <w:r w:rsidRPr="00007960">
              <w:rPr>
                <w:rFonts w:ascii="Arial" w:hAnsi="Arial" w:cs="Arial"/>
                <w:sz w:val="16"/>
                <w:szCs w:val="16"/>
              </w:rPr>
              <w:t>a</w:t>
            </w:r>
            <w:r>
              <w:rPr>
                <w:rFonts w:ascii="Arial" w:hAnsi="Arial" w:cs="Arial"/>
                <w:sz w:val="16"/>
                <w:szCs w:val="16"/>
              </w:rPr>
              <w:t xml:space="preserve">u </w:t>
            </w:r>
            <w:r w:rsidRPr="00007960">
              <w:rPr>
                <w:rFonts w:ascii="Arial" w:hAnsi="Arial" w:cs="Arial"/>
                <w:sz w:val="16"/>
                <w:szCs w:val="16"/>
              </w:rPr>
              <w:t xml:space="preserve">eman du </w:t>
            </w:r>
            <w:r>
              <w:rPr>
                <w:rFonts w:ascii="Arial" w:hAnsi="Arial" w:cs="Arial"/>
                <w:sz w:val="16"/>
                <w:szCs w:val="16"/>
              </w:rPr>
              <w:t>data honetan</w:t>
            </w:r>
            <w:r w:rsidRPr="00E72518">
              <w:rPr>
                <w:rFonts w:ascii="Arial" w:hAnsi="Arial" w:cs="Arial"/>
                <w:sz w:val="16"/>
                <w:szCs w:val="16"/>
              </w:rPr>
              <w:t>.</w:t>
            </w:r>
          </w:p>
        </w:tc>
        <w:tc>
          <w:tcPr>
            <w:tcW w:w="284" w:type="dxa"/>
          </w:tcPr>
          <w:p w14:paraId="0AC1EC03" w14:textId="77777777" w:rsidR="00E92EC4" w:rsidRPr="00426B3C" w:rsidRDefault="00E92EC4"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4C87D7B3" w14:textId="77777777" w:rsidR="00E92EC4" w:rsidRPr="00663BA9" w:rsidRDefault="00061A8D"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E06F7B">
              <w:rPr>
                <w:rFonts w:ascii="Arial" w:hAnsi="Arial" w:cs="Arial"/>
                <w:b/>
                <w:sz w:val="16"/>
                <w:szCs w:val="16"/>
              </w:rPr>
              <w:t>RESOLUCIÓN</w:t>
            </w:r>
          </w:p>
          <w:p w14:paraId="126AD91A" w14:textId="77777777" w:rsidR="00E92EC4" w:rsidRDefault="00E92EC4"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2992FBBA" w14:textId="77777777" w:rsidR="00E06F7B" w:rsidRPr="00E72518" w:rsidRDefault="00E06F7B" w:rsidP="00E06F7B">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Pr>
                <w:rFonts w:ascii="Arial" w:hAnsi="Arial" w:cs="Arial"/>
                <w:sz w:val="16"/>
                <w:szCs w:val="16"/>
              </w:rPr>
              <w:t>El director de Agricultura</w:t>
            </w:r>
            <w:r w:rsidRPr="00E72518">
              <w:rPr>
                <w:rFonts w:ascii="Arial" w:hAnsi="Arial" w:cs="Arial"/>
                <w:sz w:val="16"/>
                <w:szCs w:val="16"/>
              </w:rPr>
              <w:t xml:space="preserve"> se ha servido dictar la siguiente Resolución, en la fecha que se señala.</w:t>
            </w:r>
          </w:p>
          <w:p w14:paraId="291F8308" w14:textId="77777777" w:rsidR="00E92EC4" w:rsidRPr="00E72518" w:rsidRDefault="00E92EC4"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4F2D4BCF" w14:textId="77777777" w:rsidR="00E92EC4" w:rsidRPr="00426B3C" w:rsidRDefault="00E92EC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800681" w14:paraId="5D608726" w14:textId="77777777" w:rsidTr="00EE0139">
        <w:tc>
          <w:tcPr>
            <w:tcW w:w="160" w:type="dxa"/>
          </w:tcPr>
          <w:p w14:paraId="17C22203" w14:textId="77777777" w:rsidR="00E92EC4" w:rsidRPr="00426B3C" w:rsidRDefault="00E92EC4"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0D9F9074" w14:textId="77777777" w:rsidR="00E92EC4" w:rsidRPr="00426B3C" w:rsidRDefault="00061A8D"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3D7570EE" w14:textId="77777777" w:rsidR="00E92EC4" w:rsidRPr="00426B3C" w:rsidRDefault="00061A8D"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5D7A3C8A" w14:textId="77777777" w:rsidR="00E92EC4" w:rsidRPr="00426B3C" w:rsidRDefault="00E92EC4"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3571716B" w14:textId="77777777" w:rsidR="00E92EC4" w:rsidRPr="00426B3C" w:rsidRDefault="00061A8D"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5C18F64D" w14:textId="77777777" w:rsidR="00E92EC4" w:rsidRPr="00426B3C" w:rsidRDefault="00061A8D"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44ADDF69" w14:textId="77777777" w:rsidR="00E92EC4" w:rsidRPr="00426B3C" w:rsidRDefault="00E92EC4" w:rsidP="00426B3C">
            <w:pPr>
              <w:jc w:val="center"/>
              <w:rPr>
                <w:rFonts w:ascii="Arial" w:hAnsi="Arial" w:cs="Arial"/>
                <w:b/>
                <w:color w:val="000000" w:themeColor="text1"/>
                <w:sz w:val="16"/>
                <w:szCs w:val="16"/>
              </w:rPr>
            </w:pPr>
          </w:p>
        </w:tc>
      </w:tr>
      <w:tr w:rsidR="00800681" w14:paraId="2AA22547" w14:textId="77777777" w:rsidTr="00EE0139">
        <w:trPr>
          <w:trHeight w:hRule="exact" w:val="227"/>
        </w:trPr>
        <w:tc>
          <w:tcPr>
            <w:tcW w:w="160" w:type="dxa"/>
            <w:vAlign w:val="center"/>
          </w:tcPr>
          <w:p w14:paraId="5B2DABFF" w14:textId="77777777" w:rsidR="00E92EC4" w:rsidRPr="00426B3C" w:rsidRDefault="00E92EC4"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022C44C2" w14:textId="77777777" w:rsidR="00E92EC4" w:rsidRPr="00FE3E62" w:rsidRDefault="00061A8D" w:rsidP="00426B3C">
            <w:pPr>
              <w:jc w:val="center"/>
              <w:rPr>
                <w:rFonts w:ascii="Arial" w:hAnsi="Arial" w:cs="Arial"/>
                <w:sz w:val="16"/>
                <w:szCs w:val="16"/>
              </w:rPr>
            </w:pPr>
            <w:r w:rsidRPr="00FE3E62">
              <w:rPr>
                <w:rFonts w:ascii="Arial" w:hAnsi="Arial" w:cs="Arial"/>
                <w:noProof/>
                <w:sz w:val="16"/>
                <w:szCs w:val="16"/>
              </w:rPr>
              <w:t>26/01</w:t>
            </w:r>
            <w:r w:rsidRPr="00FE3E62">
              <w:rPr>
                <w:rFonts w:ascii="Arial" w:hAnsi="Arial" w:cs="Arial"/>
                <w:sz w:val="16"/>
                <w:szCs w:val="16"/>
              </w:rPr>
              <w:t>/21</w:t>
            </w:r>
          </w:p>
        </w:tc>
        <w:tc>
          <w:tcPr>
            <w:tcW w:w="1985" w:type="dxa"/>
            <w:tcBorders>
              <w:top w:val="single" w:sz="4" w:space="0" w:color="auto"/>
            </w:tcBorders>
            <w:vAlign w:val="center"/>
          </w:tcPr>
          <w:p w14:paraId="77568843" w14:textId="77777777" w:rsidR="00E92EC4" w:rsidRPr="00FE3E62" w:rsidRDefault="00061A8D" w:rsidP="00426B3C">
            <w:pPr>
              <w:jc w:val="center"/>
              <w:rPr>
                <w:rFonts w:ascii="Arial" w:hAnsi="Arial" w:cs="Arial"/>
                <w:sz w:val="16"/>
                <w:szCs w:val="16"/>
              </w:rPr>
            </w:pPr>
            <w:r w:rsidRPr="00FE3E62">
              <w:rPr>
                <w:rFonts w:ascii="Arial" w:hAnsi="Arial" w:cs="Arial"/>
                <w:noProof/>
                <w:sz w:val="16"/>
                <w:szCs w:val="16"/>
              </w:rPr>
              <w:t>329</w:t>
            </w:r>
          </w:p>
        </w:tc>
        <w:tc>
          <w:tcPr>
            <w:tcW w:w="851" w:type="dxa"/>
            <w:vAlign w:val="center"/>
          </w:tcPr>
          <w:p w14:paraId="4DB65E9D" w14:textId="77777777" w:rsidR="00E92EC4" w:rsidRPr="00FE3E62" w:rsidRDefault="00E92EC4" w:rsidP="00426B3C">
            <w:pPr>
              <w:jc w:val="center"/>
              <w:rPr>
                <w:rFonts w:ascii="Arial" w:hAnsi="Arial" w:cs="Arial"/>
                <w:sz w:val="16"/>
                <w:szCs w:val="16"/>
              </w:rPr>
            </w:pPr>
          </w:p>
        </w:tc>
        <w:tc>
          <w:tcPr>
            <w:tcW w:w="1985" w:type="dxa"/>
            <w:tcBorders>
              <w:top w:val="single" w:sz="4" w:space="0" w:color="auto"/>
            </w:tcBorders>
            <w:vAlign w:val="center"/>
          </w:tcPr>
          <w:p w14:paraId="68588992" w14:textId="77777777" w:rsidR="00E92EC4" w:rsidRPr="00FE3E62" w:rsidRDefault="00061A8D" w:rsidP="00426B3C">
            <w:pPr>
              <w:jc w:val="center"/>
              <w:rPr>
                <w:rFonts w:ascii="Arial" w:hAnsi="Arial" w:cs="Arial"/>
                <w:sz w:val="16"/>
                <w:szCs w:val="16"/>
              </w:rPr>
            </w:pPr>
            <w:r w:rsidRPr="00FE3E62">
              <w:rPr>
                <w:rFonts w:ascii="Arial" w:hAnsi="Arial" w:cs="Arial"/>
                <w:noProof/>
                <w:sz w:val="16"/>
                <w:szCs w:val="16"/>
              </w:rPr>
              <w:t>21/01</w:t>
            </w:r>
            <w:r w:rsidRPr="00FE3E62">
              <w:rPr>
                <w:rFonts w:ascii="Arial" w:hAnsi="Arial" w:cs="Arial"/>
                <w:sz w:val="16"/>
                <w:szCs w:val="16"/>
              </w:rPr>
              <w:t>/2026</w:t>
            </w:r>
          </w:p>
        </w:tc>
        <w:tc>
          <w:tcPr>
            <w:tcW w:w="1985" w:type="dxa"/>
            <w:tcBorders>
              <w:top w:val="single" w:sz="4" w:space="0" w:color="auto"/>
            </w:tcBorders>
            <w:vAlign w:val="center"/>
          </w:tcPr>
          <w:p w14:paraId="27A28C65" w14:textId="77777777" w:rsidR="00E92EC4" w:rsidRPr="00FE3E62" w:rsidRDefault="00061A8D" w:rsidP="00426B3C">
            <w:pPr>
              <w:jc w:val="center"/>
              <w:rPr>
                <w:rFonts w:ascii="Arial" w:hAnsi="Arial" w:cs="Arial"/>
                <w:sz w:val="16"/>
                <w:szCs w:val="16"/>
              </w:rPr>
            </w:pPr>
            <w:r w:rsidRPr="00FE3E62">
              <w:rPr>
                <w:rFonts w:ascii="Arial" w:hAnsi="Arial" w:cs="Arial"/>
                <w:noProof/>
                <w:sz w:val="16"/>
                <w:szCs w:val="16"/>
              </w:rPr>
              <w:t>329</w:t>
            </w:r>
          </w:p>
        </w:tc>
        <w:tc>
          <w:tcPr>
            <w:tcW w:w="567" w:type="dxa"/>
            <w:vAlign w:val="center"/>
          </w:tcPr>
          <w:p w14:paraId="21F0B6D1" w14:textId="77777777" w:rsidR="00E92EC4" w:rsidRPr="00FE3E62" w:rsidRDefault="00E92EC4" w:rsidP="00426B3C">
            <w:pPr>
              <w:jc w:val="center"/>
              <w:rPr>
                <w:rFonts w:ascii="Arial" w:hAnsi="Arial" w:cs="Arial"/>
                <w:sz w:val="16"/>
                <w:szCs w:val="16"/>
              </w:rPr>
            </w:pPr>
          </w:p>
        </w:tc>
      </w:tr>
    </w:tbl>
    <w:p w14:paraId="297CD4DC" w14:textId="77777777" w:rsidR="00E92EC4" w:rsidRPr="00426B3C" w:rsidRDefault="00E92EC4"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34FEBB03" w14:textId="77777777" w:rsidR="00E92EC4" w:rsidRDefault="00E92EC4">
      <w:pPr>
        <w:rPr>
          <w:u w:val="single"/>
        </w:rPr>
      </w:pPr>
    </w:p>
    <w:p w14:paraId="2B5939AF" w14:textId="77777777" w:rsidR="00E92EC4" w:rsidRPr="00D221EB"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1906AF04" w14:textId="77777777" w:rsidR="00E92EC4" w:rsidRDefault="00061A8D">
      <w:pPr>
        <w:pStyle w:val="Normal0"/>
        <w:spacing w:before="240" w:after="480"/>
        <w:rPr>
          <w:b/>
          <w:sz w:val="24"/>
        </w:rPr>
      </w:pPr>
      <w:r>
        <w:rPr>
          <w:b/>
          <w:sz w:val="24"/>
        </w:rPr>
        <w:t>RESOLUCIÓN</w:t>
      </w:r>
    </w:p>
    <w:p w14:paraId="3074E806" w14:textId="77777777" w:rsidR="00E92EC4" w:rsidRDefault="00061A8D" w:rsidP="004F7210">
      <w:pPr>
        <w:pStyle w:val="Normal0"/>
        <w:rPr>
          <w:sz w:val="22"/>
        </w:rPr>
      </w:pPr>
      <w:r w:rsidRPr="00CA1C68">
        <w:rPr>
          <w:sz w:val="22"/>
        </w:rPr>
        <w:t xml:space="preserve">Servicio de </w:t>
      </w:r>
      <w:r>
        <w:rPr>
          <w:sz w:val="22"/>
        </w:rPr>
        <w:t>Secretaría Técnica de Agricultura</w:t>
      </w:r>
    </w:p>
    <w:p w14:paraId="0FF5F12B" w14:textId="77777777" w:rsidR="00E92EC4" w:rsidRDefault="00061A8D">
      <w:pPr>
        <w:pStyle w:val="Normal0"/>
        <w:tabs>
          <w:tab w:val="right" w:pos="8789"/>
        </w:tabs>
        <w:spacing w:after="480"/>
        <w:rPr>
          <w:sz w:val="22"/>
        </w:rPr>
      </w:pPr>
      <w:r>
        <w:rPr>
          <w:sz w:val="22"/>
        </w:rPr>
        <w:t xml:space="preserve">Nº expte.: </w:t>
      </w:r>
      <w:r w:rsidRPr="007E4696">
        <w:rPr>
          <w:sz w:val="22"/>
        </w:rPr>
        <w:t>01244-202</w:t>
      </w:r>
      <w:r>
        <w:rPr>
          <w:sz w:val="22"/>
        </w:rPr>
        <w:t>6</w:t>
      </w:r>
      <w:r w:rsidRPr="007E4696">
        <w:rPr>
          <w:sz w:val="22"/>
        </w:rPr>
        <w:t>/000</w:t>
      </w:r>
      <w:r>
        <w:rPr>
          <w:sz w:val="22"/>
        </w:rPr>
        <w:t>02</w:t>
      </w:r>
    </w:p>
    <w:p w14:paraId="6931C0EE" w14:textId="58661525" w:rsidR="00E92EC4" w:rsidRPr="00AA32A5" w:rsidRDefault="00061A8D" w:rsidP="00AA32A5">
      <w:pPr>
        <w:pStyle w:val="Normal0"/>
        <w:tabs>
          <w:tab w:val="left" w:pos="1418"/>
        </w:tabs>
        <w:spacing w:after="240"/>
        <w:rPr>
          <w:b/>
          <w:bCs/>
          <w:sz w:val="22"/>
          <w:szCs w:val="22"/>
        </w:rPr>
      </w:pPr>
      <w:r>
        <w:rPr>
          <w:b/>
          <w:bCs/>
          <w:sz w:val="22"/>
          <w:szCs w:val="22"/>
        </w:rPr>
        <w:t xml:space="preserve">Inadmitir la </w:t>
      </w:r>
      <w:r w:rsidRPr="00837BB1">
        <w:rPr>
          <w:b/>
          <w:bCs/>
          <w:sz w:val="22"/>
          <w:szCs w:val="22"/>
        </w:rPr>
        <w:t xml:space="preserve">solicitud de acceso a información pública </w:t>
      </w:r>
      <w:r>
        <w:rPr>
          <w:b/>
          <w:bCs/>
          <w:sz w:val="22"/>
          <w:szCs w:val="22"/>
        </w:rPr>
        <w:t xml:space="preserve">presentada por </w:t>
      </w:r>
      <w:r w:rsidR="00135AA6" w:rsidRPr="00135AA6">
        <w:rPr>
          <w:b/>
          <w:bCs/>
          <w:sz w:val="22"/>
          <w:szCs w:val="22"/>
          <w:highlight w:val="black"/>
        </w:rPr>
        <w:t>XXXXX</w:t>
      </w:r>
    </w:p>
    <w:p w14:paraId="34C36126" w14:textId="3FF65D0F"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Con fecha 9 de enero de 2026 ha tenido entrada en el Registro Electrónico Común de la Diputación Foral </w:t>
      </w:r>
      <w:r>
        <w:rPr>
          <w:sz w:val="22"/>
          <w:szCs w:val="22"/>
          <w:lang w:val="es-ES"/>
        </w:rPr>
        <w:t xml:space="preserve">de Álava, </w:t>
      </w:r>
      <w:r w:rsidRPr="00AA32A5">
        <w:rPr>
          <w:sz w:val="22"/>
          <w:szCs w:val="22"/>
          <w:lang w:val="es-ES"/>
        </w:rPr>
        <w:t xml:space="preserve">solicitud de acceso a información pública, al amparo de la Norma Foral 1/2017, de 8 de febrero, de transparencia, participación ciudadana y buen gobierno del sector público del Territorio Histórico de Álava, deducida por </w:t>
      </w:r>
      <w:r w:rsidR="00135AA6" w:rsidRPr="00135AA6">
        <w:rPr>
          <w:sz w:val="22"/>
          <w:szCs w:val="22"/>
          <w:highlight w:val="black"/>
          <w:lang w:val="es-ES"/>
        </w:rPr>
        <w:t>XXXXX</w:t>
      </w:r>
      <w:r w:rsidRPr="00AA32A5">
        <w:rPr>
          <w:sz w:val="22"/>
          <w:szCs w:val="22"/>
          <w:lang w:val="es-ES"/>
        </w:rPr>
        <w:t xml:space="preserve">. </w:t>
      </w:r>
    </w:p>
    <w:p w14:paraId="4672BDDB"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Solicita información adicional en relación con la información facilitada mediante Resolución 7220/2025 en el expediente de solicitud de información pública número 01244-2025/00087, en el que a su vez solicitaba información adicional respecto a la respuesta recibida en el expediente número 01244-2025/00065 referente a la actividad sancionadora tramitada por la Diputación Foral de Álava en materia de transporte de animales. </w:t>
      </w:r>
    </w:p>
    <w:p w14:paraId="3AEA463D"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Concretamente, en su solicitud interesa que se le facilite, respecto de los expedientes sancionadores tramitados en materia de transporte de animales en los últimos 5 años a los que se refiere el Anexo </w:t>
      </w:r>
      <w:r>
        <w:rPr>
          <w:sz w:val="22"/>
          <w:szCs w:val="22"/>
          <w:lang w:val="es-ES"/>
        </w:rPr>
        <w:t>I</w:t>
      </w:r>
      <w:r w:rsidRPr="00AA32A5">
        <w:rPr>
          <w:sz w:val="22"/>
          <w:szCs w:val="22"/>
          <w:lang w:val="es-ES"/>
        </w:rPr>
        <w:t xml:space="preserve"> de la Resolución 7220/2025, la siguiente información complementaria: </w:t>
      </w:r>
    </w:p>
    <w:p w14:paraId="4895572B" w14:textId="77777777" w:rsidR="00E92EC4" w:rsidRPr="00D05FCD" w:rsidRDefault="00061A8D" w:rsidP="00E921CE">
      <w:pPr>
        <w:pStyle w:val="Prrafodelista"/>
        <w:numPr>
          <w:ilvl w:val="0"/>
          <w:numId w:val="5"/>
        </w:numPr>
        <w:tabs>
          <w:tab w:val="left" w:pos="1418"/>
        </w:tabs>
        <w:spacing w:after="240"/>
        <w:ind w:left="714" w:hanging="357"/>
        <w:contextualSpacing w:val="0"/>
        <w:rPr>
          <w:sz w:val="22"/>
          <w:szCs w:val="22"/>
          <w:lang w:val="es-ES"/>
        </w:rPr>
      </w:pPr>
      <w:r w:rsidRPr="00265DBA">
        <w:rPr>
          <w:sz w:val="22"/>
          <w:szCs w:val="22"/>
          <w:lang w:val="es-ES"/>
        </w:rPr>
        <w:t>Descripción sucinta de los hechos que motivaron la incoación de cada expediente, indicando la conducta apreciada en cada caso y su contexto.</w:t>
      </w:r>
    </w:p>
    <w:p w14:paraId="243DF1A0" w14:textId="77777777" w:rsidR="00E92EC4" w:rsidRPr="00D05FCD" w:rsidRDefault="00061A8D" w:rsidP="00E921CE">
      <w:pPr>
        <w:pStyle w:val="Prrafodelista"/>
        <w:numPr>
          <w:ilvl w:val="0"/>
          <w:numId w:val="5"/>
        </w:numPr>
        <w:tabs>
          <w:tab w:val="left" w:pos="1418"/>
        </w:tabs>
        <w:spacing w:after="240"/>
        <w:ind w:left="714" w:hanging="357"/>
        <w:contextualSpacing w:val="0"/>
        <w:rPr>
          <w:sz w:val="22"/>
          <w:szCs w:val="22"/>
          <w:lang w:val="es-ES"/>
        </w:rPr>
      </w:pPr>
      <w:r w:rsidRPr="00D05FCD">
        <w:rPr>
          <w:sz w:val="22"/>
          <w:szCs w:val="22"/>
          <w:lang w:val="es-ES"/>
        </w:rPr>
        <w:t xml:space="preserve">Normativa concreta aplicada en cada expediente, especificando la disposición legal o reglamentaria utilizada como fundamento de la actuación administrativa. </w:t>
      </w:r>
    </w:p>
    <w:p w14:paraId="776B5B44" w14:textId="77777777" w:rsidR="00E92EC4" w:rsidRPr="00D05FCD" w:rsidRDefault="00061A8D" w:rsidP="00E921CE">
      <w:pPr>
        <w:pStyle w:val="Prrafodelista"/>
        <w:numPr>
          <w:ilvl w:val="0"/>
          <w:numId w:val="5"/>
        </w:numPr>
        <w:tabs>
          <w:tab w:val="left" w:pos="1418"/>
        </w:tabs>
        <w:spacing w:after="240"/>
        <w:ind w:left="714" w:hanging="357"/>
        <w:contextualSpacing w:val="0"/>
        <w:rPr>
          <w:sz w:val="22"/>
          <w:szCs w:val="22"/>
          <w:lang w:val="es-ES"/>
        </w:rPr>
      </w:pPr>
      <w:r w:rsidRPr="00D05FCD">
        <w:rPr>
          <w:sz w:val="22"/>
          <w:szCs w:val="22"/>
          <w:lang w:val="es-ES"/>
        </w:rPr>
        <w:lastRenderedPageBreak/>
        <w:t xml:space="preserve">Artículo o precepto concreto considerado vulnerado en cada supuesto, así como la calificación jurídica de la infracción atribuida (leve, grave o muy grave). </w:t>
      </w:r>
    </w:p>
    <w:p w14:paraId="6C993F3B" w14:textId="77777777" w:rsidR="00E92EC4" w:rsidRPr="00E03CAE" w:rsidRDefault="00061A8D" w:rsidP="00E921CE">
      <w:pPr>
        <w:pStyle w:val="Prrafodelista"/>
        <w:numPr>
          <w:ilvl w:val="0"/>
          <w:numId w:val="5"/>
        </w:numPr>
        <w:tabs>
          <w:tab w:val="left" w:pos="1418"/>
        </w:tabs>
        <w:spacing w:after="240"/>
        <w:ind w:left="714" w:hanging="357"/>
        <w:contextualSpacing w:val="0"/>
        <w:rPr>
          <w:sz w:val="22"/>
          <w:szCs w:val="22"/>
          <w:lang w:val="es-ES"/>
        </w:rPr>
      </w:pPr>
      <w:r w:rsidRPr="00D05FCD">
        <w:rPr>
          <w:sz w:val="22"/>
          <w:szCs w:val="22"/>
          <w:lang w:val="es-ES"/>
        </w:rPr>
        <w:t xml:space="preserve">En los expedientes finalizados por sobreseimiento, explicación sucinta pero concreta de: </w:t>
      </w:r>
    </w:p>
    <w:p w14:paraId="4E1B9A44" w14:textId="77777777" w:rsidR="00E92EC4" w:rsidRPr="00E03CAE" w:rsidRDefault="00061A8D" w:rsidP="00800733">
      <w:pPr>
        <w:pStyle w:val="Prrafodelista"/>
        <w:tabs>
          <w:tab w:val="left" w:pos="1418"/>
        </w:tabs>
        <w:spacing w:after="240"/>
        <w:ind w:left="1417" w:hanging="697"/>
        <w:contextualSpacing w:val="0"/>
        <w:rPr>
          <w:sz w:val="22"/>
          <w:szCs w:val="22"/>
          <w:lang w:val="es-ES"/>
        </w:rPr>
      </w:pPr>
      <w:r>
        <w:rPr>
          <w:sz w:val="22"/>
          <w:szCs w:val="22"/>
          <w:lang w:val="es-ES"/>
        </w:rPr>
        <w:t xml:space="preserve">- </w:t>
      </w:r>
      <w:r>
        <w:rPr>
          <w:sz w:val="22"/>
          <w:szCs w:val="22"/>
          <w:lang w:val="es-ES"/>
        </w:rPr>
        <w:tab/>
      </w:r>
      <w:r w:rsidRPr="00E03CAE">
        <w:rPr>
          <w:sz w:val="22"/>
          <w:szCs w:val="22"/>
          <w:lang w:val="es-ES"/>
        </w:rPr>
        <w:t xml:space="preserve">Los motivos fácticos apreciados, indicando qué hechos o extremos no pudieron ser acreditados o verificados, por ejemplo, por imposibilidad de identificar a la persona presuntamente responsable, de comprobar la realidad del transporte o los animales afectados, de verificar las circunstancias materiales del traslado, de confirmar la existencia del hecho denunciado, u otras circunstancias materiales análogas, que determinaron la imposibilidad de continuar el procedimiento sancionador, …. </w:t>
      </w:r>
    </w:p>
    <w:p w14:paraId="7A319CF5" w14:textId="24055DC8" w:rsidR="00E92EC4" w:rsidRPr="00AA32A5" w:rsidRDefault="00061A8D" w:rsidP="00E06F7B">
      <w:pPr>
        <w:pStyle w:val="Prrafodelista"/>
        <w:tabs>
          <w:tab w:val="left" w:pos="1418"/>
        </w:tabs>
        <w:spacing w:after="240"/>
        <w:ind w:left="1416" w:hanging="696"/>
        <w:rPr>
          <w:sz w:val="22"/>
          <w:szCs w:val="22"/>
          <w:lang w:val="es-ES"/>
        </w:rPr>
      </w:pPr>
      <w:r>
        <w:rPr>
          <w:sz w:val="22"/>
          <w:szCs w:val="22"/>
          <w:lang w:val="es-ES"/>
        </w:rPr>
        <w:t>-</w:t>
      </w:r>
      <w:r>
        <w:rPr>
          <w:sz w:val="22"/>
          <w:szCs w:val="22"/>
          <w:lang w:val="es-ES"/>
        </w:rPr>
        <w:tab/>
      </w:r>
      <w:r w:rsidRPr="00800733">
        <w:rPr>
          <w:sz w:val="22"/>
          <w:szCs w:val="22"/>
          <w:lang w:val="es-ES"/>
        </w:rPr>
        <w:t xml:space="preserve">Los motivos jurídicos aplicados, indicando la causa legal concreta o el precepto normativo específico que impidió la imposición de sanción. </w:t>
      </w:r>
    </w:p>
    <w:p w14:paraId="4ED023A5" w14:textId="4145D787" w:rsidR="00E92EC4" w:rsidRPr="00E06F7B" w:rsidRDefault="00E06F7B" w:rsidP="00E06F7B">
      <w:pPr>
        <w:tabs>
          <w:tab w:val="left" w:pos="1418"/>
        </w:tabs>
        <w:spacing w:after="240"/>
        <w:ind w:left="1416" w:hanging="707"/>
        <w:rPr>
          <w:sz w:val="22"/>
          <w:szCs w:val="22"/>
          <w:lang w:val="es-ES"/>
        </w:rPr>
      </w:pPr>
      <w:r>
        <w:rPr>
          <w:rFonts w:ascii="Times New Roman" w:hAnsi="Times New Roman"/>
          <w:sz w:val="22"/>
          <w:szCs w:val="22"/>
          <w:lang w:val="es-ES"/>
        </w:rPr>
        <w:t>-</w:t>
      </w:r>
      <w:r>
        <w:rPr>
          <w:rFonts w:ascii="Times New Roman" w:hAnsi="Times New Roman"/>
          <w:sz w:val="22"/>
          <w:szCs w:val="22"/>
          <w:lang w:val="es-ES"/>
        </w:rPr>
        <w:tab/>
      </w:r>
      <w:r>
        <w:rPr>
          <w:sz w:val="22"/>
          <w:szCs w:val="22"/>
          <w:lang w:val="es-ES"/>
        </w:rPr>
        <w:t>F</w:t>
      </w:r>
      <w:r w:rsidRPr="00E06F7B">
        <w:rPr>
          <w:sz w:val="22"/>
          <w:szCs w:val="22"/>
          <w:lang w:val="es-ES"/>
        </w:rPr>
        <w:t xml:space="preserve">orma de iniciación de cada expediente, indicando si el mismo se inició: de oficio por la Diputación Foral de Álava, como consecuencia de actuaciones inspectoras o actas de inspección, por denuncia de otras Administraciones o cuerpos oficiales, o por denuncia de particulares, todo ello sin identificación de personas físicas o jurídicas. </w:t>
      </w:r>
    </w:p>
    <w:p w14:paraId="21F44191" w14:textId="5339DEBE"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Manifiesta </w:t>
      </w:r>
      <w:r w:rsidR="00135AA6">
        <w:rPr>
          <w:sz w:val="22"/>
          <w:szCs w:val="22"/>
          <w:lang w:val="es-ES"/>
        </w:rPr>
        <w:t xml:space="preserve">la persona </w:t>
      </w:r>
      <w:r w:rsidRPr="00AA32A5">
        <w:rPr>
          <w:sz w:val="22"/>
          <w:szCs w:val="22"/>
          <w:lang w:val="es-ES"/>
        </w:rPr>
        <w:t xml:space="preserve">solicitante que la solicitud no tiene por objeto el acceso a datos personales ni información especialmente protegida, siendo su finalidad completar la información ya facilitada y permitir el análisis de los criterios fácticos y jurídicos aplicados por la Administración. </w:t>
      </w:r>
    </w:p>
    <w:p w14:paraId="32841C3C" w14:textId="19500E5A"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Deviene necesario realizar una exposición de las diversas solicitudes de acceso a información pública presentadas por </w:t>
      </w:r>
      <w:r w:rsidR="00135AA6" w:rsidRPr="00135AA6">
        <w:rPr>
          <w:sz w:val="22"/>
          <w:szCs w:val="22"/>
          <w:highlight w:val="black"/>
          <w:lang w:val="es-ES"/>
        </w:rPr>
        <w:t>XXXXX</w:t>
      </w:r>
      <w:r w:rsidRPr="00AA32A5">
        <w:rPr>
          <w:sz w:val="22"/>
          <w:szCs w:val="22"/>
          <w:lang w:val="es-ES"/>
        </w:rPr>
        <w:t xml:space="preserve"> en relación con la actividad sancionadora desarrollada por la DFA en materia de transporte de animales. </w:t>
      </w:r>
    </w:p>
    <w:p w14:paraId="113C0B5B"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Con fecha 30-06-2025 presenta solicitud, en la que tras exponer que interpuso denuncia en la comisaría de la Ertzaintza de Llodio por la negativa de la Ertzaintza a denunciar de oficio los hechos presuntamente constitutivos de infracción administrativa en materia de transporte y sanidad animal (expositivo primero), interesa se le remita copia íntegra y completa de todos los documentos que integran el expediente sancionador incoado mediante Resolución 897/2024 así como de los medios, oficios, comunicaciones o registros que permitan comprobar cómo se remitió dicha denuncia por parte de la Ertzaintza, procediéndose, en su caso, a la disociación de los datos de carácter personal que sea necesario proteger, garantizando así el acceso al resto de la información (Expediente 01244-2025/00043). </w:t>
      </w:r>
    </w:p>
    <w:p w14:paraId="478C6891" w14:textId="082EC68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Por Orden Foral 311/2025, de 26 de septiembre, se acuerda denegar el acceso solicitado por </w:t>
      </w:r>
      <w:r w:rsidR="00135AA6" w:rsidRPr="00135AA6">
        <w:rPr>
          <w:sz w:val="22"/>
          <w:szCs w:val="22"/>
          <w:highlight w:val="black"/>
          <w:lang w:val="es-ES"/>
        </w:rPr>
        <w:t>XXXXX</w:t>
      </w:r>
      <w:r w:rsidR="00135AA6">
        <w:rPr>
          <w:sz w:val="22"/>
          <w:szCs w:val="22"/>
          <w:lang w:val="es-ES"/>
        </w:rPr>
        <w:t xml:space="preserve"> </w:t>
      </w:r>
      <w:r w:rsidRPr="00AA32A5">
        <w:rPr>
          <w:sz w:val="22"/>
          <w:szCs w:val="22"/>
          <w:lang w:val="es-ES"/>
        </w:rPr>
        <w:t xml:space="preserve">al expediente sancionador incoado mediante Resolución nº 897/2024, por las razones motivadas en la presente, derivadas de la presencia en el expediente de datos personales cuya disociación resulta insuficiente para impedir la identificación de los titulares de dichos datos, con el consiguiente riesgo cierto de vulneración de sus derechos fundamentales a la protección de datos y a la intimidad personal y familiar. </w:t>
      </w:r>
    </w:p>
    <w:p w14:paraId="70945997"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Con fecha 2-07-2025 presenta solicitud (Expediente 01244-2025/00044) interesando se le facilite información estadística sobre los expedientes sancionadores incoados en el periodo comprendido entre el 1 de enero de 2022 y el 31 de diciembre de 2024 y, en concreto: </w:t>
      </w:r>
    </w:p>
    <w:p w14:paraId="063DEAAC" w14:textId="77777777" w:rsidR="00E92EC4" w:rsidRPr="005F3E2F" w:rsidRDefault="00061A8D" w:rsidP="005F3E2F">
      <w:pPr>
        <w:pStyle w:val="Prrafodelista"/>
        <w:numPr>
          <w:ilvl w:val="0"/>
          <w:numId w:val="6"/>
        </w:numPr>
        <w:tabs>
          <w:tab w:val="left" w:pos="1418"/>
        </w:tabs>
        <w:spacing w:after="240"/>
        <w:ind w:left="714" w:hanging="357"/>
        <w:contextualSpacing w:val="0"/>
        <w:rPr>
          <w:sz w:val="22"/>
          <w:szCs w:val="22"/>
          <w:lang w:val="es-ES"/>
        </w:rPr>
      </w:pPr>
      <w:r w:rsidRPr="005F3E2F">
        <w:rPr>
          <w:sz w:val="22"/>
          <w:szCs w:val="22"/>
          <w:lang w:val="es-ES"/>
        </w:rPr>
        <w:t xml:space="preserve">Número total de expedientes sancionadores incoados por transporte de animales sin guía sanitaria. </w:t>
      </w:r>
    </w:p>
    <w:p w14:paraId="106082DB" w14:textId="77777777" w:rsidR="00E92EC4" w:rsidRPr="005F3E2F" w:rsidRDefault="00061A8D" w:rsidP="005F3E2F">
      <w:pPr>
        <w:pStyle w:val="Prrafodelista"/>
        <w:numPr>
          <w:ilvl w:val="0"/>
          <w:numId w:val="6"/>
        </w:numPr>
        <w:tabs>
          <w:tab w:val="left" w:pos="1418"/>
        </w:tabs>
        <w:spacing w:after="240"/>
        <w:ind w:left="714" w:hanging="357"/>
        <w:contextualSpacing w:val="0"/>
        <w:rPr>
          <w:sz w:val="22"/>
          <w:szCs w:val="22"/>
          <w:lang w:val="es-ES"/>
        </w:rPr>
      </w:pPr>
      <w:r w:rsidRPr="005F3E2F">
        <w:rPr>
          <w:sz w:val="22"/>
          <w:szCs w:val="22"/>
          <w:lang w:val="es-ES"/>
        </w:rPr>
        <w:t xml:space="preserve">Número total de expedientes sancionadores incoados por transporte de animales en vehículos no adaptados o no autorizados para dicho fin. </w:t>
      </w:r>
    </w:p>
    <w:p w14:paraId="6188D224" w14:textId="77777777" w:rsidR="00E92EC4" w:rsidRPr="0087013A" w:rsidRDefault="00061A8D" w:rsidP="00AA32A5">
      <w:pPr>
        <w:pStyle w:val="Prrafodelista"/>
        <w:numPr>
          <w:ilvl w:val="0"/>
          <w:numId w:val="6"/>
        </w:numPr>
        <w:tabs>
          <w:tab w:val="left" w:pos="1418"/>
        </w:tabs>
        <w:spacing w:after="240"/>
        <w:ind w:left="714" w:hanging="357"/>
        <w:contextualSpacing w:val="0"/>
        <w:rPr>
          <w:sz w:val="22"/>
          <w:szCs w:val="22"/>
          <w:lang w:val="es-ES"/>
        </w:rPr>
      </w:pPr>
      <w:r w:rsidRPr="005F3E2F">
        <w:rPr>
          <w:sz w:val="22"/>
          <w:szCs w:val="22"/>
          <w:lang w:val="es-ES"/>
        </w:rPr>
        <w:t xml:space="preserve">Número total de expedientes sancionadores incoados por transporte de animales sin disponer del correspondiente certificado de competencia exigido por el Reglamento (CE) nº 1/2005, de 22 de diciembre. </w:t>
      </w:r>
    </w:p>
    <w:p w14:paraId="58F28CF6"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lastRenderedPageBreak/>
        <w:t xml:space="preserve">Esta solicitud fue estimada mediante Orden Foral 356/2025, de 24 de octubre, informándole del número de expedientes sancionadores incoados conforme a su solicitud. </w:t>
      </w:r>
    </w:p>
    <w:p w14:paraId="6C16AA0F"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Con fecha 17-09-2025 presenta nueva solicitud (Expediente 01244-2025/00065) pidiendo se le facilite información estadística sobre el número de expedientes incoados en los últimos cinco años, estado actual de los mismos y tipo de animales transportados en cada expediente, en relación con las siguientes infracciones: </w:t>
      </w:r>
    </w:p>
    <w:p w14:paraId="3C86E27B" w14:textId="77777777" w:rsidR="00E92EC4" w:rsidRPr="002D1D85" w:rsidRDefault="00061A8D" w:rsidP="002D1D85">
      <w:pPr>
        <w:pStyle w:val="Prrafodelista"/>
        <w:numPr>
          <w:ilvl w:val="0"/>
          <w:numId w:val="7"/>
        </w:numPr>
        <w:tabs>
          <w:tab w:val="left" w:pos="1418"/>
        </w:tabs>
        <w:spacing w:after="240"/>
        <w:ind w:left="714" w:hanging="357"/>
        <w:contextualSpacing w:val="0"/>
        <w:rPr>
          <w:sz w:val="22"/>
          <w:szCs w:val="22"/>
          <w:lang w:val="es-ES"/>
        </w:rPr>
      </w:pPr>
      <w:r w:rsidRPr="002D1D85">
        <w:rPr>
          <w:sz w:val="22"/>
          <w:szCs w:val="22"/>
          <w:lang w:val="es-ES"/>
        </w:rPr>
        <w:t xml:space="preserve">Transporte de animales sin las guías sanitarias correspondientes. </w:t>
      </w:r>
    </w:p>
    <w:p w14:paraId="1DAB6B37" w14:textId="77777777" w:rsidR="00E92EC4" w:rsidRPr="002D1D85" w:rsidRDefault="00061A8D" w:rsidP="002D1D85">
      <w:pPr>
        <w:pStyle w:val="Prrafodelista"/>
        <w:numPr>
          <w:ilvl w:val="0"/>
          <w:numId w:val="7"/>
        </w:numPr>
        <w:tabs>
          <w:tab w:val="left" w:pos="1418"/>
        </w:tabs>
        <w:spacing w:after="240"/>
        <w:ind w:left="714" w:hanging="357"/>
        <w:contextualSpacing w:val="0"/>
        <w:rPr>
          <w:sz w:val="22"/>
          <w:szCs w:val="22"/>
          <w:lang w:val="es-ES"/>
        </w:rPr>
      </w:pPr>
      <w:r w:rsidRPr="002D1D85">
        <w:rPr>
          <w:sz w:val="22"/>
          <w:szCs w:val="22"/>
          <w:lang w:val="es-ES"/>
        </w:rPr>
        <w:t xml:space="preserve">Transporte de animales en vehículos no autorizados o no aptos para dicho fin (sin ATES). </w:t>
      </w:r>
    </w:p>
    <w:p w14:paraId="543CF159" w14:textId="77777777" w:rsidR="00E92EC4" w:rsidRPr="002D1D85" w:rsidRDefault="00061A8D" w:rsidP="002D1D85">
      <w:pPr>
        <w:pStyle w:val="Prrafodelista"/>
        <w:numPr>
          <w:ilvl w:val="0"/>
          <w:numId w:val="7"/>
        </w:numPr>
        <w:tabs>
          <w:tab w:val="left" w:pos="1418"/>
        </w:tabs>
        <w:spacing w:after="240"/>
        <w:ind w:left="714" w:hanging="357"/>
        <w:contextualSpacing w:val="0"/>
        <w:rPr>
          <w:sz w:val="22"/>
          <w:szCs w:val="22"/>
          <w:lang w:val="es-ES"/>
        </w:rPr>
      </w:pPr>
      <w:r w:rsidRPr="002D1D85">
        <w:rPr>
          <w:sz w:val="22"/>
          <w:szCs w:val="22"/>
          <w:lang w:val="es-ES"/>
        </w:rPr>
        <w:t xml:space="preserve">Transporte de animales sin disponer de la autorización o formación exigida para los transportistas. </w:t>
      </w:r>
    </w:p>
    <w:p w14:paraId="4103D167" w14:textId="77777777" w:rsidR="00E92EC4" w:rsidRPr="002D1D85" w:rsidRDefault="00061A8D" w:rsidP="002D1D85">
      <w:pPr>
        <w:pStyle w:val="Prrafodelista"/>
        <w:numPr>
          <w:ilvl w:val="0"/>
          <w:numId w:val="7"/>
        </w:numPr>
        <w:tabs>
          <w:tab w:val="left" w:pos="1418"/>
        </w:tabs>
        <w:spacing w:after="240"/>
        <w:ind w:left="714" w:hanging="357"/>
        <w:contextualSpacing w:val="0"/>
        <w:rPr>
          <w:sz w:val="22"/>
          <w:szCs w:val="22"/>
          <w:lang w:val="es-ES"/>
        </w:rPr>
      </w:pPr>
      <w:r w:rsidRPr="002D1D85">
        <w:rPr>
          <w:sz w:val="22"/>
          <w:szCs w:val="22"/>
          <w:lang w:val="es-ES"/>
        </w:rPr>
        <w:t xml:space="preserve">Infracción del artículo 84.2 de la Ley 8/2003, de 24 de abril, de sanidad animal. </w:t>
      </w:r>
    </w:p>
    <w:p w14:paraId="4A852FBD"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En respuesta a su solicitud se dicta la Orden Foral 420/2025, de 3 de diciembre, estimando su solicitud con Anexo adjunto en el que se le facilita la información solicitada. </w:t>
      </w:r>
    </w:p>
    <w:p w14:paraId="72853EE6"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Con fecha 4-12-2025 presenta solicitud de información adicional con relación a la información anteriormente facilitada (Expediente 01244-2025/00087), pidiendo información concreta sobre las siguientes circunstancias: </w:t>
      </w:r>
    </w:p>
    <w:p w14:paraId="7CCAE434" w14:textId="77777777" w:rsidR="00E92EC4" w:rsidRPr="00CF7FC2" w:rsidRDefault="00061A8D" w:rsidP="00CF7FC2">
      <w:pPr>
        <w:pStyle w:val="Prrafodelista"/>
        <w:numPr>
          <w:ilvl w:val="0"/>
          <w:numId w:val="8"/>
        </w:numPr>
        <w:tabs>
          <w:tab w:val="left" w:pos="1418"/>
        </w:tabs>
        <w:spacing w:after="240"/>
        <w:ind w:left="714" w:hanging="357"/>
        <w:contextualSpacing w:val="0"/>
        <w:rPr>
          <w:sz w:val="22"/>
          <w:szCs w:val="22"/>
          <w:lang w:val="es-ES"/>
        </w:rPr>
      </w:pPr>
      <w:r w:rsidRPr="00CF7FC2">
        <w:rPr>
          <w:sz w:val="22"/>
          <w:szCs w:val="22"/>
          <w:lang w:val="es-ES"/>
        </w:rPr>
        <w:t xml:space="preserve">Motivos del sobreseimiento de cada uno de los expedientes que aparecen como “sobreseído”: Motivo jurídico del archivo / Motivo fáctico. </w:t>
      </w:r>
    </w:p>
    <w:p w14:paraId="0EA19967" w14:textId="77777777" w:rsidR="00E92EC4" w:rsidRPr="00CF7FC2" w:rsidRDefault="00061A8D" w:rsidP="00CF7FC2">
      <w:pPr>
        <w:pStyle w:val="Prrafodelista"/>
        <w:numPr>
          <w:ilvl w:val="0"/>
          <w:numId w:val="8"/>
        </w:numPr>
        <w:tabs>
          <w:tab w:val="left" w:pos="1418"/>
        </w:tabs>
        <w:spacing w:after="240"/>
        <w:ind w:left="714" w:hanging="357"/>
        <w:contextualSpacing w:val="0"/>
        <w:rPr>
          <w:sz w:val="22"/>
          <w:szCs w:val="22"/>
          <w:lang w:val="es-ES"/>
        </w:rPr>
      </w:pPr>
      <w:r w:rsidRPr="00CF7FC2">
        <w:rPr>
          <w:sz w:val="22"/>
          <w:szCs w:val="22"/>
          <w:lang w:val="es-ES"/>
        </w:rPr>
        <w:t xml:space="preserve">Motivos de la caducidad de cada uno de los expedientes que figuran como “caducado”, indicando las fechas de incoación y de caducidad y plazos superados que han dado lugar a la caducidad. </w:t>
      </w:r>
    </w:p>
    <w:p w14:paraId="6886B74B" w14:textId="77777777" w:rsidR="00E92EC4" w:rsidRPr="00CF7FC2" w:rsidRDefault="00061A8D" w:rsidP="00CF7FC2">
      <w:pPr>
        <w:pStyle w:val="Prrafodelista"/>
        <w:numPr>
          <w:ilvl w:val="0"/>
          <w:numId w:val="8"/>
        </w:numPr>
        <w:tabs>
          <w:tab w:val="left" w:pos="1418"/>
        </w:tabs>
        <w:spacing w:after="240"/>
        <w:ind w:left="714" w:hanging="357"/>
        <w:contextualSpacing w:val="0"/>
        <w:rPr>
          <w:sz w:val="22"/>
          <w:szCs w:val="22"/>
          <w:lang w:val="es-ES"/>
        </w:rPr>
      </w:pPr>
      <w:r w:rsidRPr="00CF7FC2">
        <w:rPr>
          <w:sz w:val="22"/>
          <w:szCs w:val="22"/>
          <w:lang w:val="es-ES"/>
        </w:rPr>
        <w:t xml:space="preserve">Importe propuesto de sanción en todos los expedientes en los que aparece la expresión “resolución imponer sanción”; Cuantía de la sanción propuesta en cada expediente. </w:t>
      </w:r>
    </w:p>
    <w:p w14:paraId="13329EE7" w14:textId="77777777" w:rsidR="00E92EC4" w:rsidRPr="00331144" w:rsidRDefault="00061A8D" w:rsidP="00AA32A5">
      <w:pPr>
        <w:pStyle w:val="Prrafodelista"/>
        <w:numPr>
          <w:ilvl w:val="0"/>
          <w:numId w:val="8"/>
        </w:numPr>
        <w:tabs>
          <w:tab w:val="left" w:pos="1418"/>
        </w:tabs>
        <w:spacing w:after="240"/>
        <w:ind w:left="714" w:hanging="357"/>
        <w:contextualSpacing w:val="0"/>
        <w:rPr>
          <w:sz w:val="22"/>
          <w:szCs w:val="22"/>
          <w:lang w:val="es-ES"/>
        </w:rPr>
      </w:pPr>
      <w:r w:rsidRPr="00CF7FC2">
        <w:rPr>
          <w:sz w:val="22"/>
          <w:szCs w:val="22"/>
          <w:lang w:val="es-ES"/>
        </w:rPr>
        <w:t xml:space="preserve">Aclaración sobre el pago de las sanciones, indicando en cada expediente con resolución de imposición de sanción, si el interesado ha pagado o no la sanción y, en caso de pago, el importe totalmente abonado y si se aplicó reducción por pronto pago. </w:t>
      </w:r>
    </w:p>
    <w:p w14:paraId="1806B18D"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Por Orden Foral 7220/2025, de 30 de diciembre, se estima la solicitud y mediante Anexo adjunto se le facilita la información solicitada. </w:t>
      </w:r>
    </w:p>
    <w:p w14:paraId="53D63973"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Recibida la anterior comunicación, presenta el 9 de enero de este año la solicitud de acceso a la información pública objeto del presente expediente. </w:t>
      </w:r>
    </w:p>
    <w:p w14:paraId="5C66D8B4"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Por último, con fecha 13 de enero presenta otra solicitud de acceso a la información pública (Expediente 01244-2026/</w:t>
      </w:r>
      <w:r>
        <w:rPr>
          <w:sz w:val="22"/>
          <w:szCs w:val="22"/>
          <w:lang w:val="es-ES"/>
        </w:rPr>
        <w:t>000</w:t>
      </w:r>
      <w:r w:rsidRPr="00AA32A5">
        <w:rPr>
          <w:sz w:val="22"/>
          <w:szCs w:val="22"/>
          <w:lang w:val="es-ES"/>
        </w:rPr>
        <w:t xml:space="preserve">03) en la que, planteando un hipotético supuesto de hecho relativo al transporte ocasional de animales vivos llevado a cabo por un particular, en el que describe una serie de circunstancias concurrentes, solicita se le informe de si la conducta descrita en el hipotético supuesto planteado sería constitutiva o no de infracción administrativa y, en caso afirmativo, se le informe de la tipificación jurídica de la infracción, normativa aplicable y precepto concreto vulnerado, tipo de sanción procedente e importe orientativo o rango de sanción que se impondría conforme a los criterios habitualmente aplicados, indicando los criterios generales de graduación tenidos en cuenta. </w:t>
      </w:r>
    </w:p>
    <w:p w14:paraId="709448C1"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La Norma Foral 1/2017, de transparencia, participación ciudadana y buen gobierno del sector público del THA reconoce en su artículo 30 el derecho de todas las personas a ejercer el derecho a acceder a la información pública. </w:t>
      </w:r>
    </w:p>
    <w:p w14:paraId="03B80C61"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Pero este derecho de acceso a la información pública no es un derecho ilimitado o absoluto, en el sentido de que garantice el acceso a toda la información pública en cualquier materia, sino que está sometido a límites, </w:t>
      </w:r>
      <w:r w:rsidRPr="00AA32A5">
        <w:rPr>
          <w:sz w:val="22"/>
          <w:szCs w:val="22"/>
          <w:lang w:val="es-ES"/>
        </w:rPr>
        <w:lastRenderedPageBreak/>
        <w:t xml:space="preserve">siendo la regla general la transparencia o acceso y la excepción su denegación o limitación, como señala la citada Norma Foral en la exposición de motivos. </w:t>
      </w:r>
    </w:p>
    <w:p w14:paraId="46BF86E2"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El artículo 18 de la Ley 19/2013, al que se remite el artículo 34 de la Norma Foral 1/2017, recoge las causas de inadmisión, disponiendo en el apartado primero: </w:t>
      </w:r>
    </w:p>
    <w:p w14:paraId="3CA654EF" w14:textId="77777777" w:rsidR="00E92EC4" w:rsidRPr="00AA32A5" w:rsidRDefault="00061A8D" w:rsidP="003A755C">
      <w:pPr>
        <w:pStyle w:val="Normal0"/>
        <w:tabs>
          <w:tab w:val="left" w:pos="1418"/>
        </w:tabs>
        <w:spacing w:after="120"/>
        <w:rPr>
          <w:i/>
          <w:iCs/>
          <w:sz w:val="22"/>
          <w:szCs w:val="22"/>
          <w:lang w:val="es-ES"/>
        </w:rPr>
      </w:pPr>
      <w:r w:rsidRPr="00AA32A5">
        <w:rPr>
          <w:i/>
          <w:iCs/>
          <w:sz w:val="22"/>
          <w:szCs w:val="22"/>
          <w:lang w:val="es-ES"/>
        </w:rPr>
        <w:t xml:space="preserve">“1. Se inadmitirán a trámite, mediante resolución motivada, las solicitudes: </w:t>
      </w:r>
    </w:p>
    <w:p w14:paraId="54151D94" w14:textId="77777777" w:rsidR="00E92EC4" w:rsidRPr="00C61E0C" w:rsidRDefault="00061A8D" w:rsidP="003A755C">
      <w:pPr>
        <w:pStyle w:val="Prrafodelista"/>
        <w:numPr>
          <w:ilvl w:val="0"/>
          <w:numId w:val="9"/>
        </w:numPr>
        <w:tabs>
          <w:tab w:val="left" w:pos="1418"/>
        </w:tabs>
        <w:spacing w:after="120"/>
        <w:ind w:left="714" w:hanging="357"/>
        <w:contextualSpacing w:val="0"/>
        <w:rPr>
          <w:i/>
          <w:iCs/>
          <w:sz w:val="22"/>
          <w:szCs w:val="22"/>
          <w:lang w:val="es-ES"/>
        </w:rPr>
      </w:pPr>
      <w:r w:rsidRPr="00C61E0C">
        <w:rPr>
          <w:i/>
          <w:iCs/>
          <w:sz w:val="22"/>
          <w:szCs w:val="22"/>
          <w:lang w:val="es-ES"/>
        </w:rPr>
        <w:t xml:space="preserve">Que se refieran a información que esté en curso de elaboración o de publicación general. </w:t>
      </w:r>
    </w:p>
    <w:p w14:paraId="491C9EEA" w14:textId="77777777" w:rsidR="00E92EC4" w:rsidRPr="00C61E0C" w:rsidRDefault="00061A8D" w:rsidP="003A755C">
      <w:pPr>
        <w:pStyle w:val="Prrafodelista"/>
        <w:numPr>
          <w:ilvl w:val="0"/>
          <w:numId w:val="9"/>
        </w:numPr>
        <w:tabs>
          <w:tab w:val="left" w:pos="1418"/>
        </w:tabs>
        <w:spacing w:after="120"/>
        <w:ind w:left="714" w:hanging="357"/>
        <w:contextualSpacing w:val="0"/>
        <w:rPr>
          <w:i/>
          <w:iCs/>
          <w:sz w:val="22"/>
          <w:szCs w:val="22"/>
          <w:lang w:val="es-ES"/>
        </w:rPr>
      </w:pPr>
      <w:r w:rsidRPr="00C61E0C">
        <w:rPr>
          <w:i/>
          <w:iCs/>
          <w:sz w:val="22"/>
          <w:szCs w:val="22"/>
          <w:lang w:val="es-ES"/>
        </w:rPr>
        <w:t xml:space="preserve">Referidas a información que tenga carácter auxiliar o de apoyo como la contenida en notas, borradores, opiniones, resúmenes, comunicaciones e informes internos o entre órganos o entidades administrativas. </w:t>
      </w:r>
    </w:p>
    <w:p w14:paraId="6A096347" w14:textId="77777777" w:rsidR="00E92EC4" w:rsidRPr="00C61E0C" w:rsidRDefault="00061A8D" w:rsidP="003A755C">
      <w:pPr>
        <w:pStyle w:val="Prrafodelista"/>
        <w:numPr>
          <w:ilvl w:val="0"/>
          <w:numId w:val="9"/>
        </w:numPr>
        <w:tabs>
          <w:tab w:val="left" w:pos="1418"/>
        </w:tabs>
        <w:spacing w:after="120"/>
        <w:ind w:left="714" w:hanging="357"/>
        <w:contextualSpacing w:val="0"/>
        <w:rPr>
          <w:i/>
          <w:iCs/>
          <w:sz w:val="22"/>
          <w:szCs w:val="22"/>
          <w:lang w:val="es-ES"/>
        </w:rPr>
      </w:pPr>
      <w:r w:rsidRPr="00C61E0C">
        <w:rPr>
          <w:i/>
          <w:iCs/>
          <w:sz w:val="22"/>
          <w:szCs w:val="22"/>
          <w:lang w:val="es-ES"/>
        </w:rPr>
        <w:t xml:space="preserve">Relativas a información para cuya divulgación sea necesaria una acción previa de reelaboración. </w:t>
      </w:r>
    </w:p>
    <w:p w14:paraId="053286B2" w14:textId="77777777" w:rsidR="00E92EC4" w:rsidRPr="00C61E0C" w:rsidRDefault="00061A8D" w:rsidP="003A755C">
      <w:pPr>
        <w:pStyle w:val="Prrafodelista"/>
        <w:numPr>
          <w:ilvl w:val="0"/>
          <w:numId w:val="9"/>
        </w:numPr>
        <w:tabs>
          <w:tab w:val="left" w:pos="1418"/>
        </w:tabs>
        <w:spacing w:after="120"/>
        <w:ind w:left="714" w:hanging="357"/>
        <w:contextualSpacing w:val="0"/>
        <w:rPr>
          <w:i/>
          <w:iCs/>
          <w:sz w:val="22"/>
          <w:szCs w:val="22"/>
          <w:lang w:val="es-ES"/>
        </w:rPr>
      </w:pPr>
      <w:r w:rsidRPr="00C61E0C">
        <w:rPr>
          <w:i/>
          <w:iCs/>
          <w:sz w:val="22"/>
          <w:szCs w:val="22"/>
          <w:lang w:val="es-ES"/>
        </w:rPr>
        <w:t xml:space="preserve">Dirigidas a un órgano en cuyo poder no obre la información cuando se desconozca el competente. </w:t>
      </w:r>
    </w:p>
    <w:p w14:paraId="7E65FD5A" w14:textId="77777777" w:rsidR="00E92EC4" w:rsidRPr="00C61E0C" w:rsidRDefault="00061A8D" w:rsidP="003A755C">
      <w:pPr>
        <w:pStyle w:val="Prrafodelista"/>
        <w:numPr>
          <w:ilvl w:val="0"/>
          <w:numId w:val="9"/>
        </w:numPr>
        <w:tabs>
          <w:tab w:val="left" w:pos="1418"/>
        </w:tabs>
        <w:spacing w:after="240"/>
        <w:ind w:left="714" w:hanging="357"/>
        <w:contextualSpacing w:val="0"/>
        <w:rPr>
          <w:i/>
          <w:iCs/>
          <w:sz w:val="22"/>
          <w:szCs w:val="22"/>
          <w:lang w:val="es-ES"/>
        </w:rPr>
      </w:pPr>
      <w:r w:rsidRPr="00C61E0C">
        <w:rPr>
          <w:i/>
          <w:iCs/>
          <w:sz w:val="22"/>
          <w:szCs w:val="22"/>
          <w:lang w:val="es-ES"/>
        </w:rPr>
        <w:t xml:space="preserve">Que sean manifiestamente repetitivas o tengan un carácter abusivo no justificado con la finalidad de transparencia de esta Ley.”. </w:t>
      </w:r>
    </w:p>
    <w:p w14:paraId="29B569B8"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Con relación al carácter abusivo de la solicitud como causa de inadmisión, cabe traer a colación la Resolución R/78/2018 de Consejo de Transparencia y Buen Gobierno de 30 de abril de 2018 que expone: </w:t>
      </w:r>
    </w:p>
    <w:p w14:paraId="2FA593C8" w14:textId="77777777" w:rsidR="00E92EC4" w:rsidRPr="00AA32A5" w:rsidRDefault="00061A8D" w:rsidP="009C1439">
      <w:pPr>
        <w:pStyle w:val="Normal0"/>
        <w:tabs>
          <w:tab w:val="left" w:pos="1418"/>
        </w:tabs>
        <w:spacing w:after="120"/>
        <w:rPr>
          <w:sz w:val="22"/>
          <w:szCs w:val="22"/>
          <w:lang w:val="es-ES"/>
        </w:rPr>
      </w:pPr>
      <w:r w:rsidRPr="00AA32A5">
        <w:rPr>
          <w:sz w:val="22"/>
          <w:szCs w:val="22"/>
          <w:lang w:val="es-ES"/>
        </w:rPr>
        <w:t>«</w:t>
      </w:r>
      <w:r w:rsidRPr="00AA32A5">
        <w:rPr>
          <w:i/>
          <w:iCs/>
          <w:sz w:val="22"/>
          <w:szCs w:val="22"/>
          <w:lang w:val="es-ES"/>
        </w:rPr>
        <w:t xml:space="preserve">El ejercicio abusivo de un derecho ha sido analizado por reiterada jurisprudencia (por todas, se destaca la Sentencia de 1 de febrero de 2006 (rec. núm. 1820/2000). Esta doctrina jurisprudencial se basa en la existencia de unos límites impuestos al ejercicio de los derechos, límites de orden moral, teleológico y social. </w:t>
      </w:r>
    </w:p>
    <w:p w14:paraId="7E23349F"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Se trata de una institución de equidad que, para poder ser apreciada, exige la verificación de que la conducta valorada cumple los siguientes requisitos: </w:t>
      </w:r>
    </w:p>
    <w:p w14:paraId="27A6B737"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(1) Aparentemente es correcta pero representa, en realidad, una extralimitación a la que la ley no concede protección alguna; y (2) Genera unos efectos negativos, normalmente daños y perjuicios. </w:t>
      </w:r>
    </w:p>
    <w:p w14:paraId="41CF91C5"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Además, de la base fáctica debe resultar patente (a) una circunstancia subjetiva de ausencia de finalidad seria y legítima (voluntad de perjudicar o ausencia de interés legítimo); y (b) una circunstancia objetiva de exceso en el ejercicio del derecho (anormalidad en el ejercicio del derecho). </w:t>
      </w:r>
    </w:p>
    <w:p w14:paraId="531815C5"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Aplicada esta doctrina al derecho de acceso a la información, este Consejo de Transparencia y Buen Gobierno, en ejercicio de las competencias legalmente atribuidas por el art. 38.2 a), aprobó el criterio interpretativo 3/2016, que se pronuncia en los siguientes términos: </w:t>
      </w:r>
    </w:p>
    <w:p w14:paraId="5E081349"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2.2. Respecto del carácter abusivo de la petición de información. </w:t>
      </w:r>
    </w:p>
    <w:p w14:paraId="76D8C6DC"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El artículo 18.1. e) de la LTAIBG asocia el carácter abusivo de la solicitud a la condición de que la petición “no esté justificada con la finalidad de la Ley”. </w:t>
      </w:r>
    </w:p>
    <w:p w14:paraId="7551E2F9"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De este modo hay dos elementos esenciales para la aplicación de esta causa de inadmisión: </w:t>
      </w:r>
    </w:p>
    <w:p w14:paraId="617D70CD"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A) Que el ejercicio del derecho sea abusivo cualitativamente, no en sentido cuantitativo: el hecho de que una misma persona presente un número determinado de solicitudes no determina necesariamente un ejercicio abusivo del derecho, y </w:t>
      </w:r>
    </w:p>
    <w:p w14:paraId="245D5C8A"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B) Que el ejercicio del derecho pueda considerarse excesivo, es decir, cuando no llegue a conjugarse con la finalidad de la Ley. </w:t>
      </w:r>
    </w:p>
    <w:p w14:paraId="2CB3DB79"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1. Así, una solicitud puede entenderse ABUSIVA cuando se encuentre en alguno de los supuestos o se den alguno de los elementos que se mencionan a continuación: </w:t>
      </w:r>
    </w:p>
    <w:p w14:paraId="0AF7736C"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Con carácter general, en aquellos casos en que pueda considerase incluida en el concepto de abuso de derecho recogido en el artículo 7.2 del Código Civil y avalado por la jurisprudencia, esto es: “Todo acto u omisión que por la intención de su autor, por su objeto o por las circunstancias en que se realice sobrepase manifiestamente los límites normales del ejercicio de un derecho”. </w:t>
      </w:r>
    </w:p>
    <w:p w14:paraId="5213AE21"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lastRenderedPageBreak/>
        <w:t xml:space="preserve">- Cuando, de ser atendida, requiriera un tratamiento que obligara a paralizar el resto de la gestión de los sujetos obligados a suministrar la información, impidiendo la atención justa y equitativa de su trabajo y el servicio público que tienen encomendado, y así resulte de acuerdo con una ponderación razonada y basada en indicadores objetivos </w:t>
      </w:r>
    </w:p>
    <w:p w14:paraId="580C1528"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Cuando suponga un riesgo para los derechos de terceros. </w:t>
      </w:r>
    </w:p>
    <w:p w14:paraId="62949252"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Cuando sea contraria a las normas, las costumbres o la buena fe. </w:t>
      </w:r>
    </w:p>
    <w:p w14:paraId="78BE381D"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2. Se considerará que la solicitud está JUSTIFICADA CON LA FINALIDAD DE LA LEY cuando se fundamenta en el interés legítimo de: </w:t>
      </w:r>
    </w:p>
    <w:p w14:paraId="347BB90E"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Someter a escrutinio la acción de los responsables públicos </w:t>
      </w:r>
    </w:p>
    <w:p w14:paraId="09772621"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Conocer cómo se toman las decisiones públicas </w:t>
      </w:r>
    </w:p>
    <w:p w14:paraId="3AFE83E0"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Conocer cómo se manejan los fondos públicos </w:t>
      </w:r>
    </w:p>
    <w:p w14:paraId="5115F194"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Conocer bajo qué criterios actúan las instituciones públicas </w:t>
      </w:r>
    </w:p>
    <w:p w14:paraId="51E1A65D"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Consecuentemente, NO ESTARÁ JUSTIFICADA CON LA FINALIDAD DE LA LEY cuando: </w:t>
      </w:r>
    </w:p>
    <w:p w14:paraId="58B81154"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No pueda ser reconducida a ninguna de las finalidades señaladas con anterioridad y así resulte de acuerdo con una ponderación razonada y basada en indicadores objetivos. </w:t>
      </w:r>
    </w:p>
    <w:p w14:paraId="287DB1A9"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Cuando tenga por finalidad patente y manifiesta obtener información que carezca de la consideración de información pública de acuerdo con la definición del artículo 13 de la LTAIBG. </w:t>
      </w:r>
    </w:p>
    <w:p w14:paraId="79157AAE"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Cuando tenga como objeto o posible consecuencia la comisión de un ilícito civil o penal o una falta administrativa. </w:t>
      </w:r>
    </w:p>
    <w:p w14:paraId="481060B1"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4 Por otro lado debe señalarse que el artículo 7 del Código Civil dispone que: </w:t>
      </w:r>
    </w:p>
    <w:p w14:paraId="375A4D54"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Los derechos deberán ejercitarse conforme a las exigencias de la buena fe. La ley no ampara el abuso del derecho o el ejercicio antisocial del mismo. Todo acto u omisión que: </w:t>
      </w:r>
    </w:p>
    <w:p w14:paraId="1E555FFE"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por la intención de su autor, </w:t>
      </w:r>
    </w:p>
    <w:p w14:paraId="4C5049E5"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por su objeto o </w:t>
      </w:r>
    </w:p>
    <w:p w14:paraId="3F2FBFFE"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por las circunstancias en que se realice, sobrepase manifiestamente los límites normales del ejercicio de un derecho, con daño para tercero, dará lugar ...a la adopción de las medidas ...administrativas que impidan la persistencia en el abuso. </w:t>
      </w:r>
    </w:p>
    <w:p w14:paraId="25E53909"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Según numerosas sentencias (SS 14/2/86, 29/11/85, 7/5/93, 8/6/94, 21/9/87, 30/5/98,11/5/91, entre otras), el abuso de derecho: </w:t>
      </w:r>
    </w:p>
    <w:p w14:paraId="65C9C5DD"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presupone carencia de buena fe. La buena o mala fe es un concepto jurídico que se apoya en la valoración de conductas deducidas de unos hechos. Para la apreciación de la buena fe (ésta, según doctrina se presume) o mala fe (que debe acreditarse) hay que tener en cuenta hechos y circunstancias que aparezcan probados. </w:t>
      </w:r>
    </w:p>
    <w:p w14:paraId="08B8A6F3"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impone la exigencia de una conducta ética en el ejercicio de los derechos. El abuso de derecho procede cuando el derecho se ejercita con intención decidida de causar daño a otro o utilizándolo de modo anormal. Su apreciación exige que la base fáctica ponga de manifiesto las circunstancias objetivas (anormalidad en el ejercicio) y las subjetivas (ausencia de interés legítimo o voluntad de perjudicar). </w:t>
      </w:r>
    </w:p>
    <w:p w14:paraId="2EE96ED4"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 El abuso viene determinado por la circunstancia subjetiva de ausencia de finalidad seria y legítima y la objetiva de exceso en el ejercicio del derecho. </w:t>
      </w:r>
    </w:p>
    <w:p w14:paraId="4C4D777B" w14:textId="77777777" w:rsidR="00E92EC4" w:rsidRPr="00AA32A5" w:rsidRDefault="00061A8D" w:rsidP="009C1439">
      <w:pPr>
        <w:pStyle w:val="Normal0"/>
        <w:tabs>
          <w:tab w:val="left" w:pos="1418"/>
        </w:tabs>
        <w:spacing w:after="120"/>
        <w:rPr>
          <w:sz w:val="22"/>
          <w:szCs w:val="22"/>
          <w:lang w:val="es-ES"/>
        </w:rPr>
      </w:pPr>
      <w:r w:rsidRPr="00AA32A5">
        <w:rPr>
          <w:i/>
          <w:iCs/>
          <w:sz w:val="22"/>
          <w:szCs w:val="22"/>
          <w:lang w:val="es-ES"/>
        </w:rPr>
        <w:t xml:space="preserve">Una interpretación del derecho de acceso a la información pública regulado en la Ley 19/2013 que implique un ejercicio excesivo e indiscriminado del mismo afectaría en sí mismo, perjudicándolo, el objeto y finalidad de la propia norma. </w:t>
      </w:r>
    </w:p>
    <w:p w14:paraId="52ED99ED" w14:textId="77777777" w:rsidR="00E92EC4" w:rsidRPr="00AA32A5" w:rsidRDefault="00061A8D" w:rsidP="00AA32A5">
      <w:pPr>
        <w:pStyle w:val="Normal0"/>
        <w:tabs>
          <w:tab w:val="left" w:pos="1418"/>
        </w:tabs>
        <w:spacing w:after="240"/>
        <w:rPr>
          <w:sz w:val="22"/>
          <w:szCs w:val="22"/>
          <w:lang w:val="es-ES"/>
        </w:rPr>
      </w:pPr>
      <w:r w:rsidRPr="00AA32A5">
        <w:rPr>
          <w:i/>
          <w:iCs/>
          <w:sz w:val="22"/>
          <w:szCs w:val="22"/>
          <w:lang w:val="es-ES"/>
        </w:rPr>
        <w:t>A este respecto, deben tenerse en cuenta los elementos de carácter subjetivo y objetivo para evaluar la finalidad que motiva la presentación por el interesado de la reclamación objeto de esta resolución</w:t>
      </w:r>
      <w:r w:rsidRPr="00AA32A5">
        <w:rPr>
          <w:sz w:val="22"/>
          <w:szCs w:val="22"/>
          <w:lang w:val="es-ES"/>
        </w:rPr>
        <w:t xml:space="preserve">.» </w:t>
      </w:r>
    </w:p>
    <w:p w14:paraId="0036F6B0"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lastRenderedPageBreak/>
        <w:t>En el presente caso, se considera que la solicitud incurre en la causa de inadmisión prevista en la letra e) del artículo 18</w:t>
      </w:r>
      <w:r>
        <w:rPr>
          <w:sz w:val="22"/>
          <w:szCs w:val="22"/>
          <w:lang w:val="es-ES"/>
        </w:rPr>
        <w:t>,</w:t>
      </w:r>
      <w:r w:rsidRPr="00AA32A5">
        <w:rPr>
          <w:sz w:val="22"/>
          <w:szCs w:val="22"/>
          <w:lang w:val="es-ES"/>
        </w:rPr>
        <w:t xml:space="preserve"> conforme a la doctrina expuesta. </w:t>
      </w:r>
    </w:p>
    <w:p w14:paraId="57A26C64" w14:textId="6187D81A"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Como se ha relacionado previamente, son varias las solicitudes presentadas por </w:t>
      </w:r>
      <w:r w:rsidR="00135AA6" w:rsidRPr="00135AA6">
        <w:rPr>
          <w:sz w:val="22"/>
          <w:szCs w:val="22"/>
          <w:highlight w:val="black"/>
          <w:lang w:val="es-ES"/>
        </w:rPr>
        <w:t>XXXXX</w:t>
      </w:r>
      <w:r w:rsidRPr="00AA32A5">
        <w:rPr>
          <w:sz w:val="22"/>
          <w:szCs w:val="22"/>
          <w:lang w:val="es-ES"/>
        </w:rPr>
        <w:t xml:space="preserve"> en relación con la actividad sancionadora desarrollada por la DFA en materia de transporte de animales, computándose seis solicitudes en un periodo de 6 meses. </w:t>
      </w:r>
    </w:p>
    <w:p w14:paraId="0D2529D9"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Se constata tras un análisis del contenido de las diferentes solicitudes que el solicitante pretende recabar información para poder conocer en último término el devenir de la denuncia que interpuso en relación con una presunta infracción administrativa en materia de transporte y sanidad animal y que dio lugar a la incoación de un expediente sancionador mediante la Resolución 897/2024, lo que no está justificado con la finalidad de transparencia de la ley y sobre pasa los límites normales del ejercicio del derecho de acceso a la información pública. </w:t>
      </w:r>
    </w:p>
    <w:p w14:paraId="65C332CF" w14:textId="77777777"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De hecho, en su primera solicitud interesa que se le facilite copia íntegra y completa de todos los documentos que integran dicho expediente sancionador, pretensión que fue denegada por la existencia en el expediente de datos personales cuya disociación resulta insuficiente para impedir la identificación de los titulares de dichos datos, con el consiguiente riesgo cierto de vulneración de sus derechos fundamentales a la protección de datos y a la intimidad personal y familiar. </w:t>
      </w:r>
    </w:p>
    <w:p w14:paraId="0C812C42" w14:textId="49D72580" w:rsidR="00E92EC4" w:rsidRPr="00AA32A5" w:rsidRDefault="00061A8D" w:rsidP="00AA32A5">
      <w:pPr>
        <w:pStyle w:val="Normal0"/>
        <w:tabs>
          <w:tab w:val="left" w:pos="1418"/>
        </w:tabs>
        <w:spacing w:after="240"/>
        <w:rPr>
          <w:sz w:val="22"/>
          <w:szCs w:val="22"/>
          <w:lang w:val="es-ES"/>
        </w:rPr>
      </w:pPr>
      <w:r w:rsidRPr="00AA32A5">
        <w:rPr>
          <w:sz w:val="22"/>
          <w:szCs w:val="22"/>
          <w:lang w:val="es-ES"/>
        </w:rPr>
        <w:t xml:space="preserve">Con la información que ahora solicita, en particular la descripción de los hechos que motivaron la incoación del expediente, indicando la conducta apreciada en cada caso y su contexto esencial, y la forma de iniciación de cada expediente (de oficio, consecuencia de actuaciones inspectoras, denuncia de otras administraciones o denuncia de particulares), se estaría poniendo a disposición </w:t>
      </w:r>
      <w:r w:rsidR="00135AA6">
        <w:rPr>
          <w:sz w:val="22"/>
          <w:szCs w:val="22"/>
          <w:lang w:val="es-ES"/>
        </w:rPr>
        <w:t>de la persona</w:t>
      </w:r>
      <w:r w:rsidRPr="00AA32A5">
        <w:rPr>
          <w:sz w:val="22"/>
          <w:szCs w:val="22"/>
          <w:lang w:val="es-ES"/>
        </w:rPr>
        <w:t xml:space="preserve"> solicitante información que indirectamente le permitiría identificar el expediente que deriva de su denuncia y, en consecuencia, el titular del mismo (persona frente a la que se dirigió la denuncia) y la sanción que en su caso se le pudo imponer, lo que denota la ausencia de una finalidad seria y legítima, suponiendo un ejercicio abusivo del derecho de acceso. </w:t>
      </w:r>
    </w:p>
    <w:p w14:paraId="528B9985" w14:textId="77777777" w:rsidR="00E92EC4" w:rsidRPr="00AA32A5" w:rsidRDefault="00061A8D" w:rsidP="00AA32A5">
      <w:pPr>
        <w:pStyle w:val="Normal0"/>
        <w:tabs>
          <w:tab w:val="left" w:pos="1418"/>
        </w:tabs>
        <w:spacing w:after="240"/>
        <w:rPr>
          <w:sz w:val="22"/>
          <w:szCs w:val="22"/>
        </w:rPr>
      </w:pPr>
      <w:r w:rsidRPr="00AA32A5">
        <w:rPr>
          <w:sz w:val="22"/>
          <w:szCs w:val="22"/>
          <w:lang w:val="es-ES"/>
        </w:rPr>
        <w:t>Cuanto antecede lleva a concluir que concurre en el presente caso la causa de inadmisión a referida en el apartado e) al ser una solicitud repetitiva y tener un carácter abusivo no justificado con la finalidad de transparencia de la ley.</w:t>
      </w:r>
    </w:p>
    <w:p w14:paraId="508D7056" w14:textId="77777777" w:rsidR="00E92EC4" w:rsidRPr="000E39F8" w:rsidRDefault="00061A8D" w:rsidP="008023EB">
      <w:pPr>
        <w:pStyle w:val="Normal0"/>
        <w:spacing w:after="240"/>
        <w:rPr>
          <w:sz w:val="22"/>
          <w:szCs w:val="22"/>
        </w:rPr>
      </w:pPr>
      <w:r>
        <w:rPr>
          <w:sz w:val="22"/>
          <w:szCs w:val="22"/>
        </w:rPr>
        <w:t xml:space="preserve">En su virtud, haciendo uso de las competencias que me han sido otorgadas por la Orden Foral 432/2025, de 17 de diciembre, por la que se delega en la persona titular de la Dirección de Agricultura la </w:t>
      </w:r>
      <w:r w:rsidRPr="00843828">
        <w:rPr>
          <w:sz w:val="22"/>
          <w:szCs w:val="22"/>
        </w:rPr>
        <w:t>competencia para resolver las solicitudes de acceso a la información pública previstas en la Norma Foral 1/2017, de 8 febrero, de transparencia, participación ciudadana y buen gobierno del sector público del Territorio Histórico de Álava</w:t>
      </w:r>
      <w:r>
        <w:rPr>
          <w:sz w:val="22"/>
          <w:szCs w:val="22"/>
        </w:rPr>
        <w:t>.</w:t>
      </w:r>
    </w:p>
    <w:p w14:paraId="5D1B7818" w14:textId="77777777" w:rsidR="00E92EC4" w:rsidRPr="000B1273" w:rsidRDefault="00061A8D" w:rsidP="00672592">
      <w:pPr>
        <w:pStyle w:val="Normal0"/>
        <w:spacing w:before="480" w:after="480"/>
        <w:jc w:val="center"/>
        <w:rPr>
          <w:b/>
          <w:sz w:val="22"/>
          <w:szCs w:val="22"/>
        </w:rPr>
      </w:pPr>
      <w:r>
        <w:rPr>
          <w:b/>
          <w:sz w:val="22"/>
          <w:szCs w:val="22"/>
        </w:rPr>
        <w:t>RESUELVO</w:t>
      </w:r>
    </w:p>
    <w:p w14:paraId="01DB1D4B" w14:textId="040506C2" w:rsidR="00E92EC4" w:rsidRPr="004D16EE" w:rsidRDefault="00061A8D" w:rsidP="004D16EE">
      <w:pPr>
        <w:pStyle w:val="Normal0"/>
        <w:spacing w:after="240"/>
        <w:ind w:left="-6" w:hanging="11"/>
        <w:rPr>
          <w:sz w:val="22"/>
          <w:szCs w:val="22"/>
        </w:rPr>
      </w:pPr>
      <w:r w:rsidRPr="000B1273">
        <w:rPr>
          <w:sz w:val="22"/>
          <w:szCs w:val="22"/>
        </w:rPr>
        <w:t xml:space="preserve">Primero. </w:t>
      </w:r>
      <w:r>
        <w:rPr>
          <w:sz w:val="22"/>
          <w:szCs w:val="22"/>
        </w:rPr>
        <w:t>Inadmitir</w:t>
      </w:r>
      <w:r w:rsidRPr="000B1273">
        <w:rPr>
          <w:sz w:val="22"/>
          <w:szCs w:val="22"/>
        </w:rPr>
        <w:t xml:space="preserve"> la solicitud de acceso a la información pública presentada por </w:t>
      </w:r>
      <w:r w:rsidR="00135AA6" w:rsidRPr="00135AA6">
        <w:rPr>
          <w:sz w:val="22"/>
          <w:szCs w:val="22"/>
          <w:highlight w:val="black"/>
        </w:rPr>
        <w:t>XXXXX</w:t>
      </w:r>
      <w:r>
        <w:rPr>
          <w:sz w:val="22"/>
          <w:szCs w:val="22"/>
        </w:rPr>
        <w:t xml:space="preserve">, en virtud del artículo 18.1.e) </w:t>
      </w:r>
      <w:r w:rsidRPr="00AA32A5">
        <w:rPr>
          <w:sz w:val="22"/>
          <w:szCs w:val="22"/>
        </w:rPr>
        <w:t>de la Ley 19/2013</w:t>
      </w:r>
      <w:r w:rsidRPr="00953C98">
        <w:rPr>
          <w:sz w:val="22"/>
          <w:szCs w:val="22"/>
        </w:rPr>
        <w:t>, de 9 de diciembre, de transparencia, acceso a la información pública y buen gobierno</w:t>
      </w:r>
      <w:r>
        <w:rPr>
          <w:sz w:val="22"/>
          <w:szCs w:val="22"/>
        </w:rPr>
        <w:t xml:space="preserve">, que dispone </w:t>
      </w:r>
      <w:r w:rsidRPr="004D16EE">
        <w:rPr>
          <w:i/>
          <w:iCs/>
          <w:sz w:val="22"/>
          <w:szCs w:val="22"/>
        </w:rPr>
        <w:t xml:space="preserve">“se inadmitirán a trámite, mediante resolución motivada, las </w:t>
      </w:r>
      <w:r w:rsidR="00135AA6" w:rsidRPr="004D16EE">
        <w:rPr>
          <w:i/>
          <w:iCs/>
          <w:sz w:val="22"/>
          <w:szCs w:val="22"/>
        </w:rPr>
        <w:t>solicitudes que</w:t>
      </w:r>
      <w:r w:rsidRPr="004D16EE">
        <w:rPr>
          <w:i/>
          <w:iCs/>
          <w:sz w:val="22"/>
          <w:szCs w:val="22"/>
        </w:rPr>
        <w:t xml:space="preserve"> sean manifiestamente repetitivas o tengan un carácter abusivo no justificado con la finalidad de transparencia de esta Ley”.</w:t>
      </w:r>
    </w:p>
    <w:p w14:paraId="4DFF814A" w14:textId="77777777" w:rsidR="00E92EC4" w:rsidRDefault="00061A8D" w:rsidP="00672592">
      <w:pPr>
        <w:pStyle w:val="Normal0"/>
        <w:spacing w:after="240"/>
        <w:ind w:left="-6" w:hanging="11"/>
        <w:rPr>
          <w:rFonts w:cs="Wingdings 2"/>
          <w:sz w:val="22"/>
          <w:szCs w:val="22"/>
        </w:rPr>
      </w:pPr>
      <w:r w:rsidRPr="000B1273">
        <w:rPr>
          <w:rFonts w:cs="Wingdings 2"/>
          <w:sz w:val="22"/>
          <w:szCs w:val="22"/>
        </w:rPr>
        <w:t>Segundo. Contra la presente resolución, que pone fin a la vía administrativa, podrá interponerse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72DDCCA1" w14:textId="77777777" w:rsidR="00E06F7B" w:rsidRDefault="00E06F7B" w:rsidP="00672592">
      <w:pPr>
        <w:pStyle w:val="Normal0"/>
        <w:spacing w:after="240"/>
        <w:ind w:left="-6" w:hanging="11"/>
        <w:rPr>
          <w:rFonts w:cs="Wingdings 2"/>
          <w:sz w:val="22"/>
          <w:szCs w:val="22"/>
        </w:rPr>
      </w:pPr>
    </w:p>
    <w:p w14:paraId="1A1492DE" w14:textId="77777777" w:rsidR="00E06F7B" w:rsidRPr="000B1273" w:rsidRDefault="00E06F7B" w:rsidP="00672592">
      <w:pPr>
        <w:pStyle w:val="Normal0"/>
        <w:spacing w:after="240"/>
        <w:ind w:left="-6" w:hanging="11"/>
        <w:rPr>
          <w:rFonts w:cs="Wingdings 2"/>
          <w:sz w:val="22"/>
          <w:szCs w:val="22"/>
        </w:rPr>
      </w:pPr>
    </w:p>
    <w:p w14:paraId="5E0FD2D1" w14:textId="77777777" w:rsidR="00E92EC4" w:rsidRDefault="00061A8D">
      <w:pPr>
        <w:pStyle w:val="Normal0"/>
        <w:spacing w:before="240"/>
        <w:rPr>
          <w:sz w:val="22"/>
        </w:rPr>
      </w:pPr>
      <w:r>
        <w:rPr>
          <w:sz w:val="22"/>
        </w:rPr>
        <w:t>Vitoria-Gasteiz.</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800681" w14:paraId="07DB5133" w14:textId="77777777">
        <w:trPr>
          <w:trHeight w:val="1541"/>
        </w:trPr>
        <w:tc>
          <w:tcPr>
            <w:tcW w:w="4605" w:type="dxa"/>
          </w:tcPr>
          <w:p w14:paraId="20179217" w14:textId="77777777" w:rsidR="00E92EC4" w:rsidRDefault="00061A8D">
            <w:pPr>
              <w:pStyle w:val="Normal0"/>
              <w:spacing w:before="1560" w:after="60" w:line="240" w:lineRule="exact"/>
              <w:rPr>
                <w:b/>
                <w:sz w:val="22"/>
              </w:rPr>
            </w:pPr>
            <w:r>
              <w:rPr>
                <w:b/>
                <w:sz w:val="22"/>
              </w:rPr>
              <w:t>David Fernández Sarabia</w:t>
            </w:r>
          </w:p>
          <w:p w14:paraId="434C40FD" w14:textId="77777777" w:rsidR="00E92EC4" w:rsidRDefault="00061A8D">
            <w:pPr>
              <w:pStyle w:val="Normal0"/>
              <w:spacing w:after="20" w:line="240" w:lineRule="exact"/>
              <w:rPr>
                <w:sz w:val="22"/>
              </w:rPr>
            </w:pPr>
            <w:r>
              <w:rPr>
                <w:sz w:val="22"/>
              </w:rPr>
              <w:t>Nekazaritza zuzendaria</w:t>
            </w:r>
          </w:p>
          <w:p w14:paraId="5F66126F" w14:textId="77777777" w:rsidR="00E92EC4" w:rsidRDefault="00061A8D">
            <w:pPr>
              <w:pStyle w:val="Normal0"/>
              <w:spacing w:after="20" w:line="240" w:lineRule="exact"/>
              <w:rPr>
                <w:sz w:val="22"/>
              </w:rPr>
            </w:pPr>
            <w:r>
              <w:rPr>
                <w:sz w:val="22"/>
              </w:rPr>
              <w:t>Director de Agricultura</w:t>
            </w:r>
          </w:p>
        </w:tc>
        <w:tc>
          <w:tcPr>
            <w:tcW w:w="4605" w:type="dxa"/>
          </w:tcPr>
          <w:p w14:paraId="69DE1512" w14:textId="77777777" w:rsidR="00E92EC4" w:rsidRDefault="00E92EC4">
            <w:pPr>
              <w:pStyle w:val="Normal0"/>
              <w:spacing w:after="20" w:line="240" w:lineRule="exact"/>
              <w:rPr>
                <w:sz w:val="22"/>
              </w:rPr>
            </w:pPr>
          </w:p>
        </w:tc>
      </w:tr>
      <w:bookmarkEnd w:id="0"/>
    </w:tbl>
    <w:p w14:paraId="03C6B619"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94482C5"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459A76B"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E78846C"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07CE0D3"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1C9E455"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9495704"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D9BE887"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1346619"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23DABDF"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62F734DE"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0B424F4"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9FA8B97"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BCA0FB8"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11CA0D51"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F6D9F7D"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7B8C47B0"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FA71D81"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923AD5C" w14:textId="77777777" w:rsidR="00E92EC4"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48BE97E9" w14:textId="77777777" w:rsidR="00E92EC4" w:rsidRPr="00663BA9"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52D6984A" w14:textId="77777777" w:rsidR="00E92EC4" w:rsidRPr="00663BA9" w:rsidRDefault="00E92EC4"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p w14:paraId="0D9D3623" w14:textId="77777777" w:rsidR="00E92EC4" w:rsidRPr="00663BA9" w:rsidRDefault="00E92EC4" w:rsidP="00663BA9">
      <w:pPr>
        <w:pStyle w:val="Textoindependiente"/>
        <w:spacing w:after="0"/>
        <w:rPr>
          <w:rFonts w:cs="Arial"/>
          <w:color w:val="4F81BD" w:themeColor="accent1"/>
          <w:sz w:val="16"/>
          <w:szCs w:val="16"/>
          <w:u w:val="single"/>
        </w:rPr>
      </w:pPr>
    </w:p>
    <w:p w14:paraId="3FADB6D8" w14:textId="77777777" w:rsidR="00E92EC4" w:rsidRPr="00426B3C" w:rsidRDefault="00E92EC4" w:rsidP="00EE0139">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23C4CCCB" w14:textId="77777777" w:rsidR="00E92EC4" w:rsidRPr="008C7888" w:rsidRDefault="00E92EC4" w:rsidP="008D43A8">
      <w:pPr>
        <w:pStyle w:val="Textoindependiente"/>
        <w:spacing w:after="0"/>
        <w:rPr>
          <w:rFonts w:cs="Arial"/>
          <w:sz w:val="16"/>
          <w:szCs w:val="16"/>
        </w:rPr>
      </w:pPr>
    </w:p>
    <w:sectPr w:rsidR="00E92EC4" w:rsidRPr="008C7888" w:rsidSect="00E53B88">
      <w:headerReference w:type="default" r:id="rId8"/>
      <w:footerReference w:type="default" r:id="rId9"/>
      <w:headerReference w:type="first" r:id="rId10"/>
      <w:footerReference w:type="first" r:id="rId11"/>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71BD" w14:textId="77777777" w:rsidR="00C058B9" w:rsidRDefault="00C058B9">
      <w:r>
        <w:separator/>
      </w:r>
    </w:p>
  </w:endnote>
  <w:endnote w:type="continuationSeparator" w:id="0">
    <w:p w14:paraId="5BA8F55F" w14:textId="77777777" w:rsidR="00C058B9" w:rsidRDefault="00C0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800681" w14:paraId="49902402" w14:textId="77777777" w:rsidTr="00E47DB3">
      <w:trPr>
        <w:trHeight w:val="567"/>
      </w:trPr>
      <w:tc>
        <w:tcPr>
          <w:tcW w:w="9921" w:type="dxa"/>
        </w:tcPr>
        <w:p w14:paraId="5EFDCC36" w14:textId="77777777" w:rsidR="00E92EC4" w:rsidRPr="00E47DB3" w:rsidRDefault="00061A8D"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7</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7</w:t>
          </w:r>
          <w:r w:rsidRPr="00E47DB3">
            <w:rPr>
              <w:rFonts w:ascii="Arial" w:hAnsi="Arial" w:cs="Arial"/>
              <w:color w:val="808080"/>
              <w:sz w:val="16"/>
            </w:rPr>
            <w:fldChar w:fldCharType="end"/>
          </w:r>
        </w:p>
      </w:tc>
    </w:tr>
  </w:tbl>
  <w:p w14:paraId="39C24C40" w14:textId="77777777" w:rsidR="00E92EC4" w:rsidRDefault="00E92E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0CCF" w14:textId="77777777" w:rsidR="00E92EC4" w:rsidRPr="0013291F" w:rsidRDefault="00061A8D" w:rsidP="00BE3C89">
    <w:pPr>
      <w:pBdr>
        <w:bottom w:val="single" w:sz="4" w:space="1" w:color="auto"/>
      </w:pBdr>
      <w:spacing w:line="180" w:lineRule="exact"/>
      <w:rPr>
        <w:sz w:val="22"/>
      </w:rPr>
    </w:pPr>
    <w:r w:rsidRPr="0013291F">
      <w:rPr>
        <w:rFonts w:ascii="Arial" w:hAnsi="Arial"/>
        <w:noProof/>
        <w:color w:val="000000"/>
        <w:sz w:val="14"/>
      </w:rPr>
      <w:t>CORE02</w:t>
    </w:r>
  </w:p>
  <w:tbl>
    <w:tblPr>
      <w:tblW w:w="0" w:type="auto"/>
      <w:tblLayout w:type="fixed"/>
      <w:tblCellMar>
        <w:left w:w="70" w:type="dxa"/>
        <w:right w:w="70" w:type="dxa"/>
      </w:tblCellMar>
      <w:tblLook w:val="0000" w:firstRow="0" w:lastRow="0" w:firstColumn="0" w:lastColumn="0" w:noHBand="0" w:noVBand="0"/>
    </w:tblPr>
    <w:tblGrid>
      <w:gridCol w:w="3402"/>
      <w:gridCol w:w="3686"/>
      <w:gridCol w:w="2268"/>
    </w:tblGrid>
    <w:tr w:rsidR="00800681" w14:paraId="28D866DB" w14:textId="77777777" w:rsidTr="00E06F7B">
      <w:trPr>
        <w:trHeight w:val="433"/>
      </w:trPr>
      <w:tc>
        <w:tcPr>
          <w:tcW w:w="3402" w:type="dxa"/>
        </w:tcPr>
        <w:p w14:paraId="720BE8C0" w14:textId="77777777" w:rsidR="00E06F7B" w:rsidRPr="0013291F" w:rsidRDefault="00E06F7B" w:rsidP="00E06F7B">
          <w:pPr>
            <w:pStyle w:val="Textoindependiente"/>
            <w:spacing w:after="113" w:line="220" w:lineRule="exact"/>
            <w:ind w:left="11"/>
            <w:jc w:val="left"/>
            <w:rPr>
              <w:rFonts w:cs="Arial"/>
              <w:b/>
              <w:sz w:val="16"/>
              <w:szCs w:val="16"/>
            </w:rPr>
          </w:pPr>
          <w:r>
            <w:rPr>
              <w:rFonts w:cs="Arial"/>
              <w:b/>
              <w:sz w:val="16"/>
              <w:szCs w:val="16"/>
            </w:rPr>
            <w:t>Nekazari</w:t>
          </w:r>
          <w:r w:rsidRPr="0013291F">
            <w:rPr>
              <w:rFonts w:cs="Arial"/>
              <w:b/>
              <w:sz w:val="16"/>
              <w:szCs w:val="16"/>
            </w:rPr>
            <w:t>tza Saila</w:t>
          </w:r>
        </w:p>
        <w:p w14:paraId="4662ADAF" w14:textId="4DECFEE4" w:rsidR="00E92EC4" w:rsidRPr="0013291F" w:rsidRDefault="00E06F7B" w:rsidP="00E06F7B">
          <w:pPr>
            <w:pStyle w:val="Textoindependiente"/>
            <w:spacing w:after="113" w:line="220" w:lineRule="exact"/>
            <w:ind w:left="11"/>
            <w:jc w:val="left"/>
            <w:rPr>
              <w:rFonts w:cs="Arial"/>
              <w:sz w:val="16"/>
              <w:szCs w:val="16"/>
            </w:rPr>
          </w:pPr>
          <w:r w:rsidRPr="0013291F">
            <w:rPr>
              <w:rFonts w:cs="Arial"/>
              <w:b/>
              <w:sz w:val="16"/>
              <w:szCs w:val="16"/>
            </w:rPr>
            <w:t xml:space="preserve">Departamento de </w:t>
          </w:r>
          <w:r>
            <w:rPr>
              <w:rFonts w:cs="Arial"/>
              <w:b/>
              <w:sz w:val="16"/>
              <w:szCs w:val="16"/>
            </w:rPr>
            <w:t>Agricultura</w:t>
          </w:r>
        </w:p>
      </w:tc>
      <w:tc>
        <w:tcPr>
          <w:tcW w:w="3686" w:type="dxa"/>
        </w:tcPr>
        <w:p w14:paraId="547DFBAB" w14:textId="77777777" w:rsidR="00E06F7B" w:rsidRPr="0013291F" w:rsidRDefault="00E06F7B" w:rsidP="00E06F7B">
          <w:pPr>
            <w:pStyle w:val="Textoindependiente"/>
            <w:spacing w:before="20" w:after="70" w:line="200" w:lineRule="exact"/>
            <w:ind w:left="40"/>
            <w:jc w:val="left"/>
            <w:rPr>
              <w:rFonts w:cs="Arial"/>
              <w:sz w:val="16"/>
              <w:szCs w:val="16"/>
            </w:rPr>
          </w:pPr>
          <w:r>
            <w:rPr>
              <w:rFonts w:cs="Arial"/>
              <w:sz w:val="16"/>
              <w:szCs w:val="16"/>
            </w:rPr>
            <w:t>Nekazaritza Teknikoko Zerbitzua</w:t>
          </w:r>
        </w:p>
        <w:p w14:paraId="72960FBB" w14:textId="002CB028" w:rsidR="00E92EC4" w:rsidRPr="0013291F" w:rsidRDefault="00E06F7B" w:rsidP="00E06F7B">
          <w:pPr>
            <w:pStyle w:val="Textoindependiente"/>
            <w:spacing w:before="20" w:after="70" w:line="200" w:lineRule="exact"/>
            <w:ind w:left="40"/>
            <w:jc w:val="left"/>
            <w:rPr>
              <w:rFonts w:cs="Arial"/>
              <w:sz w:val="16"/>
              <w:szCs w:val="16"/>
            </w:rPr>
          </w:pPr>
          <w:r>
            <w:rPr>
              <w:rFonts w:cs="Arial"/>
              <w:sz w:val="16"/>
              <w:szCs w:val="16"/>
            </w:rPr>
            <w:t>Secretaría Técnica de Agricultura</w:t>
          </w:r>
        </w:p>
      </w:tc>
      <w:tc>
        <w:tcPr>
          <w:tcW w:w="2268" w:type="dxa"/>
        </w:tcPr>
        <w:p w14:paraId="35C6B243" w14:textId="77777777" w:rsidR="00E06F7B" w:rsidRPr="0013291F" w:rsidRDefault="00E06F7B" w:rsidP="00E06F7B">
          <w:pPr>
            <w:pStyle w:val="Piedepgina"/>
            <w:spacing w:after="2" w:line="220" w:lineRule="exact"/>
            <w:ind w:left="40"/>
            <w:rPr>
              <w:rFonts w:ascii="Arial" w:hAnsi="Arial" w:cs="Arial"/>
              <w:noProof/>
              <w:sz w:val="14"/>
              <w:szCs w:val="14"/>
            </w:rPr>
          </w:pPr>
          <w:r w:rsidRPr="0013291F">
            <w:rPr>
              <w:rFonts w:ascii="Arial" w:hAnsi="Arial" w:cs="Arial"/>
              <w:noProof/>
              <w:sz w:val="14"/>
              <w:szCs w:val="14"/>
            </w:rPr>
            <w:t xml:space="preserve">Probintzia plaza, </w:t>
          </w:r>
          <w:r>
            <w:rPr>
              <w:rFonts w:ascii="Arial" w:hAnsi="Arial" w:cs="Arial"/>
              <w:noProof/>
              <w:sz w:val="14"/>
              <w:szCs w:val="14"/>
            </w:rPr>
            <w:t>4 1º iz</w:t>
          </w:r>
        </w:p>
        <w:p w14:paraId="22B18304" w14:textId="77777777" w:rsidR="00E06F7B" w:rsidRPr="0013291F" w:rsidRDefault="00E06F7B" w:rsidP="00E06F7B">
          <w:pPr>
            <w:pStyle w:val="Piedepgina"/>
            <w:spacing w:after="2" w:line="220" w:lineRule="exact"/>
            <w:ind w:left="40"/>
            <w:rPr>
              <w:rFonts w:ascii="Arial" w:hAnsi="Arial" w:cs="Arial"/>
              <w:noProof/>
              <w:sz w:val="14"/>
              <w:szCs w:val="14"/>
            </w:rPr>
          </w:pPr>
          <w:r w:rsidRPr="0013291F">
            <w:rPr>
              <w:rFonts w:ascii="Arial" w:hAnsi="Arial" w:cs="Arial"/>
              <w:noProof/>
              <w:sz w:val="14"/>
              <w:szCs w:val="14"/>
            </w:rPr>
            <w:t>01001 Vitoria-Gasteiz</w:t>
          </w:r>
        </w:p>
        <w:p w14:paraId="7B669112" w14:textId="0EFBFFA8" w:rsidR="00E92EC4" w:rsidRPr="0013291F" w:rsidRDefault="00E06F7B" w:rsidP="00E06F7B">
          <w:pPr>
            <w:pStyle w:val="Piedepgina"/>
            <w:spacing w:after="2" w:line="220" w:lineRule="exact"/>
            <w:ind w:left="40"/>
            <w:rPr>
              <w:rFonts w:ascii="Arial" w:hAnsi="Arial" w:cs="Arial"/>
              <w:sz w:val="22"/>
            </w:rPr>
          </w:pPr>
          <w:r w:rsidRPr="0013291F">
            <w:rPr>
              <w:rFonts w:ascii="Arial" w:hAnsi="Arial" w:cs="Arial"/>
              <w:noProof/>
              <w:sz w:val="14"/>
              <w:szCs w:val="14"/>
            </w:rPr>
            <w:t>Tel.: 945 18 18 18</w:t>
          </w:r>
        </w:p>
      </w:tc>
    </w:tr>
  </w:tbl>
  <w:p w14:paraId="10EEB38E" w14:textId="77777777" w:rsidR="00E92EC4" w:rsidRPr="00BE3C89" w:rsidRDefault="00E92EC4"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874C5" w14:textId="77777777" w:rsidR="00C058B9" w:rsidRDefault="00C058B9">
      <w:r>
        <w:separator/>
      </w:r>
    </w:p>
  </w:footnote>
  <w:footnote w:type="continuationSeparator" w:id="0">
    <w:p w14:paraId="7610F70A" w14:textId="77777777" w:rsidR="00C058B9" w:rsidRDefault="00C05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800681" w14:paraId="4125A96C" w14:textId="77777777" w:rsidTr="001A0E0E">
      <w:trPr>
        <w:cantSplit/>
        <w:trHeight w:hRule="exact" w:val="567"/>
      </w:trPr>
      <w:tc>
        <w:tcPr>
          <w:tcW w:w="4536" w:type="dxa"/>
          <w:vAlign w:val="center"/>
        </w:tcPr>
        <w:p w14:paraId="77575366" w14:textId="77777777" w:rsidR="00E92EC4" w:rsidRDefault="00E92EC4" w:rsidP="0078412B">
          <w:pPr>
            <w:pStyle w:val="Encabezado"/>
          </w:pPr>
        </w:p>
      </w:tc>
      <w:tc>
        <w:tcPr>
          <w:tcW w:w="851" w:type="dxa"/>
          <w:vMerge w:val="restart"/>
          <w:vAlign w:val="center"/>
        </w:tcPr>
        <w:p w14:paraId="6C2759B4" w14:textId="77777777" w:rsidR="00E92EC4" w:rsidRDefault="00061A8D" w:rsidP="0078412B">
          <w:pPr>
            <w:pStyle w:val="Encabezado"/>
            <w:jc w:val="center"/>
          </w:pPr>
          <w:r>
            <w:rPr>
              <w:noProof/>
              <w:lang w:val="es-ES"/>
            </w:rPr>
            <w:drawing>
              <wp:inline distT="0" distB="0" distL="0" distR="0" wp14:anchorId="41801AC7" wp14:editId="6A901630">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3CA92CBA" w14:textId="77777777" w:rsidR="00E92EC4" w:rsidRDefault="00E92EC4" w:rsidP="0078412B">
          <w:pPr>
            <w:pStyle w:val="Encabezado"/>
          </w:pPr>
        </w:p>
      </w:tc>
    </w:tr>
    <w:tr w:rsidR="00800681" w14:paraId="11340D62" w14:textId="77777777" w:rsidTr="001A0E0E">
      <w:trPr>
        <w:cantSplit/>
        <w:trHeight w:hRule="exact" w:val="567"/>
      </w:trPr>
      <w:tc>
        <w:tcPr>
          <w:tcW w:w="4536" w:type="dxa"/>
          <w:vAlign w:val="center"/>
        </w:tcPr>
        <w:p w14:paraId="5CE16382" w14:textId="77777777" w:rsidR="00E92EC4" w:rsidRDefault="00E92EC4" w:rsidP="0078412B">
          <w:pPr>
            <w:pStyle w:val="Encabezado"/>
          </w:pPr>
        </w:p>
      </w:tc>
      <w:tc>
        <w:tcPr>
          <w:tcW w:w="851" w:type="dxa"/>
          <w:vMerge/>
          <w:vAlign w:val="center"/>
        </w:tcPr>
        <w:p w14:paraId="4DB352CF" w14:textId="77777777" w:rsidR="00E92EC4" w:rsidRDefault="00E92EC4" w:rsidP="0078412B">
          <w:pPr>
            <w:pStyle w:val="Encabezado"/>
            <w:jc w:val="center"/>
          </w:pPr>
        </w:p>
      </w:tc>
      <w:tc>
        <w:tcPr>
          <w:tcW w:w="4536" w:type="dxa"/>
          <w:vAlign w:val="center"/>
        </w:tcPr>
        <w:p w14:paraId="737CAE35" w14:textId="77777777" w:rsidR="00E92EC4" w:rsidRDefault="00E92EC4" w:rsidP="0078412B">
          <w:pPr>
            <w:pStyle w:val="Encabezado"/>
          </w:pPr>
        </w:p>
      </w:tc>
    </w:tr>
  </w:tbl>
  <w:p w14:paraId="14F23242" w14:textId="77777777" w:rsidR="00E92EC4" w:rsidRPr="0013766D" w:rsidRDefault="00E92EC4">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800681" w14:paraId="4548C10E" w14:textId="77777777" w:rsidTr="001F2BE9">
      <w:trPr>
        <w:trHeight w:val="2041"/>
      </w:trPr>
      <w:tc>
        <w:tcPr>
          <w:tcW w:w="3969" w:type="dxa"/>
        </w:tcPr>
        <w:p w14:paraId="44AA33EB" w14:textId="77777777" w:rsidR="00E92EC4" w:rsidRPr="007F2571" w:rsidRDefault="00061A8D"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34B01DBC" wp14:editId="63717728">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5096985C" w14:textId="77777777" w:rsidR="00E92EC4" w:rsidRDefault="00E92EC4" w:rsidP="00470015">
          <w:pPr>
            <w:pStyle w:val="Piedepgina"/>
            <w:rPr>
              <w:rFonts w:ascii="Arial" w:hAnsi="Arial" w:cs="Arial"/>
              <w:b/>
              <w:bCs/>
              <w:color w:val="808080" w:themeColor="background1" w:themeShade="80"/>
              <w:sz w:val="12"/>
              <w:szCs w:val="12"/>
              <w:lang w:val="es-ES"/>
            </w:rPr>
          </w:pPr>
        </w:p>
        <w:p w14:paraId="3C5FE108" w14:textId="77777777" w:rsidR="00E92EC4" w:rsidRPr="000B6392" w:rsidRDefault="00E92EC4" w:rsidP="00470015">
          <w:pPr>
            <w:pStyle w:val="Encabezado"/>
            <w:rPr>
              <w:rFonts w:ascii="Arial" w:hAnsi="Arial" w:cs="Arial"/>
              <w:b/>
              <w:color w:val="808080" w:themeColor="background1" w:themeShade="80"/>
              <w:sz w:val="16"/>
              <w:szCs w:val="16"/>
            </w:rPr>
          </w:pPr>
        </w:p>
      </w:tc>
    </w:tr>
  </w:tbl>
  <w:p w14:paraId="13230510" w14:textId="77777777" w:rsidR="00E92EC4" w:rsidRPr="0013766D" w:rsidRDefault="00E92EC4"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EE8"/>
    <w:multiLevelType w:val="hybridMultilevel"/>
    <w:tmpl w:val="0EB4665A"/>
    <w:lvl w:ilvl="0" w:tplc="C30A10F0">
      <w:start w:val="1001"/>
      <w:numFmt w:val="bullet"/>
      <w:lvlText w:val="-"/>
      <w:lvlJc w:val="left"/>
      <w:pPr>
        <w:ind w:left="1080" w:hanging="360"/>
      </w:pPr>
      <w:rPr>
        <w:rFonts w:ascii="Tms Rmn" w:eastAsia="Times New Roman" w:hAnsi="Tms Rm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6A21499E"/>
    <w:multiLevelType w:val="hybridMultilevel"/>
    <w:tmpl w:val="CF7A3054"/>
    <w:lvl w:ilvl="0" w:tplc="C30A10F0">
      <w:start w:val="1001"/>
      <w:numFmt w:val="bullet"/>
      <w:lvlText w:val="-"/>
      <w:lvlJc w:val="left"/>
      <w:pPr>
        <w:ind w:left="1776" w:hanging="360"/>
      </w:pPr>
      <w:rPr>
        <w:rFonts w:ascii="Tms Rmn" w:eastAsia="Times New Roman" w:hAnsi="Tms Rm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6AAC21F7"/>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6AAC21F8"/>
    <w:multiLevelType w:val="hybridMultilevel"/>
    <w:tmpl w:val="A6DA643A"/>
    <w:lvl w:ilvl="0" w:tplc="5FD02278">
      <w:start w:val="1"/>
      <w:numFmt w:val="bullet"/>
      <w:lvlText w:val=""/>
      <w:lvlJc w:val="left"/>
      <w:pPr>
        <w:ind w:left="720" w:hanging="360"/>
      </w:pPr>
      <w:rPr>
        <w:rFonts w:ascii="Symbol" w:hAnsi="Symbol" w:hint="default"/>
      </w:rPr>
    </w:lvl>
    <w:lvl w:ilvl="1" w:tplc="AF1668EC" w:tentative="1">
      <w:start w:val="1"/>
      <w:numFmt w:val="bullet"/>
      <w:lvlText w:val="o"/>
      <w:lvlJc w:val="left"/>
      <w:pPr>
        <w:ind w:left="1440" w:hanging="360"/>
      </w:pPr>
      <w:rPr>
        <w:rFonts w:ascii="Courier New" w:hAnsi="Courier New" w:cs="Courier New" w:hint="default"/>
      </w:rPr>
    </w:lvl>
    <w:lvl w:ilvl="2" w:tplc="92F07614" w:tentative="1">
      <w:start w:val="1"/>
      <w:numFmt w:val="bullet"/>
      <w:lvlText w:val=""/>
      <w:lvlJc w:val="left"/>
      <w:pPr>
        <w:ind w:left="2160" w:hanging="360"/>
      </w:pPr>
      <w:rPr>
        <w:rFonts w:ascii="Wingdings" w:hAnsi="Wingdings" w:hint="default"/>
      </w:rPr>
    </w:lvl>
    <w:lvl w:ilvl="3" w:tplc="73ACFCE4" w:tentative="1">
      <w:start w:val="1"/>
      <w:numFmt w:val="bullet"/>
      <w:lvlText w:val=""/>
      <w:lvlJc w:val="left"/>
      <w:pPr>
        <w:ind w:left="2880" w:hanging="360"/>
      </w:pPr>
      <w:rPr>
        <w:rFonts w:ascii="Symbol" w:hAnsi="Symbol" w:hint="default"/>
      </w:rPr>
    </w:lvl>
    <w:lvl w:ilvl="4" w:tplc="4B3E1AF6" w:tentative="1">
      <w:start w:val="1"/>
      <w:numFmt w:val="bullet"/>
      <w:lvlText w:val="o"/>
      <w:lvlJc w:val="left"/>
      <w:pPr>
        <w:ind w:left="3600" w:hanging="360"/>
      </w:pPr>
      <w:rPr>
        <w:rFonts w:ascii="Courier New" w:hAnsi="Courier New" w:cs="Courier New" w:hint="default"/>
      </w:rPr>
    </w:lvl>
    <w:lvl w:ilvl="5" w:tplc="9FC8378A" w:tentative="1">
      <w:start w:val="1"/>
      <w:numFmt w:val="bullet"/>
      <w:lvlText w:val=""/>
      <w:lvlJc w:val="left"/>
      <w:pPr>
        <w:ind w:left="4320" w:hanging="360"/>
      </w:pPr>
      <w:rPr>
        <w:rFonts w:ascii="Wingdings" w:hAnsi="Wingdings" w:hint="default"/>
      </w:rPr>
    </w:lvl>
    <w:lvl w:ilvl="6" w:tplc="2D2A0238" w:tentative="1">
      <w:start w:val="1"/>
      <w:numFmt w:val="bullet"/>
      <w:lvlText w:val=""/>
      <w:lvlJc w:val="left"/>
      <w:pPr>
        <w:ind w:left="5040" w:hanging="360"/>
      </w:pPr>
      <w:rPr>
        <w:rFonts w:ascii="Symbol" w:hAnsi="Symbol" w:hint="default"/>
      </w:rPr>
    </w:lvl>
    <w:lvl w:ilvl="7" w:tplc="90E2C230" w:tentative="1">
      <w:start w:val="1"/>
      <w:numFmt w:val="bullet"/>
      <w:lvlText w:val="o"/>
      <w:lvlJc w:val="left"/>
      <w:pPr>
        <w:ind w:left="5760" w:hanging="360"/>
      </w:pPr>
      <w:rPr>
        <w:rFonts w:ascii="Courier New" w:hAnsi="Courier New" w:cs="Courier New" w:hint="default"/>
      </w:rPr>
    </w:lvl>
    <w:lvl w:ilvl="8" w:tplc="20BE633C" w:tentative="1">
      <w:start w:val="1"/>
      <w:numFmt w:val="bullet"/>
      <w:lvlText w:val=""/>
      <w:lvlJc w:val="left"/>
      <w:pPr>
        <w:ind w:left="6480" w:hanging="360"/>
      </w:pPr>
      <w:rPr>
        <w:rFonts w:ascii="Wingdings" w:hAnsi="Wingdings" w:hint="default"/>
      </w:rPr>
    </w:lvl>
  </w:abstractNum>
  <w:abstractNum w:abstractNumId="7" w15:restartNumberingAfterBreak="0">
    <w:nsid w:val="6AAC21F9"/>
    <w:multiLevelType w:val="hybridMultilevel"/>
    <w:tmpl w:val="8A02D55A"/>
    <w:lvl w:ilvl="0" w:tplc="9AD434C0">
      <w:start w:val="1"/>
      <w:numFmt w:val="bullet"/>
      <w:lvlText w:val=""/>
      <w:lvlJc w:val="left"/>
      <w:pPr>
        <w:ind w:left="720" w:hanging="360"/>
      </w:pPr>
      <w:rPr>
        <w:rFonts w:ascii="Symbol" w:hAnsi="Symbol" w:hint="default"/>
      </w:rPr>
    </w:lvl>
    <w:lvl w:ilvl="1" w:tplc="1C7058BA" w:tentative="1">
      <w:start w:val="1"/>
      <w:numFmt w:val="bullet"/>
      <w:lvlText w:val="o"/>
      <w:lvlJc w:val="left"/>
      <w:pPr>
        <w:ind w:left="1440" w:hanging="360"/>
      </w:pPr>
      <w:rPr>
        <w:rFonts w:ascii="Courier New" w:hAnsi="Courier New" w:cs="Courier New" w:hint="default"/>
      </w:rPr>
    </w:lvl>
    <w:lvl w:ilvl="2" w:tplc="62E2DBBA" w:tentative="1">
      <w:start w:val="1"/>
      <w:numFmt w:val="bullet"/>
      <w:lvlText w:val=""/>
      <w:lvlJc w:val="left"/>
      <w:pPr>
        <w:ind w:left="2160" w:hanging="360"/>
      </w:pPr>
      <w:rPr>
        <w:rFonts w:ascii="Wingdings" w:hAnsi="Wingdings" w:hint="default"/>
      </w:rPr>
    </w:lvl>
    <w:lvl w:ilvl="3" w:tplc="1A42DFEC" w:tentative="1">
      <w:start w:val="1"/>
      <w:numFmt w:val="bullet"/>
      <w:lvlText w:val=""/>
      <w:lvlJc w:val="left"/>
      <w:pPr>
        <w:ind w:left="2880" w:hanging="360"/>
      </w:pPr>
      <w:rPr>
        <w:rFonts w:ascii="Symbol" w:hAnsi="Symbol" w:hint="default"/>
      </w:rPr>
    </w:lvl>
    <w:lvl w:ilvl="4" w:tplc="DBA04062" w:tentative="1">
      <w:start w:val="1"/>
      <w:numFmt w:val="bullet"/>
      <w:lvlText w:val="o"/>
      <w:lvlJc w:val="left"/>
      <w:pPr>
        <w:ind w:left="3600" w:hanging="360"/>
      </w:pPr>
      <w:rPr>
        <w:rFonts w:ascii="Courier New" w:hAnsi="Courier New" w:cs="Courier New" w:hint="default"/>
      </w:rPr>
    </w:lvl>
    <w:lvl w:ilvl="5" w:tplc="6E22AA6A" w:tentative="1">
      <w:start w:val="1"/>
      <w:numFmt w:val="bullet"/>
      <w:lvlText w:val=""/>
      <w:lvlJc w:val="left"/>
      <w:pPr>
        <w:ind w:left="4320" w:hanging="360"/>
      </w:pPr>
      <w:rPr>
        <w:rFonts w:ascii="Wingdings" w:hAnsi="Wingdings" w:hint="default"/>
      </w:rPr>
    </w:lvl>
    <w:lvl w:ilvl="6" w:tplc="56A0934A" w:tentative="1">
      <w:start w:val="1"/>
      <w:numFmt w:val="bullet"/>
      <w:lvlText w:val=""/>
      <w:lvlJc w:val="left"/>
      <w:pPr>
        <w:ind w:left="5040" w:hanging="360"/>
      </w:pPr>
      <w:rPr>
        <w:rFonts w:ascii="Symbol" w:hAnsi="Symbol" w:hint="default"/>
      </w:rPr>
    </w:lvl>
    <w:lvl w:ilvl="7" w:tplc="06CAF672" w:tentative="1">
      <w:start w:val="1"/>
      <w:numFmt w:val="bullet"/>
      <w:lvlText w:val="o"/>
      <w:lvlJc w:val="left"/>
      <w:pPr>
        <w:ind w:left="5760" w:hanging="360"/>
      </w:pPr>
      <w:rPr>
        <w:rFonts w:ascii="Courier New" w:hAnsi="Courier New" w:cs="Courier New" w:hint="default"/>
      </w:rPr>
    </w:lvl>
    <w:lvl w:ilvl="8" w:tplc="20FA61AE" w:tentative="1">
      <w:start w:val="1"/>
      <w:numFmt w:val="bullet"/>
      <w:lvlText w:val=""/>
      <w:lvlJc w:val="left"/>
      <w:pPr>
        <w:ind w:left="6480" w:hanging="360"/>
      </w:pPr>
      <w:rPr>
        <w:rFonts w:ascii="Wingdings" w:hAnsi="Wingdings" w:hint="default"/>
      </w:rPr>
    </w:lvl>
  </w:abstractNum>
  <w:abstractNum w:abstractNumId="8" w15:restartNumberingAfterBreak="0">
    <w:nsid w:val="6AAC21FA"/>
    <w:multiLevelType w:val="hybridMultilevel"/>
    <w:tmpl w:val="618A57C2"/>
    <w:lvl w:ilvl="0" w:tplc="4754D1F8">
      <w:start w:val="1"/>
      <w:numFmt w:val="bullet"/>
      <w:lvlText w:val=""/>
      <w:lvlJc w:val="left"/>
      <w:pPr>
        <w:ind w:left="720" w:hanging="360"/>
      </w:pPr>
      <w:rPr>
        <w:rFonts w:ascii="Symbol" w:hAnsi="Symbol" w:hint="default"/>
      </w:rPr>
    </w:lvl>
    <w:lvl w:ilvl="1" w:tplc="A4C830BA" w:tentative="1">
      <w:start w:val="1"/>
      <w:numFmt w:val="bullet"/>
      <w:lvlText w:val="o"/>
      <w:lvlJc w:val="left"/>
      <w:pPr>
        <w:ind w:left="1440" w:hanging="360"/>
      </w:pPr>
      <w:rPr>
        <w:rFonts w:ascii="Courier New" w:hAnsi="Courier New" w:cs="Courier New" w:hint="default"/>
      </w:rPr>
    </w:lvl>
    <w:lvl w:ilvl="2" w:tplc="C938EADE" w:tentative="1">
      <w:start w:val="1"/>
      <w:numFmt w:val="bullet"/>
      <w:lvlText w:val=""/>
      <w:lvlJc w:val="left"/>
      <w:pPr>
        <w:ind w:left="2160" w:hanging="360"/>
      </w:pPr>
      <w:rPr>
        <w:rFonts w:ascii="Wingdings" w:hAnsi="Wingdings" w:hint="default"/>
      </w:rPr>
    </w:lvl>
    <w:lvl w:ilvl="3" w:tplc="F662D2FC" w:tentative="1">
      <w:start w:val="1"/>
      <w:numFmt w:val="bullet"/>
      <w:lvlText w:val=""/>
      <w:lvlJc w:val="left"/>
      <w:pPr>
        <w:ind w:left="2880" w:hanging="360"/>
      </w:pPr>
      <w:rPr>
        <w:rFonts w:ascii="Symbol" w:hAnsi="Symbol" w:hint="default"/>
      </w:rPr>
    </w:lvl>
    <w:lvl w:ilvl="4" w:tplc="C966EBBC" w:tentative="1">
      <w:start w:val="1"/>
      <w:numFmt w:val="bullet"/>
      <w:lvlText w:val="o"/>
      <w:lvlJc w:val="left"/>
      <w:pPr>
        <w:ind w:left="3600" w:hanging="360"/>
      </w:pPr>
      <w:rPr>
        <w:rFonts w:ascii="Courier New" w:hAnsi="Courier New" w:cs="Courier New" w:hint="default"/>
      </w:rPr>
    </w:lvl>
    <w:lvl w:ilvl="5" w:tplc="20C0DCD2" w:tentative="1">
      <w:start w:val="1"/>
      <w:numFmt w:val="bullet"/>
      <w:lvlText w:val=""/>
      <w:lvlJc w:val="left"/>
      <w:pPr>
        <w:ind w:left="4320" w:hanging="360"/>
      </w:pPr>
      <w:rPr>
        <w:rFonts w:ascii="Wingdings" w:hAnsi="Wingdings" w:hint="default"/>
      </w:rPr>
    </w:lvl>
    <w:lvl w:ilvl="6" w:tplc="F0FA52E8" w:tentative="1">
      <w:start w:val="1"/>
      <w:numFmt w:val="bullet"/>
      <w:lvlText w:val=""/>
      <w:lvlJc w:val="left"/>
      <w:pPr>
        <w:ind w:left="5040" w:hanging="360"/>
      </w:pPr>
      <w:rPr>
        <w:rFonts w:ascii="Symbol" w:hAnsi="Symbol" w:hint="default"/>
      </w:rPr>
    </w:lvl>
    <w:lvl w:ilvl="7" w:tplc="F486659A" w:tentative="1">
      <w:start w:val="1"/>
      <w:numFmt w:val="bullet"/>
      <w:lvlText w:val="o"/>
      <w:lvlJc w:val="left"/>
      <w:pPr>
        <w:ind w:left="5760" w:hanging="360"/>
      </w:pPr>
      <w:rPr>
        <w:rFonts w:ascii="Courier New" w:hAnsi="Courier New" w:cs="Courier New" w:hint="default"/>
      </w:rPr>
    </w:lvl>
    <w:lvl w:ilvl="8" w:tplc="3CC6DBD4" w:tentative="1">
      <w:start w:val="1"/>
      <w:numFmt w:val="bullet"/>
      <w:lvlText w:val=""/>
      <w:lvlJc w:val="left"/>
      <w:pPr>
        <w:ind w:left="6480" w:hanging="360"/>
      </w:pPr>
      <w:rPr>
        <w:rFonts w:ascii="Wingdings" w:hAnsi="Wingdings" w:hint="default"/>
      </w:rPr>
    </w:lvl>
  </w:abstractNum>
  <w:abstractNum w:abstractNumId="9" w15:restartNumberingAfterBreak="0">
    <w:nsid w:val="6AAC21FB"/>
    <w:multiLevelType w:val="hybridMultilevel"/>
    <w:tmpl w:val="CD98B84A"/>
    <w:lvl w:ilvl="0" w:tplc="BB80BE9A">
      <w:start w:val="1"/>
      <w:numFmt w:val="bullet"/>
      <w:lvlText w:val=""/>
      <w:lvlJc w:val="left"/>
      <w:pPr>
        <w:ind w:left="720" w:hanging="360"/>
      </w:pPr>
      <w:rPr>
        <w:rFonts w:ascii="Symbol" w:hAnsi="Symbol" w:hint="default"/>
      </w:rPr>
    </w:lvl>
    <w:lvl w:ilvl="1" w:tplc="9BFE0282" w:tentative="1">
      <w:start w:val="1"/>
      <w:numFmt w:val="bullet"/>
      <w:lvlText w:val="o"/>
      <w:lvlJc w:val="left"/>
      <w:pPr>
        <w:ind w:left="1440" w:hanging="360"/>
      </w:pPr>
      <w:rPr>
        <w:rFonts w:ascii="Courier New" w:hAnsi="Courier New" w:cs="Courier New" w:hint="default"/>
      </w:rPr>
    </w:lvl>
    <w:lvl w:ilvl="2" w:tplc="757A6F1C" w:tentative="1">
      <w:start w:val="1"/>
      <w:numFmt w:val="bullet"/>
      <w:lvlText w:val=""/>
      <w:lvlJc w:val="left"/>
      <w:pPr>
        <w:ind w:left="2160" w:hanging="360"/>
      </w:pPr>
      <w:rPr>
        <w:rFonts w:ascii="Wingdings" w:hAnsi="Wingdings" w:hint="default"/>
      </w:rPr>
    </w:lvl>
    <w:lvl w:ilvl="3" w:tplc="141232DC" w:tentative="1">
      <w:start w:val="1"/>
      <w:numFmt w:val="bullet"/>
      <w:lvlText w:val=""/>
      <w:lvlJc w:val="left"/>
      <w:pPr>
        <w:ind w:left="2880" w:hanging="360"/>
      </w:pPr>
      <w:rPr>
        <w:rFonts w:ascii="Symbol" w:hAnsi="Symbol" w:hint="default"/>
      </w:rPr>
    </w:lvl>
    <w:lvl w:ilvl="4" w:tplc="82FED6FA" w:tentative="1">
      <w:start w:val="1"/>
      <w:numFmt w:val="bullet"/>
      <w:lvlText w:val="o"/>
      <w:lvlJc w:val="left"/>
      <w:pPr>
        <w:ind w:left="3600" w:hanging="360"/>
      </w:pPr>
      <w:rPr>
        <w:rFonts w:ascii="Courier New" w:hAnsi="Courier New" w:cs="Courier New" w:hint="default"/>
      </w:rPr>
    </w:lvl>
    <w:lvl w:ilvl="5" w:tplc="C63EBD4A" w:tentative="1">
      <w:start w:val="1"/>
      <w:numFmt w:val="bullet"/>
      <w:lvlText w:val=""/>
      <w:lvlJc w:val="left"/>
      <w:pPr>
        <w:ind w:left="4320" w:hanging="360"/>
      </w:pPr>
      <w:rPr>
        <w:rFonts w:ascii="Wingdings" w:hAnsi="Wingdings" w:hint="default"/>
      </w:rPr>
    </w:lvl>
    <w:lvl w:ilvl="6" w:tplc="3DA8C21C" w:tentative="1">
      <w:start w:val="1"/>
      <w:numFmt w:val="bullet"/>
      <w:lvlText w:val=""/>
      <w:lvlJc w:val="left"/>
      <w:pPr>
        <w:ind w:left="5040" w:hanging="360"/>
      </w:pPr>
      <w:rPr>
        <w:rFonts w:ascii="Symbol" w:hAnsi="Symbol" w:hint="default"/>
      </w:rPr>
    </w:lvl>
    <w:lvl w:ilvl="7" w:tplc="54C696C6" w:tentative="1">
      <w:start w:val="1"/>
      <w:numFmt w:val="bullet"/>
      <w:lvlText w:val="o"/>
      <w:lvlJc w:val="left"/>
      <w:pPr>
        <w:ind w:left="5760" w:hanging="360"/>
      </w:pPr>
      <w:rPr>
        <w:rFonts w:ascii="Courier New" w:hAnsi="Courier New" w:cs="Courier New" w:hint="default"/>
      </w:rPr>
    </w:lvl>
    <w:lvl w:ilvl="8" w:tplc="CF928CCC" w:tentative="1">
      <w:start w:val="1"/>
      <w:numFmt w:val="bullet"/>
      <w:lvlText w:val=""/>
      <w:lvlJc w:val="left"/>
      <w:pPr>
        <w:ind w:left="6480" w:hanging="360"/>
      </w:pPr>
      <w:rPr>
        <w:rFonts w:ascii="Wingdings" w:hAnsi="Wingdings" w:hint="default"/>
      </w:rPr>
    </w:lvl>
  </w:abstractNum>
  <w:abstractNum w:abstractNumId="10" w15:restartNumberingAfterBreak="0">
    <w:nsid w:val="6AAC21FC"/>
    <w:multiLevelType w:val="hybridMultilevel"/>
    <w:tmpl w:val="623ACBD2"/>
    <w:lvl w:ilvl="0" w:tplc="C55CD1AC">
      <w:start w:val="1"/>
      <w:numFmt w:val="lowerLetter"/>
      <w:lvlText w:val="%1)"/>
      <w:lvlJc w:val="left"/>
      <w:pPr>
        <w:ind w:left="720" w:hanging="360"/>
      </w:pPr>
    </w:lvl>
    <w:lvl w:ilvl="1" w:tplc="57B88EEE" w:tentative="1">
      <w:start w:val="1"/>
      <w:numFmt w:val="lowerLetter"/>
      <w:lvlText w:val="%2."/>
      <w:lvlJc w:val="left"/>
      <w:pPr>
        <w:ind w:left="1440" w:hanging="360"/>
      </w:pPr>
    </w:lvl>
    <w:lvl w:ilvl="2" w:tplc="E31ADEDE" w:tentative="1">
      <w:start w:val="1"/>
      <w:numFmt w:val="lowerRoman"/>
      <w:lvlText w:val="%3."/>
      <w:lvlJc w:val="right"/>
      <w:pPr>
        <w:ind w:left="2160" w:hanging="180"/>
      </w:pPr>
    </w:lvl>
    <w:lvl w:ilvl="3" w:tplc="95345B28" w:tentative="1">
      <w:start w:val="1"/>
      <w:numFmt w:val="decimal"/>
      <w:lvlText w:val="%4."/>
      <w:lvlJc w:val="left"/>
      <w:pPr>
        <w:ind w:left="2880" w:hanging="360"/>
      </w:pPr>
    </w:lvl>
    <w:lvl w:ilvl="4" w:tplc="9B28F97A" w:tentative="1">
      <w:start w:val="1"/>
      <w:numFmt w:val="lowerLetter"/>
      <w:lvlText w:val="%5."/>
      <w:lvlJc w:val="left"/>
      <w:pPr>
        <w:ind w:left="3600" w:hanging="360"/>
      </w:pPr>
    </w:lvl>
    <w:lvl w:ilvl="5" w:tplc="542E0076" w:tentative="1">
      <w:start w:val="1"/>
      <w:numFmt w:val="lowerRoman"/>
      <w:lvlText w:val="%6."/>
      <w:lvlJc w:val="right"/>
      <w:pPr>
        <w:ind w:left="4320" w:hanging="180"/>
      </w:pPr>
    </w:lvl>
    <w:lvl w:ilvl="6" w:tplc="FEFCA44E" w:tentative="1">
      <w:start w:val="1"/>
      <w:numFmt w:val="decimal"/>
      <w:lvlText w:val="%7."/>
      <w:lvlJc w:val="left"/>
      <w:pPr>
        <w:ind w:left="5040" w:hanging="360"/>
      </w:pPr>
    </w:lvl>
    <w:lvl w:ilvl="7" w:tplc="C02C0AE6" w:tentative="1">
      <w:start w:val="1"/>
      <w:numFmt w:val="lowerLetter"/>
      <w:lvlText w:val="%8."/>
      <w:lvlJc w:val="left"/>
      <w:pPr>
        <w:ind w:left="5760" w:hanging="360"/>
      </w:pPr>
    </w:lvl>
    <w:lvl w:ilvl="8" w:tplc="6846C318" w:tentative="1">
      <w:start w:val="1"/>
      <w:numFmt w:val="lowerRoman"/>
      <w:lvlText w:val="%9."/>
      <w:lvlJc w:val="right"/>
      <w:pPr>
        <w:ind w:left="6480" w:hanging="180"/>
      </w:pPr>
    </w:lvl>
  </w:abstractNum>
  <w:num w:numId="1" w16cid:durableId="1408843931">
    <w:abstractNumId w:val="1"/>
  </w:num>
  <w:num w:numId="2" w16cid:durableId="1335759876">
    <w:abstractNumId w:val="3"/>
  </w:num>
  <w:num w:numId="3" w16cid:durableId="1799831911">
    <w:abstractNumId w:val="2"/>
  </w:num>
  <w:num w:numId="4" w16cid:durableId="439884601">
    <w:abstractNumId w:val="5"/>
  </w:num>
  <w:num w:numId="5" w16cid:durableId="1354645502">
    <w:abstractNumId w:val="6"/>
  </w:num>
  <w:num w:numId="6" w16cid:durableId="770859789">
    <w:abstractNumId w:val="7"/>
  </w:num>
  <w:num w:numId="7" w16cid:durableId="77486092">
    <w:abstractNumId w:val="8"/>
  </w:num>
  <w:num w:numId="8" w16cid:durableId="218176049">
    <w:abstractNumId w:val="9"/>
  </w:num>
  <w:num w:numId="9" w16cid:durableId="1698890635">
    <w:abstractNumId w:val="10"/>
  </w:num>
  <w:num w:numId="10" w16cid:durableId="1378973092">
    <w:abstractNumId w:val="0"/>
  </w:num>
  <w:num w:numId="11" w16cid:durableId="1955167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81"/>
    <w:rsid w:val="00061A8D"/>
    <w:rsid w:val="00135AA6"/>
    <w:rsid w:val="00800681"/>
    <w:rsid w:val="008629F4"/>
    <w:rsid w:val="00B245C8"/>
    <w:rsid w:val="00C058B9"/>
    <w:rsid w:val="00D11AB9"/>
    <w:rsid w:val="00D153DF"/>
    <w:rsid w:val="00E06F7B"/>
    <w:rsid w:val="00E92EC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36957"/>
  <w15:docId w15:val="{7C01C282-0885-4C9F-9241-194AD509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Pr>
      <w:rFonts w:ascii="Times New Roman" w:hAnsi="Times New Roman" w:cs="Arial"/>
      <w:lang w:val="es-ES_tradnl" w:bidi="or-IN"/>
    </w:rPr>
  </w:style>
  <w:style w:type="paragraph" w:styleId="Prrafodelista">
    <w:name w:val="List Paragraph"/>
    <w:basedOn w:val="Normal0"/>
    <w:uiPriority w:val="34"/>
    <w:qFormat/>
    <w:rsid w:val="00265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6F1B6-9700-488A-AA28-044F6D42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8</TotalTime>
  <Pages>7</Pages>
  <Words>3099</Words>
  <Characters>17149</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2026-03-16T11:59:00Z</dcterms:created>
  <dcterms:modified xsi:type="dcterms:W3CDTF">2026-03-30T08:38:00Z</dcterms:modified>
</cp:coreProperties>
</file>