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5F" w:rsidRPr="00E6351F" w:rsidRDefault="00485F5A" w:rsidP="00E6351F">
      <w:pPr>
        <w:pStyle w:val="Textoindependiente"/>
        <w:ind w:left="211"/>
        <w:rPr>
          <w:rFonts w:ascii="Times New Roman"/>
          <w:sz w:val="20"/>
        </w:rPr>
      </w:pPr>
      <w:r w:rsidRPr="00E6351F">
        <w:rPr>
          <w:rFonts w:ascii="Times New Roman"/>
          <w:noProof/>
          <w:sz w:val="20"/>
        </w:rPr>
        <w:drawing>
          <wp:inline distT="0" distB="0" distL="0" distR="0">
            <wp:extent cx="1548534" cy="12618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53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5F" w:rsidRDefault="00A23A5F" w:rsidP="00041275">
      <w:pPr>
        <w:pStyle w:val="Textoindependiente"/>
        <w:rPr>
          <w:rFonts w:ascii="Times New Roman"/>
          <w:sz w:val="20"/>
        </w:rPr>
      </w:pPr>
    </w:p>
    <w:p w:rsidR="00A23A5F" w:rsidRDefault="00A23A5F">
      <w:pPr>
        <w:pStyle w:val="Textoindependiente"/>
        <w:rPr>
          <w:rFonts w:ascii="Times New Roman"/>
          <w:sz w:val="20"/>
        </w:rPr>
      </w:pPr>
    </w:p>
    <w:p w:rsidR="00A23A5F" w:rsidRDefault="00A23A5F">
      <w:pPr>
        <w:pStyle w:val="Textoindependiente"/>
        <w:spacing w:before="2"/>
        <w:rPr>
          <w:rFonts w:ascii="Times New Roman"/>
          <w:sz w:val="24"/>
        </w:rPr>
      </w:pPr>
    </w:p>
    <w:p w:rsidR="00A23A5F" w:rsidRDefault="00A23A5F">
      <w:pPr>
        <w:pStyle w:val="Textoindependiente"/>
        <w:spacing w:before="10"/>
        <w:rPr>
          <w:rFonts w:ascii="Times New Roman"/>
          <w:sz w:val="20"/>
        </w:rPr>
      </w:pPr>
    </w:p>
    <w:p w:rsidR="00A23A5F" w:rsidRPr="00E6351F" w:rsidRDefault="00C57965">
      <w:pPr>
        <w:ind w:left="142"/>
        <w:rPr>
          <w:b/>
          <w:i/>
          <w:sz w:val="24"/>
        </w:rPr>
      </w:pPr>
      <w:r w:rsidRPr="004F176E">
        <w:rPr>
          <w:b/>
          <w:i/>
          <w:sz w:val="24"/>
          <w:u w:val="single"/>
          <w:lang w:val="eu-ES"/>
        </w:rPr>
        <w:t>ALARMA EGOERARI LOTUTAKO EMERGENTZIAKO KONTRATUEN ZERRENDA</w:t>
      </w:r>
    </w:p>
    <w:p w:rsidR="00A23A5F" w:rsidRDefault="00A23A5F">
      <w:pPr>
        <w:pStyle w:val="Textoindependiente"/>
        <w:spacing w:before="9"/>
        <w:rPr>
          <w:b/>
          <w:i/>
          <w:sz w:val="19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2835"/>
        <w:gridCol w:w="1135"/>
      </w:tblGrid>
      <w:tr w:rsidR="00A23A5F">
        <w:trPr>
          <w:trHeight w:val="488"/>
        </w:trPr>
        <w:tc>
          <w:tcPr>
            <w:tcW w:w="4952" w:type="dxa"/>
            <w:shd w:val="clear" w:color="auto" w:fill="B4C5E7"/>
          </w:tcPr>
          <w:p w:rsidR="00A23A5F" w:rsidRPr="00E6351F" w:rsidRDefault="00C57965" w:rsidP="00E6351F">
            <w:pPr>
              <w:pStyle w:val="TableParagraph"/>
              <w:ind w:left="66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KONTRATAZIOA</w:t>
            </w:r>
          </w:p>
        </w:tc>
        <w:tc>
          <w:tcPr>
            <w:tcW w:w="2835" w:type="dxa"/>
            <w:shd w:val="clear" w:color="auto" w:fill="B4C5E7"/>
          </w:tcPr>
          <w:p w:rsidR="00A23A5F" w:rsidRPr="00E6351F" w:rsidRDefault="00C57965" w:rsidP="00E6351F">
            <w:pPr>
              <w:pStyle w:val="TableParagraph"/>
              <w:ind w:left="69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HORNITZAILEA</w:t>
            </w:r>
          </w:p>
        </w:tc>
        <w:tc>
          <w:tcPr>
            <w:tcW w:w="1135" w:type="dxa"/>
            <w:shd w:val="clear" w:color="auto" w:fill="B4C5E7"/>
          </w:tcPr>
          <w:p w:rsidR="00A23A5F" w:rsidRPr="00E6351F" w:rsidRDefault="00C57965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ZENBATEKOA</w:t>
            </w:r>
          </w:p>
          <w:p w:rsidR="00A23A5F" w:rsidRPr="00E6351F" w:rsidRDefault="00E6351F">
            <w:pPr>
              <w:pStyle w:val="TableParagraph"/>
              <w:spacing w:before="1" w:line="223" w:lineRule="exact"/>
              <w:ind w:left="189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(</w:t>
            </w:r>
            <w:r w:rsidR="00C57965" w:rsidRPr="004F176E">
              <w:rPr>
                <w:b/>
                <w:sz w:val="20"/>
                <w:lang w:val="eu-ES"/>
              </w:rPr>
              <w:t>BEZa barne</w:t>
            </w:r>
            <w:r w:rsidRPr="004F176E">
              <w:rPr>
                <w:b/>
                <w:sz w:val="20"/>
                <w:lang w:val="eu-ES"/>
              </w:rPr>
              <w:t>)</w:t>
            </w:r>
          </w:p>
        </w:tc>
      </w:tr>
      <w:tr w:rsidR="00A23A5F">
        <w:trPr>
          <w:trHeight w:val="486"/>
        </w:trPr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F3976" w:rsidP="00E6351F">
            <w:pPr>
              <w:pStyle w:val="TableParagraph"/>
              <w:rPr>
                <w:sz w:val="20"/>
              </w:rPr>
            </w:pPr>
            <w:proofErr w:type="spellStart"/>
            <w:r w:rsidRPr="004F176E">
              <w:rPr>
                <w:sz w:val="20"/>
                <w:lang w:val="eu-ES"/>
              </w:rPr>
              <w:t>Gateway</w:t>
            </w:r>
            <w:proofErr w:type="spellEnd"/>
            <w:r w:rsidRPr="004F176E">
              <w:rPr>
                <w:spacing w:val="-1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 xml:space="preserve">RDP </w:t>
            </w:r>
            <w:r w:rsidR="00D76A64" w:rsidRPr="004F176E">
              <w:rPr>
                <w:sz w:val="20"/>
                <w:lang w:val="eu-ES"/>
              </w:rPr>
              <w:t xml:space="preserve">bat </w:t>
            </w:r>
            <w:r w:rsidRPr="004F176E">
              <w:rPr>
                <w:sz w:val="20"/>
                <w:lang w:val="eu-ES"/>
              </w:rPr>
              <w:t>ezartzea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ind w:left="74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AKGSA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Default="00A23A5F">
            <w:pPr>
              <w:pStyle w:val="TableParagraph"/>
              <w:spacing w:before="11"/>
              <w:ind w:left="0"/>
              <w:rPr>
                <w:b/>
                <w:i/>
                <w:sz w:val="19"/>
              </w:rPr>
            </w:pPr>
          </w:p>
          <w:p w:rsidR="00A23A5F" w:rsidRPr="00E6351F" w:rsidRDefault="00D76A64">
            <w:pPr>
              <w:pStyle w:val="TableParagraph"/>
              <w:spacing w:before="0" w:line="223" w:lineRule="exact"/>
              <w:ind w:left="91" w:right="36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16.925,10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</w:tr>
      <w:tr w:rsidR="00A23A5F">
        <w:trPr>
          <w:trHeight w:val="489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FFP2 maskarak erostea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ind w:left="74"/>
              <w:rPr>
                <w:sz w:val="20"/>
              </w:rPr>
            </w:pPr>
            <w:proofErr w:type="spellStart"/>
            <w:r w:rsidRPr="004F176E">
              <w:rPr>
                <w:sz w:val="20"/>
                <w:lang w:val="eu-ES"/>
              </w:rPr>
              <w:t>Ayudas</w:t>
            </w:r>
            <w:proofErr w:type="spellEnd"/>
            <w:r w:rsidRPr="004F176E">
              <w:rPr>
                <w:spacing w:val="-2"/>
                <w:sz w:val="20"/>
                <w:lang w:val="eu-ES"/>
              </w:rPr>
              <w:t xml:space="preserve"> </w:t>
            </w:r>
            <w:proofErr w:type="spellStart"/>
            <w:r w:rsidRPr="004F176E">
              <w:rPr>
                <w:sz w:val="20"/>
                <w:lang w:val="eu-ES"/>
              </w:rPr>
              <w:t>Técnicas</w:t>
            </w:r>
            <w:proofErr w:type="spellEnd"/>
            <w:r w:rsidRPr="004F176E">
              <w:rPr>
                <w:spacing w:val="-2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Araba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SL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Default="00A23A5F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:rsidR="00A23A5F" w:rsidRPr="00E6351F" w:rsidRDefault="00D76A64">
            <w:pPr>
              <w:pStyle w:val="TableParagraph"/>
              <w:spacing w:before="0" w:line="223" w:lineRule="exact"/>
              <w:ind w:left="91" w:right="36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18.513,00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</w:tr>
      <w:tr w:rsidR="00A23A5F">
        <w:trPr>
          <w:trHeight w:val="489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spacing w:before="124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Manparak erostea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spacing w:before="124"/>
              <w:ind w:left="74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K2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proofErr w:type="spellStart"/>
            <w:r w:rsidRPr="004F176E">
              <w:rPr>
                <w:sz w:val="20"/>
                <w:lang w:val="eu-ES"/>
              </w:rPr>
              <w:t>Glass</w:t>
            </w:r>
            <w:proofErr w:type="spellEnd"/>
            <w:r w:rsidRPr="004F176E">
              <w:rPr>
                <w:spacing w:val="-2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Sistemas</w:t>
            </w:r>
            <w:r w:rsidRPr="004F176E">
              <w:rPr>
                <w:spacing w:val="-1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de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proofErr w:type="spellStart"/>
            <w:r w:rsidRPr="004F176E">
              <w:rPr>
                <w:sz w:val="20"/>
                <w:lang w:val="eu-ES"/>
              </w:rPr>
              <w:t>Vidrio</w:t>
            </w:r>
            <w:proofErr w:type="spellEnd"/>
            <w:r w:rsidRPr="004F176E">
              <w:rPr>
                <w:spacing w:val="-2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SL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Default="00A23A5F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:rsidR="00A23A5F" w:rsidRPr="00E6351F" w:rsidRDefault="00D76A64">
            <w:pPr>
              <w:pStyle w:val="TableParagraph"/>
              <w:spacing w:before="0" w:line="223" w:lineRule="exact"/>
              <w:ind w:left="195" w:right="36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6.718,53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</w:tr>
      <w:tr w:rsidR="00A23A5F">
        <w:trPr>
          <w:trHeight w:val="4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spacing w:before="121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Manparak erostea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spacing w:before="121"/>
              <w:ind w:left="74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 xml:space="preserve">K2 </w:t>
            </w:r>
            <w:proofErr w:type="spellStart"/>
            <w:r w:rsidRPr="004F176E">
              <w:rPr>
                <w:sz w:val="20"/>
                <w:lang w:val="eu-ES"/>
              </w:rPr>
              <w:t>Glass</w:t>
            </w:r>
            <w:proofErr w:type="spellEnd"/>
            <w:r w:rsidRPr="004F176E">
              <w:rPr>
                <w:sz w:val="20"/>
                <w:lang w:val="eu-ES"/>
              </w:rPr>
              <w:t xml:space="preserve"> Sistemas de </w:t>
            </w:r>
            <w:proofErr w:type="spellStart"/>
            <w:r w:rsidRPr="004F176E">
              <w:rPr>
                <w:sz w:val="20"/>
                <w:lang w:val="eu-ES"/>
              </w:rPr>
              <w:t>Vidrio</w:t>
            </w:r>
            <w:proofErr w:type="spellEnd"/>
            <w:r w:rsidRPr="004F176E">
              <w:rPr>
                <w:sz w:val="20"/>
                <w:lang w:val="eu-ES"/>
              </w:rPr>
              <w:t xml:space="preserve"> SL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Default="00A23A5F">
            <w:pPr>
              <w:pStyle w:val="TableParagraph"/>
              <w:spacing w:before="11"/>
              <w:ind w:left="0"/>
              <w:rPr>
                <w:b/>
                <w:i/>
                <w:sz w:val="19"/>
              </w:rPr>
            </w:pPr>
          </w:p>
          <w:p w:rsidR="00A23A5F" w:rsidRPr="00E6351F" w:rsidRDefault="00D76A64">
            <w:pPr>
              <w:pStyle w:val="TableParagraph"/>
              <w:spacing w:before="1" w:line="223" w:lineRule="exact"/>
              <w:ind w:left="91" w:right="36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10.644,98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</w:tr>
      <w:tr w:rsidR="00A23A5F">
        <w:trPr>
          <w:trHeight w:val="489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D76A64" w:rsidP="00E6351F">
            <w:pPr>
              <w:pStyle w:val="TableParagraph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60 ordenagailu eramangarri eta haientzako osagarriak erostea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E6351F" w:rsidRDefault="007A07D1" w:rsidP="00E6351F">
            <w:pPr>
              <w:pStyle w:val="TableParagraph"/>
              <w:ind w:left="74"/>
              <w:rPr>
                <w:sz w:val="20"/>
              </w:rPr>
            </w:pPr>
            <w:proofErr w:type="spellStart"/>
            <w:r w:rsidRPr="004F176E">
              <w:rPr>
                <w:sz w:val="20"/>
                <w:lang w:val="eu-ES"/>
              </w:rPr>
              <w:t>Versia</w:t>
            </w:r>
            <w:proofErr w:type="spellEnd"/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proofErr w:type="spellStart"/>
            <w:r w:rsidRPr="004F176E">
              <w:rPr>
                <w:sz w:val="20"/>
                <w:lang w:val="eu-ES"/>
              </w:rPr>
              <w:t>Infraestructuras</w:t>
            </w:r>
            <w:proofErr w:type="spellEnd"/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TI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SL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Default="00A23A5F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:rsidR="00A23A5F" w:rsidRPr="00E6351F" w:rsidRDefault="007A07D1">
            <w:pPr>
              <w:pStyle w:val="TableParagraph"/>
              <w:spacing w:before="0" w:line="223" w:lineRule="exact"/>
              <w:ind w:left="91" w:right="36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25.330,80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</w:tr>
    </w:tbl>
    <w:p w:rsidR="00A23A5F" w:rsidRDefault="00A23A5F">
      <w:pPr>
        <w:pStyle w:val="Textoindependiente"/>
        <w:rPr>
          <w:b/>
          <w:i/>
          <w:sz w:val="24"/>
        </w:rPr>
      </w:pPr>
    </w:p>
    <w:p w:rsidR="00A23A5F" w:rsidRDefault="00A23A5F">
      <w:pPr>
        <w:pStyle w:val="Textoindependiente"/>
        <w:spacing w:before="7"/>
        <w:rPr>
          <w:b/>
          <w:i/>
          <w:sz w:val="19"/>
        </w:rPr>
      </w:pPr>
    </w:p>
    <w:p w:rsidR="00A23A5F" w:rsidRPr="00DA4286" w:rsidRDefault="007A07D1">
      <w:pPr>
        <w:ind w:left="142" w:right="402"/>
        <w:rPr>
          <w:b/>
          <w:i/>
          <w:sz w:val="24"/>
        </w:rPr>
      </w:pPr>
      <w:r w:rsidRPr="004F176E">
        <w:rPr>
          <w:b/>
          <w:i/>
          <w:sz w:val="24"/>
          <w:u w:val="single"/>
          <w:lang w:val="eu-ES"/>
        </w:rPr>
        <w:t xml:space="preserve">ESLEITUTAKO KONTRATUEN ERAGINA (ETETEA, </w:t>
      </w:r>
      <w:r w:rsidR="00BE3F99" w:rsidRPr="004F176E">
        <w:rPr>
          <w:b/>
          <w:i/>
          <w:sz w:val="24"/>
          <w:u w:val="single"/>
          <w:lang w:val="eu-ES"/>
        </w:rPr>
        <w:t>SUNTSIARAZTEA</w:t>
      </w:r>
      <w:r w:rsidRPr="004F176E">
        <w:rPr>
          <w:b/>
          <w:i/>
          <w:sz w:val="24"/>
          <w:u w:val="single"/>
          <w:lang w:val="eu-ES"/>
        </w:rPr>
        <w:t xml:space="preserve">, </w:t>
      </w:r>
      <w:r w:rsidR="00BE3F99" w:rsidRPr="004F176E">
        <w:rPr>
          <w:b/>
          <w:i/>
          <w:sz w:val="24"/>
          <w:u w:val="single"/>
          <w:lang w:val="eu-ES"/>
        </w:rPr>
        <w:t>ATZERA EGITEA</w:t>
      </w:r>
      <w:r w:rsidRPr="004F176E">
        <w:rPr>
          <w:b/>
          <w:i/>
          <w:sz w:val="24"/>
          <w:u w:val="single"/>
          <w:lang w:val="eu-ES"/>
        </w:rPr>
        <w:t>…)</w:t>
      </w:r>
      <w:r w:rsidR="00DA4286" w:rsidRPr="004F176E">
        <w:rPr>
          <w:b/>
          <w:i/>
          <w:sz w:val="24"/>
          <w:u w:val="single"/>
          <w:lang w:val="eu-ES"/>
        </w:rPr>
        <w:t>,</w:t>
      </w:r>
      <w:r w:rsidRPr="004F176E">
        <w:rPr>
          <w:b/>
          <w:i/>
          <w:sz w:val="24"/>
          <w:u w:val="single"/>
          <w:lang w:val="eu-ES"/>
        </w:rPr>
        <w:t xml:space="preserve"> EGOERA HORI DELA ETA</w:t>
      </w:r>
    </w:p>
    <w:p w:rsidR="00A23A5F" w:rsidRDefault="00A23A5F">
      <w:pPr>
        <w:pStyle w:val="Textoindependiente"/>
        <w:spacing w:before="8"/>
        <w:rPr>
          <w:b/>
          <w:i/>
          <w:sz w:val="19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841"/>
        <w:gridCol w:w="1419"/>
        <w:gridCol w:w="2979"/>
      </w:tblGrid>
      <w:tr w:rsidR="00A23A5F">
        <w:trPr>
          <w:trHeight w:val="488"/>
        </w:trPr>
        <w:tc>
          <w:tcPr>
            <w:tcW w:w="2684" w:type="dxa"/>
            <w:shd w:val="clear" w:color="auto" w:fill="B4C5E7"/>
          </w:tcPr>
          <w:p w:rsidR="00A23A5F" w:rsidRPr="00DA4286" w:rsidRDefault="007A07D1" w:rsidP="00DA4286">
            <w:pPr>
              <w:pStyle w:val="TableParagraph"/>
              <w:ind w:left="66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KONTRATAZIOA</w:t>
            </w:r>
          </w:p>
        </w:tc>
        <w:tc>
          <w:tcPr>
            <w:tcW w:w="1841" w:type="dxa"/>
            <w:shd w:val="clear" w:color="auto" w:fill="B4C5E7"/>
          </w:tcPr>
          <w:p w:rsidR="00A23A5F" w:rsidRPr="00DA4286" w:rsidRDefault="007A07D1" w:rsidP="00DA4286">
            <w:pPr>
              <w:pStyle w:val="TableParagraph"/>
              <w:ind w:left="68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HORNITZAILEA</w:t>
            </w:r>
          </w:p>
        </w:tc>
        <w:tc>
          <w:tcPr>
            <w:tcW w:w="1419" w:type="dxa"/>
            <w:shd w:val="clear" w:color="auto" w:fill="B4C5E7"/>
          </w:tcPr>
          <w:p w:rsidR="00A23A5F" w:rsidRPr="00DA4286" w:rsidRDefault="007A07D1" w:rsidP="007A07D1">
            <w:pPr>
              <w:pStyle w:val="TableParagraph"/>
              <w:spacing w:before="1"/>
              <w:ind w:left="99" w:right="84"/>
              <w:jc w:val="center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ZENBATEKOA (BEZa barne)</w:t>
            </w:r>
          </w:p>
          <w:p w:rsidR="00A23A5F" w:rsidRDefault="00A23A5F">
            <w:pPr>
              <w:pStyle w:val="TableParagraph"/>
              <w:spacing w:before="1" w:line="223" w:lineRule="exact"/>
              <w:ind w:left="99" w:right="84"/>
              <w:jc w:val="center"/>
              <w:rPr>
                <w:b/>
                <w:sz w:val="20"/>
              </w:rPr>
            </w:pPr>
          </w:p>
        </w:tc>
        <w:tc>
          <w:tcPr>
            <w:tcW w:w="2979" w:type="dxa"/>
            <w:shd w:val="clear" w:color="auto" w:fill="B4C5E7"/>
          </w:tcPr>
          <w:p w:rsidR="00A23A5F" w:rsidRPr="00DA4286" w:rsidRDefault="007A07D1" w:rsidP="00DA4286">
            <w:pPr>
              <w:pStyle w:val="TableParagraph"/>
              <w:ind w:left="760" w:right="749"/>
              <w:jc w:val="center"/>
              <w:rPr>
                <w:b/>
                <w:sz w:val="20"/>
              </w:rPr>
            </w:pPr>
            <w:r w:rsidRPr="004F176E">
              <w:rPr>
                <w:b/>
                <w:sz w:val="20"/>
                <w:lang w:val="eu-ES"/>
              </w:rPr>
              <w:t>OHARRAK</w:t>
            </w:r>
          </w:p>
        </w:tc>
      </w:tr>
      <w:tr w:rsidR="00A23A5F">
        <w:trPr>
          <w:trHeight w:val="489"/>
        </w:trPr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7A07D1">
            <w:pPr>
              <w:pStyle w:val="TableParagraph"/>
              <w:spacing w:before="0" w:line="240" w:lineRule="atLeast"/>
              <w:ind w:right="71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Legutioko basozain etxea birgaitzea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>
            <w:pPr>
              <w:pStyle w:val="TableParagraph"/>
              <w:spacing w:before="0" w:line="240" w:lineRule="atLeast"/>
              <w:ind w:left="73" w:right="511"/>
              <w:rPr>
                <w:sz w:val="20"/>
              </w:rPr>
            </w:pPr>
            <w:proofErr w:type="spellStart"/>
            <w:r w:rsidRPr="004F176E">
              <w:rPr>
                <w:spacing w:val="-1"/>
                <w:sz w:val="20"/>
                <w:lang w:val="eu-ES"/>
              </w:rPr>
              <w:t>Construcciones</w:t>
            </w:r>
            <w:proofErr w:type="spellEnd"/>
            <w:r w:rsidRPr="004F176E">
              <w:rPr>
                <w:spacing w:val="-1"/>
                <w:sz w:val="20"/>
                <w:lang w:val="eu-ES"/>
              </w:rPr>
              <w:t xml:space="preserve"> Segurola SA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 w:rsidP="00DA4286">
            <w:pPr>
              <w:pStyle w:val="TableParagraph"/>
              <w:ind w:left="0" w:right="60"/>
              <w:jc w:val="right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44.701,64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 w:rsidP="00DA4286">
            <w:pPr>
              <w:pStyle w:val="TableParagraph"/>
              <w:ind w:left="102" w:right="67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Kontratua etenda eta berrabiarazita</w:t>
            </w:r>
          </w:p>
        </w:tc>
      </w:tr>
      <w:tr w:rsidR="00A23A5F">
        <w:trPr>
          <w:trHeight w:val="48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 w:rsidP="00247E2D">
            <w:pPr>
              <w:pStyle w:val="TableParagraph"/>
              <w:spacing w:before="1" w:line="243" w:lineRule="exact"/>
              <w:rPr>
                <w:sz w:val="20"/>
              </w:rPr>
            </w:pPr>
            <w:proofErr w:type="spellStart"/>
            <w:r w:rsidRPr="004F176E">
              <w:rPr>
                <w:sz w:val="20"/>
                <w:lang w:val="eu-ES"/>
              </w:rPr>
              <w:t>Lamuza</w:t>
            </w:r>
            <w:proofErr w:type="spellEnd"/>
            <w:r w:rsidRPr="004F176E">
              <w:rPr>
                <w:sz w:val="20"/>
                <w:lang w:val="eu-ES"/>
              </w:rPr>
              <w:t xml:space="preserve"> jauregiko kanpoaldeko inguratzailea berriztatzea</w:t>
            </w:r>
          </w:p>
          <w:p w:rsidR="00A23A5F" w:rsidRDefault="00A23A5F">
            <w:pPr>
              <w:pStyle w:val="TableParagraph"/>
              <w:spacing w:before="0" w:line="225" w:lineRule="exact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 w:rsidP="00247E2D">
            <w:pPr>
              <w:pStyle w:val="TableParagraph"/>
              <w:spacing w:before="1" w:line="243" w:lineRule="exact"/>
              <w:ind w:left="73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Goitu</w:t>
            </w:r>
            <w:r w:rsidRPr="004F176E">
              <w:rPr>
                <w:spacing w:val="-2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Eraikuntzak Sl</w:t>
            </w:r>
          </w:p>
          <w:p w:rsidR="00A23A5F" w:rsidRDefault="00A23A5F">
            <w:pPr>
              <w:pStyle w:val="TableParagraph"/>
              <w:spacing w:before="0" w:line="225" w:lineRule="exact"/>
              <w:ind w:left="73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 w:rsidP="00DA4286">
            <w:pPr>
              <w:pStyle w:val="TableParagraph"/>
              <w:ind w:left="0" w:right="59"/>
              <w:jc w:val="right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1.971.432,84</w:t>
            </w:r>
            <w:r w:rsidRPr="004F176E">
              <w:rPr>
                <w:spacing w:val="-3"/>
                <w:sz w:val="20"/>
                <w:lang w:val="eu-ES"/>
              </w:rPr>
              <w:t xml:space="preserve"> </w:t>
            </w:r>
            <w:r w:rsidRPr="004F176E">
              <w:rPr>
                <w:sz w:val="20"/>
                <w:lang w:val="eu-ES"/>
              </w:rPr>
              <w:t>€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5F" w:rsidRPr="00DA4286" w:rsidRDefault="00247E2D" w:rsidP="00DA4286">
            <w:pPr>
              <w:pStyle w:val="TableParagraph"/>
              <w:ind w:left="102" w:right="67"/>
              <w:jc w:val="center"/>
              <w:rPr>
                <w:sz w:val="20"/>
              </w:rPr>
            </w:pPr>
            <w:r w:rsidRPr="004F176E">
              <w:rPr>
                <w:sz w:val="20"/>
                <w:lang w:val="eu-ES"/>
              </w:rPr>
              <w:t>Kontratua etenda eta berrabiarazita</w:t>
            </w:r>
          </w:p>
        </w:tc>
      </w:tr>
    </w:tbl>
    <w:p w:rsidR="00A23A5F" w:rsidRDefault="00A23A5F">
      <w:pPr>
        <w:jc w:val="center"/>
        <w:rPr>
          <w:sz w:val="20"/>
        </w:rPr>
        <w:sectPr w:rsidR="00A23A5F">
          <w:footerReference w:type="default" r:id="rId8"/>
          <w:type w:val="continuous"/>
          <w:pgSz w:w="11910" w:h="16850"/>
          <w:pgMar w:top="720" w:right="1060" w:bottom="3040" w:left="1560" w:header="720" w:footer="2848" w:gutter="0"/>
          <w:pgNumType w:start="1"/>
          <w:cols w:space="720"/>
        </w:sectPr>
      </w:pPr>
    </w:p>
    <w:p w:rsidR="00A23A5F" w:rsidRDefault="00707D53">
      <w:pPr>
        <w:tabs>
          <w:tab w:val="left" w:pos="4410"/>
        </w:tabs>
        <w:ind w:left="211"/>
        <w:rPr>
          <w:sz w:val="20"/>
        </w:rPr>
      </w:pPr>
      <w:r>
        <w:rPr>
          <w:position w:val="14"/>
          <w:sz w:val="20"/>
        </w:rPr>
      </w:r>
      <w:r>
        <w:rPr>
          <w:position w:val="14"/>
          <w:sz w:val="20"/>
        </w:rPr>
        <w:pict>
          <v:group id="_x0000_s1028" style="width:192.9pt;height:.5pt;mso-position-horizontal-relative:char;mso-position-vertical-relative:line" coordsize="3858,10">
            <v:rect id="_x0000_s1029" style="position:absolute;width:3858;height:10" fillcolor="black" stroked="f"/>
            <w10:anchorlock/>
          </v:group>
        </w:pict>
      </w:r>
      <w:r w:rsidR="00485F5A">
        <w:rPr>
          <w:position w:val="14"/>
          <w:sz w:val="20"/>
        </w:rPr>
        <w:tab/>
      </w:r>
      <w:r w:rsidR="00485F5A">
        <w:rPr>
          <w:noProof/>
          <w:sz w:val="20"/>
        </w:rPr>
        <w:drawing>
          <wp:inline distT="0" distB="0" distL="0" distR="0">
            <wp:extent cx="425700" cy="425196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00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5F" w:rsidRDefault="00A23A5F">
      <w:pPr>
        <w:pStyle w:val="Textoindependiente"/>
        <w:rPr>
          <w:b/>
          <w:i/>
          <w:sz w:val="20"/>
        </w:rPr>
      </w:pPr>
    </w:p>
    <w:p w:rsidR="00A23A5F" w:rsidRDefault="00A23A5F">
      <w:pPr>
        <w:pStyle w:val="Textoindependiente"/>
        <w:rPr>
          <w:b/>
          <w:i/>
          <w:sz w:val="20"/>
        </w:rPr>
      </w:pPr>
    </w:p>
    <w:p w:rsidR="00A23A5F" w:rsidRDefault="00A23A5F">
      <w:pPr>
        <w:pStyle w:val="Textoindependiente"/>
        <w:rPr>
          <w:b/>
          <w:i/>
          <w:sz w:val="20"/>
        </w:rPr>
      </w:pPr>
    </w:p>
    <w:p w:rsidR="00A23A5F" w:rsidRDefault="00A23A5F">
      <w:pPr>
        <w:pStyle w:val="Textoindependiente"/>
        <w:rPr>
          <w:b/>
          <w:i/>
          <w:sz w:val="20"/>
        </w:rPr>
      </w:pPr>
    </w:p>
    <w:p w:rsidR="00A23A5F" w:rsidRDefault="00A23A5F">
      <w:pPr>
        <w:pStyle w:val="Textoindependiente"/>
        <w:rPr>
          <w:b/>
          <w:i/>
          <w:sz w:val="20"/>
        </w:rPr>
      </w:pPr>
    </w:p>
    <w:p w:rsidR="00A23A5F" w:rsidRPr="00DA4286" w:rsidRDefault="00247E2D" w:rsidP="00DA4286">
      <w:pPr>
        <w:pStyle w:val="Textoindependiente"/>
        <w:spacing w:before="192"/>
        <w:ind w:left="142" w:right="402"/>
      </w:pPr>
      <w:r>
        <w:t xml:space="preserve"> </w:t>
      </w:r>
      <w:r w:rsidRPr="004F176E">
        <w:rPr>
          <w:lang w:val="eu-ES"/>
        </w:rPr>
        <w:t>Salbuespen horiek alde batera utzita, gainerako kontratu gehienak normaltasunez gauzatu dira: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356"/>
        </w:tabs>
        <w:spacing w:before="121"/>
        <w:ind w:right="634" w:hanging="855"/>
        <w:jc w:val="right"/>
      </w:pPr>
      <w:r w:rsidRPr="004F176E">
        <w:rPr>
          <w:lang w:val="eu-ES"/>
        </w:rPr>
        <w:t>Egoerak ez du eraginik izan eskaeraren araberako hornikuntza kontratuetan (adibidez,</w:t>
      </w:r>
      <w:r w:rsidR="00707D53">
        <w:rPr>
          <w:lang w:val="eu-ES"/>
        </w:rPr>
        <w:t xml:space="preserve"> </w:t>
      </w:r>
      <w:r w:rsidRPr="004F176E">
        <w:rPr>
          <w:lang w:val="eu-ES"/>
        </w:rPr>
        <w:t>bulegorako materiala, jantziak...); izan ere, beharren arabera egin dira eskariak.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855"/>
        </w:tabs>
        <w:ind w:right="636"/>
      </w:pPr>
      <w:r w:rsidRPr="004F176E">
        <w:rPr>
          <w:lang w:val="eu-ES"/>
        </w:rPr>
        <w:t xml:space="preserve">Egoerak ez du eraginik izan eskaeraren araberako zerbitzu kontratuetan (esaterako, hondakinen bilketa); izan ere, beharren arabera jarri baita harremanetan enpresa </w:t>
      </w:r>
      <w:proofErr w:type="spellStart"/>
      <w:r w:rsidRPr="004F176E">
        <w:rPr>
          <w:lang w:val="eu-ES"/>
        </w:rPr>
        <w:t>esleipendunekin</w:t>
      </w:r>
      <w:proofErr w:type="spellEnd"/>
      <w:r w:rsidRPr="004F176E">
        <w:rPr>
          <w:lang w:val="eu-ES"/>
        </w:rPr>
        <w:t>.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855"/>
        </w:tabs>
        <w:spacing w:before="119"/>
        <w:ind w:right="641"/>
      </w:pPr>
      <w:r w:rsidRPr="004F176E">
        <w:rPr>
          <w:lang w:val="eu-ES"/>
        </w:rPr>
        <w:t xml:space="preserve">Mantentze zerbitzuei eutsi zaie, salbu eta hilabete horietan egiaztatu behar ez zirenak edo geroratu egin </w:t>
      </w:r>
      <w:proofErr w:type="spellStart"/>
      <w:r w:rsidRPr="004F176E">
        <w:rPr>
          <w:lang w:val="eu-ES"/>
        </w:rPr>
        <w:t>zitezkeenak</w:t>
      </w:r>
      <w:proofErr w:type="spellEnd"/>
      <w:r w:rsidRPr="004F176E">
        <w:rPr>
          <w:lang w:val="eu-ES"/>
        </w:rPr>
        <w:t>.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855"/>
        </w:tabs>
        <w:spacing w:before="121"/>
        <w:ind w:right="0"/>
      </w:pPr>
      <w:r w:rsidRPr="004F176E">
        <w:rPr>
          <w:lang w:val="eu-ES"/>
        </w:rPr>
        <w:t>Egoerak ez du eraginik izan lizentziak mantentzeko kontratuetan.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855"/>
        </w:tabs>
        <w:ind w:right="633"/>
      </w:pPr>
      <w:r w:rsidRPr="004F176E">
        <w:rPr>
          <w:lang w:val="eu-ES"/>
        </w:rPr>
        <w:t xml:space="preserve">Garbiketa kontratuan, enpresa </w:t>
      </w:r>
      <w:proofErr w:type="spellStart"/>
      <w:r w:rsidRPr="004F176E">
        <w:rPr>
          <w:lang w:val="eu-ES"/>
        </w:rPr>
        <w:t>esleipendunarekin</w:t>
      </w:r>
      <w:proofErr w:type="spellEnd"/>
      <w:r w:rsidRPr="004F176E">
        <w:rPr>
          <w:lang w:val="eu-ES"/>
        </w:rPr>
        <w:t xml:space="preserve"> adostu ziren zein lan egin.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855"/>
        </w:tabs>
        <w:ind w:right="634"/>
      </w:pPr>
      <w:r w:rsidRPr="004F176E">
        <w:rPr>
          <w:lang w:val="eu-ES"/>
        </w:rPr>
        <w:t>IAT zerbitzuari dagokionez, IAT egiteko guneak aldi baterako itxita egon zirenez, ibilgailuen azterketa egiteko betebeharra bertan behera geratu zen aldi baterako, eta, beraz, baita azterketak beraiek ere.</w:t>
      </w:r>
    </w:p>
    <w:p w:rsidR="00DA4286" w:rsidRPr="00DA4286" w:rsidRDefault="00DA4286" w:rsidP="00DA4286">
      <w:pPr>
        <w:pStyle w:val="Prrafodelista"/>
        <w:numPr>
          <w:ilvl w:val="0"/>
          <w:numId w:val="1"/>
        </w:numPr>
        <w:tabs>
          <w:tab w:val="left" w:pos="855"/>
        </w:tabs>
        <w:spacing w:before="121"/>
      </w:pPr>
      <w:r w:rsidRPr="004F176E">
        <w:rPr>
          <w:lang w:val="eu-ES"/>
        </w:rPr>
        <w:t xml:space="preserve">Posta, mezularitza eta gutuneria kudeatzeko zerbitzuak </w:t>
      </w:r>
      <w:proofErr w:type="spellStart"/>
      <w:r w:rsidRPr="004F176E">
        <w:rPr>
          <w:lang w:val="eu-ES"/>
        </w:rPr>
        <w:t>Correosek</w:t>
      </w:r>
      <w:proofErr w:type="spellEnd"/>
      <w:r w:rsidRPr="004F176E">
        <w:rPr>
          <w:lang w:val="eu-ES"/>
        </w:rPr>
        <w:t xml:space="preserve"> ezarritako jarraibideen arabera gauzatu dira.</w:t>
      </w:r>
      <w:r w:rsidRPr="00DA4286">
        <w:t xml:space="preserve"> </w:t>
      </w:r>
      <w:r w:rsidRPr="004F176E">
        <w:rPr>
          <w:lang w:val="eu-ES"/>
        </w:rPr>
        <w:t>Kontratu horiek unitateko prezioa dute; hortaz, benetan gauzatu diren lanei dagokien zenbatekoa ordaindu da.</w:t>
      </w:r>
    </w:p>
    <w:p w:rsidR="00A23A5F" w:rsidRDefault="00A23A5F">
      <w:pPr>
        <w:pStyle w:val="Textoindependiente"/>
      </w:pPr>
    </w:p>
    <w:p w:rsidR="00A23A5F" w:rsidRDefault="00A23A5F">
      <w:pPr>
        <w:pStyle w:val="Textoindependiente"/>
      </w:pPr>
      <w:bookmarkStart w:id="0" w:name="_GoBack"/>
      <w:bookmarkEnd w:id="0"/>
    </w:p>
    <w:sectPr w:rsidR="00A23A5F" w:rsidSect="00707D53">
      <w:pgSz w:w="11910" w:h="16850"/>
      <w:pgMar w:top="720" w:right="1060" w:bottom="3040" w:left="1560" w:header="0" w:footer="2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EE" w:rsidRDefault="00485F5A">
      <w:r>
        <w:separator/>
      </w:r>
    </w:p>
  </w:endnote>
  <w:endnote w:type="continuationSeparator" w:id="0">
    <w:p w:rsidR="00DD77EE" w:rsidRDefault="0048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5F" w:rsidRDefault="00485F5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672" behindDoc="1" locked="0" layoutInCell="1" allowOverlap="1">
          <wp:simplePos x="0" y="0"/>
          <wp:positionH relativeFrom="page">
            <wp:posOffset>6814184</wp:posOffset>
          </wp:positionH>
          <wp:positionV relativeFrom="page">
            <wp:posOffset>8758427</wp:posOffset>
          </wp:positionV>
          <wp:extent cx="657225" cy="5995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599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D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2.65pt;margin-top:721.2pt;width:11.65pt;height:9.8pt;z-index:-15863296;mso-position-horizontal-relative:page;mso-position-vertical-relative:page" filled="f" stroked="f">
          <v:textbox inset="0,0,0,0">
            <w:txbxContent>
              <w:p w:rsidR="00A23A5F" w:rsidRDefault="00485F5A">
                <w:pPr>
                  <w:spacing w:before="14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1/2</w:t>
                </w:r>
              </w:p>
            </w:txbxContent>
          </v:textbox>
          <w10:wrap anchorx="page" anchory="page"/>
        </v:shape>
      </w:pict>
    </w:r>
    <w:r w:rsidR="00707D53">
      <w:pict>
        <v:shape id="_x0000_s2059" type="#_x0000_t202" style="position:absolute;margin-left:87.6pt;margin-top:725.05pt;width:95.55pt;height:9.8pt;z-index:-15862784;mso-position-horizontal-relative:page;mso-position-vertical-relative:page" filled="f" stroked="f">
          <v:textbox inset="0,0,0,0">
            <w:txbxContent>
              <w:p w:rsidR="00A23A5F" w:rsidRDefault="00485F5A">
                <w:pPr>
                  <w:spacing w:before="14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INFORME</w:t>
                </w:r>
                <w:r>
                  <w:rPr>
                    <w:rFonts w:ascii="Arial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TRANSPARENCIA</w:t>
                </w:r>
              </w:p>
            </w:txbxContent>
          </v:textbox>
          <w10:wrap anchorx="page" anchory="page"/>
        </v:shape>
      </w:pict>
    </w:r>
    <w:r w:rsidR="00707D53">
      <w:pict>
        <v:shape id="_x0000_s2058" type="#_x0000_t202" style="position:absolute;margin-left:87.6pt;margin-top:733.1pt;width:505.4pt;height:9.8pt;z-index:-15862272;mso-position-horizontal-relative:page;mso-position-vertical-relative:page" filled="f" stroked="f">
          <v:textbox inset="0,0,0,0">
            <w:txbxContent>
              <w:p w:rsidR="00A23A5F" w:rsidRDefault="00485F5A">
                <w:pPr>
                  <w:tabs>
                    <w:tab w:val="left" w:pos="10087"/>
                  </w:tabs>
                  <w:spacing w:before="14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  <w:u w:val="single"/>
                  </w:rPr>
                  <w:t>COVID.docx</w:t>
                </w:r>
                <w:r>
                  <w:rPr>
                    <w:rFonts w:ascii="Arial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="00707D53">
      <w:pict>
        <v:shape id="_x0000_s2057" type="#_x0000_t202" style="position:absolute;margin-left:87.6pt;margin-top:749.95pt;width:169.05pt;height:67.2pt;z-index:-15861760;mso-position-horizontal-relative:page;mso-position-vertical-relative:page" filled="f" stroked="f">
          <v:textbox inset="0,0,0,0">
            <w:txbxContent>
              <w:p w:rsidR="00A23A5F" w:rsidRDefault="00485F5A">
                <w:pPr>
                  <w:spacing w:before="14" w:line="256" w:lineRule="auto"/>
                  <w:ind w:left="22" w:right="408"/>
                  <w:rPr>
                    <w:rFonts w:ascii="Arial"/>
                    <w:b/>
                    <w:sz w:val="18"/>
                  </w:rPr>
                </w:pPr>
                <w:proofErr w:type="spellStart"/>
                <w:r>
                  <w:rPr>
                    <w:rFonts w:ascii="Arial"/>
                    <w:b/>
                    <w:sz w:val="18"/>
                  </w:rPr>
                  <w:t>Enplegu</w:t>
                </w:r>
                <w:proofErr w:type="spellEnd"/>
                <w:r>
                  <w:rPr>
                    <w:rFonts w:ascii="Arial"/>
                    <w:b/>
                    <w:sz w:val="18"/>
                  </w:rPr>
                  <w:t xml:space="preserve">, </w:t>
                </w:r>
                <w:proofErr w:type="spellStart"/>
                <w:r>
                  <w:rPr>
                    <w:rFonts w:ascii="Arial"/>
                    <w:b/>
                    <w:sz w:val="18"/>
                  </w:rPr>
                  <w:t>Merkataritza</w:t>
                </w:r>
                <w:proofErr w:type="spellEnd"/>
                <w:r>
                  <w:rPr>
                    <w:rFonts w:ascii="Arial"/>
                    <w:b/>
                    <w:sz w:val="18"/>
                  </w:rPr>
                  <w:t xml:space="preserve"> eta Turismo</w:t>
                </w:r>
                <w:r>
                  <w:rPr>
                    <w:rFonts w:ascii="Arial"/>
                    <w:b/>
                    <w:spacing w:val="-47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sz w:val="18"/>
                  </w:rPr>
                  <w:t>Sustapenaren</w:t>
                </w:r>
                <w:proofErr w:type="spellEnd"/>
                <w:r>
                  <w:rPr>
                    <w:rFonts w:ascii="Arial"/>
                    <w:b/>
                    <w:sz w:val="18"/>
                  </w:rPr>
                  <w:t xml:space="preserve"> eta </w:t>
                </w:r>
                <w:proofErr w:type="spellStart"/>
                <w:r>
                  <w:rPr>
                    <w:rFonts w:ascii="Arial"/>
                    <w:b/>
                    <w:sz w:val="18"/>
                  </w:rPr>
                  <w:t>Foru</w:t>
                </w:r>
                <w:proofErr w:type="spellEnd"/>
                <w:r>
                  <w:rPr>
                    <w:rFonts w:ascii="Arial"/>
                    <w:b/>
                    <w:spacing w:val="1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sz w:val="18"/>
                  </w:rPr>
                  <w:t>Administrazioaren</w:t>
                </w:r>
                <w:proofErr w:type="spellEnd"/>
                <w:r>
                  <w:rPr>
                    <w:rFonts w:asci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t>Saila</w:t>
                </w:r>
              </w:p>
              <w:p w:rsidR="00A23A5F" w:rsidRDefault="00485F5A">
                <w:pPr>
                  <w:spacing w:line="256" w:lineRule="auto"/>
                  <w:ind w:left="20" w:right="1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Departamento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Fomento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del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Empleo,</w:t>
                </w:r>
                <w:r>
                  <w:rPr>
                    <w:rFonts w:ascii="Arial" w:hAns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Comercio y Turismo y 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Administración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Foral</w:t>
                </w:r>
              </w:p>
            </w:txbxContent>
          </v:textbox>
          <w10:wrap anchorx="page" anchory="page"/>
        </v:shape>
      </w:pict>
    </w:r>
    <w:r w:rsidR="00707D53">
      <w:pict>
        <v:shape id="_x0000_s2056" type="#_x0000_t202" style="position:absolute;margin-left:509.35pt;margin-top:751.25pt;width:74.2pt;height:39.05pt;z-index:-15861248;mso-position-horizontal-relative:page;mso-position-vertical-relative:page" filled="f" stroked="f">
          <v:textbox inset="0,0,0,0">
            <w:txbxContent>
              <w:p w:rsidR="00A23A5F" w:rsidRDefault="00485F5A">
                <w:pPr>
                  <w:spacing w:before="16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sz w:val="15"/>
                  </w:rPr>
                  <w:t>Calle</w:t>
                </w:r>
                <w:r>
                  <w:rPr>
                    <w:rFonts w:ascii="Arial"/>
                    <w:spacing w:val="-2"/>
                    <w:sz w:val="15"/>
                  </w:rPr>
                  <w:t xml:space="preserve"> </w:t>
                </w:r>
                <w:r>
                  <w:rPr>
                    <w:rFonts w:ascii="Arial"/>
                    <w:sz w:val="15"/>
                  </w:rPr>
                  <w:t>Samaniego,</w:t>
                </w:r>
                <w:r>
                  <w:rPr>
                    <w:rFonts w:ascii="Arial"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sz w:val="15"/>
                  </w:rPr>
                  <w:t>14</w:t>
                </w:r>
              </w:p>
              <w:p w:rsidR="00A23A5F" w:rsidRDefault="00485F5A">
                <w:pPr>
                  <w:spacing w:before="48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sz w:val="15"/>
                  </w:rPr>
                  <w:t>01008</w:t>
                </w:r>
                <w:r>
                  <w:rPr>
                    <w:rFonts w:ascii="Arial"/>
                    <w:spacing w:val="-3"/>
                    <w:sz w:val="15"/>
                  </w:rPr>
                  <w:t xml:space="preserve"> </w:t>
                </w:r>
                <w:r>
                  <w:rPr>
                    <w:rFonts w:ascii="Arial"/>
                    <w:sz w:val="15"/>
                  </w:rPr>
                  <w:t>Vitoria-Gasteiz</w:t>
                </w:r>
              </w:p>
              <w:p w:rsidR="00A23A5F" w:rsidRDefault="00485F5A">
                <w:pPr>
                  <w:spacing w:before="8" w:line="171" w:lineRule="exact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sz w:val="15"/>
                  </w:rPr>
                  <w:t>Tel. 945</w:t>
                </w:r>
                <w:r>
                  <w:rPr>
                    <w:rFonts w:ascii="Arial"/>
                    <w:spacing w:val="-1"/>
                    <w:sz w:val="15"/>
                  </w:rPr>
                  <w:t xml:space="preserve"> </w:t>
                </w:r>
                <w:r>
                  <w:rPr>
                    <w:rFonts w:ascii="Arial"/>
                    <w:sz w:val="15"/>
                  </w:rPr>
                  <w:t>18.18.18</w:t>
                </w:r>
              </w:p>
              <w:p w:rsidR="00A23A5F" w:rsidRDefault="00485F5A">
                <w:pPr>
                  <w:spacing w:line="171" w:lineRule="exact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sz w:val="15"/>
                  </w:rPr>
                  <w:t>Fax: 945 18</w:t>
                </w:r>
                <w:r>
                  <w:rPr>
                    <w:rFonts w:ascii="Arial"/>
                    <w:spacing w:val="-2"/>
                    <w:sz w:val="15"/>
                  </w:rPr>
                  <w:t xml:space="preserve"> </w:t>
                </w:r>
                <w:r>
                  <w:rPr>
                    <w:rFonts w:ascii="Arial"/>
                    <w:sz w:val="15"/>
                  </w:rPr>
                  <w:t>15.16</w:t>
                </w:r>
              </w:p>
            </w:txbxContent>
          </v:textbox>
          <w10:wrap anchorx="page" anchory="page"/>
        </v:shape>
      </w:pict>
    </w:r>
    <w:r w:rsidR="00707D53">
      <w:pict>
        <v:shape id="_x0000_s2055" type="#_x0000_t202" style="position:absolute;margin-left:268.35pt;margin-top:751.6pt;width:206.9pt;height:21.6pt;z-index:-15860736;mso-position-horizontal-relative:page;mso-position-vertical-relative:page" filled="f" stroked="f">
          <v:textbox inset="0,0,0,0">
            <w:txbxContent>
              <w:p w:rsidR="00A23A5F" w:rsidRDefault="00485F5A">
                <w:pPr>
                  <w:spacing w:before="15" w:line="247" w:lineRule="auto"/>
                  <w:ind w:left="20"/>
                  <w:rPr>
                    <w:rFonts w:ascii="Arial" w:hAnsi="Arial"/>
                    <w:sz w:val="17"/>
                  </w:rPr>
                </w:pPr>
                <w:proofErr w:type="spellStart"/>
                <w:r>
                  <w:rPr>
                    <w:rFonts w:ascii="Arial" w:hAnsi="Arial"/>
                    <w:sz w:val="17"/>
                  </w:rPr>
                  <w:t>Zerbitzu</w:t>
                </w:r>
                <w:proofErr w:type="spellEnd"/>
                <w:r>
                  <w:rPr>
                    <w:rFonts w:ascii="Arial" w:hAnsi="Arial"/>
                    <w:spacing w:val="-5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Orokorretako</w:t>
                </w:r>
                <w:proofErr w:type="spellEnd"/>
                <w:r>
                  <w:rPr>
                    <w:rFonts w:ascii="Arial" w:hAnsi="Arial"/>
                    <w:spacing w:val="-7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Idazkaritza</w:t>
                </w:r>
                <w:proofErr w:type="spellEnd"/>
                <w:r>
                  <w:rPr>
                    <w:rFonts w:ascii="Arial" w:hAnsi="Arial"/>
                    <w:spacing w:val="-5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Teknikoko</w:t>
                </w:r>
                <w:proofErr w:type="spellEnd"/>
                <w:r>
                  <w:rPr>
                    <w:rFonts w:ascii="Arial" w:hAnsi="Arial"/>
                    <w:spacing w:val="-5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Zerbitzua</w:t>
                </w:r>
                <w:proofErr w:type="spellEnd"/>
                <w:r>
                  <w:rPr>
                    <w:rFonts w:ascii="Arial" w:hAnsi="Arial"/>
                    <w:spacing w:val="-44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sz w:val="17"/>
                  </w:rPr>
                  <w:t>Secretaría</w:t>
                </w:r>
                <w:r>
                  <w:rPr>
                    <w:rFonts w:ascii="Arial" w:hAnsi="Arial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sz w:val="17"/>
                  </w:rPr>
                  <w:t>Técnica</w:t>
                </w:r>
                <w:r>
                  <w:rPr>
                    <w:rFonts w:ascii="Arial" w:hAnsi="Arial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sz w:val="17"/>
                  </w:rPr>
                  <w:t>de Servicios</w:t>
                </w:r>
                <w:r>
                  <w:rPr>
                    <w:rFonts w:ascii="Arial" w:hAnsi="Arial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 w:hAnsi="Arial"/>
                    <w:sz w:val="17"/>
                  </w:rPr>
                  <w:t>Generales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EE" w:rsidRDefault="00485F5A">
      <w:r>
        <w:separator/>
      </w:r>
    </w:p>
  </w:footnote>
  <w:footnote w:type="continuationSeparator" w:id="0">
    <w:p w:rsidR="00DD77EE" w:rsidRDefault="0048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C5A08"/>
    <w:multiLevelType w:val="hybridMultilevel"/>
    <w:tmpl w:val="5DCCF2D4"/>
    <w:lvl w:ilvl="0" w:tplc="457CF990">
      <w:numFmt w:val="bullet"/>
      <w:lvlText w:val=""/>
      <w:lvlJc w:val="left"/>
      <w:pPr>
        <w:ind w:left="854" w:hanging="35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FD27918">
      <w:numFmt w:val="bullet"/>
      <w:lvlText w:val="•"/>
      <w:lvlJc w:val="left"/>
      <w:pPr>
        <w:ind w:left="1702" w:hanging="356"/>
      </w:pPr>
      <w:rPr>
        <w:rFonts w:hint="default"/>
        <w:lang w:val="es-ES" w:eastAsia="en-US" w:bidi="ar-SA"/>
      </w:rPr>
    </w:lvl>
    <w:lvl w:ilvl="2" w:tplc="32CADF60">
      <w:numFmt w:val="bullet"/>
      <w:lvlText w:val="•"/>
      <w:lvlJc w:val="left"/>
      <w:pPr>
        <w:ind w:left="2545" w:hanging="356"/>
      </w:pPr>
      <w:rPr>
        <w:rFonts w:hint="default"/>
        <w:lang w:val="es-ES" w:eastAsia="en-US" w:bidi="ar-SA"/>
      </w:rPr>
    </w:lvl>
    <w:lvl w:ilvl="3" w:tplc="073AB172">
      <w:numFmt w:val="bullet"/>
      <w:lvlText w:val="•"/>
      <w:lvlJc w:val="left"/>
      <w:pPr>
        <w:ind w:left="3387" w:hanging="356"/>
      </w:pPr>
      <w:rPr>
        <w:rFonts w:hint="default"/>
        <w:lang w:val="es-ES" w:eastAsia="en-US" w:bidi="ar-SA"/>
      </w:rPr>
    </w:lvl>
    <w:lvl w:ilvl="4" w:tplc="135067FA">
      <w:numFmt w:val="bullet"/>
      <w:lvlText w:val="•"/>
      <w:lvlJc w:val="left"/>
      <w:pPr>
        <w:ind w:left="4230" w:hanging="356"/>
      </w:pPr>
      <w:rPr>
        <w:rFonts w:hint="default"/>
        <w:lang w:val="es-ES" w:eastAsia="en-US" w:bidi="ar-SA"/>
      </w:rPr>
    </w:lvl>
    <w:lvl w:ilvl="5" w:tplc="7B1C74BA">
      <w:numFmt w:val="bullet"/>
      <w:lvlText w:val="•"/>
      <w:lvlJc w:val="left"/>
      <w:pPr>
        <w:ind w:left="5073" w:hanging="356"/>
      </w:pPr>
      <w:rPr>
        <w:rFonts w:hint="default"/>
        <w:lang w:val="es-ES" w:eastAsia="en-US" w:bidi="ar-SA"/>
      </w:rPr>
    </w:lvl>
    <w:lvl w:ilvl="6" w:tplc="6B76F4D0">
      <w:numFmt w:val="bullet"/>
      <w:lvlText w:val="•"/>
      <w:lvlJc w:val="left"/>
      <w:pPr>
        <w:ind w:left="5915" w:hanging="356"/>
      </w:pPr>
      <w:rPr>
        <w:rFonts w:hint="default"/>
        <w:lang w:val="es-ES" w:eastAsia="en-US" w:bidi="ar-SA"/>
      </w:rPr>
    </w:lvl>
    <w:lvl w:ilvl="7" w:tplc="9530BF1E">
      <w:numFmt w:val="bullet"/>
      <w:lvlText w:val="•"/>
      <w:lvlJc w:val="left"/>
      <w:pPr>
        <w:ind w:left="6758" w:hanging="356"/>
      </w:pPr>
      <w:rPr>
        <w:rFonts w:hint="default"/>
        <w:lang w:val="es-ES" w:eastAsia="en-US" w:bidi="ar-SA"/>
      </w:rPr>
    </w:lvl>
    <w:lvl w:ilvl="8" w:tplc="64B87014">
      <w:numFmt w:val="bullet"/>
      <w:lvlText w:val="•"/>
      <w:lvlJc w:val="left"/>
      <w:pPr>
        <w:ind w:left="7601" w:hanging="3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A5F"/>
    <w:rsid w:val="00041275"/>
    <w:rsid w:val="00247E2D"/>
    <w:rsid w:val="00437E13"/>
    <w:rsid w:val="0047467C"/>
    <w:rsid w:val="00485F5A"/>
    <w:rsid w:val="004F176E"/>
    <w:rsid w:val="00707D53"/>
    <w:rsid w:val="007A07D1"/>
    <w:rsid w:val="007A6822"/>
    <w:rsid w:val="0088036F"/>
    <w:rsid w:val="00935627"/>
    <w:rsid w:val="00A21A7B"/>
    <w:rsid w:val="00A23A5F"/>
    <w:rsid w:val="00A555ED"/>
    <w:rsid w:val="00BE3F99"/>
    <w:rsid w:val="00C57965"/>
    <w:rsid w:val="00D422AC"/>
    <w:rsid w:val="00D76A64"/>
    <w:rsid w:val="00D91B40"/>
    <w:rsid w:val="00DA4286"/>
    <w:rsid w:val="00DD57C4"/>
    <w:rsid w:val="00DD77EE"/>
    <w:rsid w:val="00DF3976"/>
    <w:rsid w:val="00E6351F"/>
    <w:rsid w:val="00F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3E8BD98E"/>
  <w15:docId w15:val="{85312832-6677-4C4D-9890-93053CDF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54" w:right="635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71"/>
    </w:pPr>
  </w:style>
  <w:style w:type="paragraph" w:styleId="Encabezado">
    <w:name w:val="header"/>
    <w:basedOn w:val="Normal"/>
    <w:link w:val="EncabezadoCar"/>
    <w:uiPriority w:val="99"/>
    <w:unhideWhenUsed/>
    <w:rsid w:val="00247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E2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7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E2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INFORME PARA LAS ORDENES FORALES</vt:lpstr>
    </vt:vector>
  </TitlesOfParts>
  <Company>Diputación Foral de Alava Arabako foru aldundia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PARA LAS ORDENES FORALES</dc:title>
  <dc:creator>SGLAGUILETA_EDU</dc:creator>
  <cp:lastModifiedBy>Arias Lopez de Lacalle, Arrate</cp:lastModifiedBy>
  <cp:revision>14</cp:revision>
  <dcterms:created xsi:type="dcterms:W3CDTF">2021-02-23T07:12:00Z</dcterms:created>
  <dcterms:modified xsi:type="dcterms:W3CDTF">2021-03-02T09:00:00Z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2021-02-22T00:00:00Z</vt:filetime>
  </property>
</Properties>
</file>