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5B41F7" w:rsidRPr="000B0983" w:rsidRDefault="001142FD" w:rsidP="005B41F7">
      <w:pPr>
        <w:jc w:val="both"/>
        <w:rPr>
          <w:rFonts w:ascii="Tahoma" w:hAnsi="Tahoma" w:cs="Tahoma"/>
          <w:b/>
          <w:sz w:val="22"/>
          <w:szCs w:val="22"/>
        </w:rPr>
      </w:pPr>
      <w:r w:rsidRPr="000B0983">
        <w:rPr>
          <w:b/>
          <w:sz w:val="24"/>
          <w:szCs w:val="24"/>
          <w:u w:val="single"/>
          <w:lang w:val="es-ES_tradnl"/>
        </w:rPr>
        <w:t xml:space="preserve">DICTAMEN SOBRE EL PROYECTO DE DECRETO FORAL </w:t>
      </w:r>
      <w:r w:rsidR="005B41F7" w:rsidRPr="000B0983">
        <w:rPr>
          <w:rFonts w:eastAsiaTheme="minorHAnsi"/>
          <w:b/>
          <w:sz w:val="24"/>
          <w:szCs w:val="24"/>
          <w:u w:val="single"/>
          <w:lang w:eastAsia="en-US"/>
        </w:rPr>
        <w:t xml:space="preserve">POR EL QUE SE DESARROLLAN LAS NUEVAS OBLIGACIONES DE INFORMACIÓN SOBRE LOS MECANISMOS TRANSFRONTERIZOS DE PLANIFICACIÓN FISCAL </w:t>
      </w:r>
    </w:p>
    <w:p w:rsidR="001142FD" w:rsidRDefault="005B41F7" w:rsidP="005B41F7">
      <w:pPr>
        <w:autoSpaceDE w:val="0"/>
        <w:autoSpaceDN w:val="0"/>
        <w:adjustRightInd w:val="0"/>
        <w:rPr>
          <w:b/>
          <w:sz w:val="24"/>
          <w:szCs w:val="24"/>
          <w:u w:val="single"/>
          <w:lang w:val="es-ES_tradnl"/>
        </w:rPr>
      </w:pPr>
      <w:r w:rsidRPr="000B0983">
        <w:rPr>
          <w:b/>
          <w:sz w:val="24"/>
          <w:szCs w:val="24"/>
          <w:u w:val="single"/>
          <w:lang w:val="es-ES_tradnl"/>
        </w:rPr>
        <w:t>(</w:t>
      </w:r>
      <w:proofErr w:type="gramStart"/>
      <w:r w:rsidR="0027773B" w:rsidRPr="000B0983">
        <w:rPr>
          <w:b/>
          <w:sz w:val="24"/>
          <w:szCs w:val="24"/>
          <w:u w:val="single"/>
          <w:lang w:val="es-ES_tradnl"/>
        </w:rPr>
        <w:t>sesión</w:t>
      </w:r>
      <w:proofErr w:type="gramEnd"/>
      <w:r w:rsidR="00EC4C76" w:rsidRPr="000B0983">
        <w:rPr>
          <w:b/>
          <w:sz w:val="24"/>
          <w:szCs w:val="24"/>
          <w:u w:val="single"/>
          <w:lang w:val="es-ES_tradnl"/>
        </w:rPr>
        <w:t xml:space="preserve"> Comisión Consultiva</w:t>
      </w:r>
      <w:r w:rsidR="0038239A" w:rsidRPr="000B0983">
        <w:rPr>
          <w:b/>
          <w:sz w:val="24"/>
          <w:szCs w:val="24"/>
          <w:u w:val="single"/>
          <w:lang w:val="es-ES_tradnl"/>
        </w:rPr>
        <w:t xml:space="preserve"> 16</w:t>
      </w:r>
      <w:r w:rsidR="0055105F" w:rsidRPr="000B0983">
        <w:rPr>
          <w:b/>
          <w:sz w:val="24"/>
          <w:szCs w:val="24"/>
          <w:u w:val="single"/>
          <w:lang w:val="es-ES_tradnl"/>
        </w:rPr>
        <w:t xml:space="preserve"> octubre</w:t>
      </w:r>
      <w:r w:rsidR="0027773B" w:rsidRPr="000B0983">
        <w:rPr>
          <w:b/>
          <w:sz w:val="24"/>
          <w:szCs w:val="24"/>
          <w:u w:val="single"/>
          <w:lang w:val="es-ES_tradnl"/>
        </w:rPr>
        <w:t xml:space="preserve"> 2020)</w:t>
      </w:r>
      <w:bookmarkStart w:id="0" w:name="_GoBack"/>
      <w:bookmarkEnd w:id="0"/>
    </w:p>
    <w:p w:rsidR="0038239A" w:rsidRDefault="0038239A" w:rsidP="0055105F">
      <w:pPr>
        <w:autoSpaceDE w:val="0"/>
        <w:autoSpaceDN w:val="0"/>
        <w:adjustRightInd w:val="0"/>
        <w:rPr>
          <w:b/>
          <w:sz w:val="24"/>
          <w:szCs w:val="24"/>
          <w:u w:val="single"/>
          <w:lang w:val="es-ES_tradnl"/>
        </w:rPr>
      </w:pPr>
    </w:p>
    <w:p w:rsidR="0038239A" w:rsidRPr="003005D2" w:rsidRDefault="0038239A" w:rsidP="0038239A">
      <w:pPr>
        <w:jc w:val="both"/>
        <w:rPr>
          <w:b/>
          <w:sz w:val="24"/>
          <w:szCs w:val="24"/>
        </w:rPr>
      </w:pPr>
      <w:r w:rsidRPr="003005D2">
        <w:rPr>
          <w:b/>
          <w:sz w:val="24"/>
          <w:szCs w:val="24"/>
        </w:rPr>
        <w:t>I.- ANTECEDENTES DE HECHO</w:t>
      </w:r>
    </w:p>
    <w:p w:rsidR="0038239A" w:rsidRPr="003005D2" w:rsidRDefault="0038239A" w:rsidP="0038239A">
      <w:pPr>
        <w:jc w:val="both"/>
        <w:rPr>
          <w:b/>
          <w:sz w:val="24"/>
          <w:szCs w:val="24"/>
        </w:rPr>
      </w:pPr>
    </w:p>
    <w:p w:rsidR="0038239A" w:rsidRPr="003005D2" w:rsidRDefault="0038239A" w:rsidP="0038239A">
      <w:pPr>
        <w:jc w:val="both"/>
        <w:rPr>
          <w:sz w:val="24"/>
          <w:szCs w:val="24"/>
          <w:lang w:val="es-ES_tradnl"/>
        </w:rPr>
      </w:pPr>
      <w:r w:rsidRPr="003005D2">
        <w:rPr>
          <w:sz w:val="24"/>
          <w:szCs w:val="24"/>
          <w:lang w:val="es-ES_tradnl"/>
        </w:rPr>
        <w:t>El proyecto de Decreto Foral objeto del presente Dictamen ha sido remitido a esta Comisión Consultiva por la Diputada Foral del Departamento de Hacienda, Finanzas y Presupuestos, de conformidad con lo previsto en el apartado 1 del artículo 17 del Decreto Foral del Consejo de Diputados 40/1999, de 30 de marzo. A la petición de dictamen se acompaña una memoria con los resultados de los trámites de audiencia e información pública, un informe de impacto normativo,  un informe económico y un informe de evaluación previa de impacto del género, tal como dispone el Decreto Foral 29/2017, del Consejo de Gobierno Foral de 23 de mayo, que aprueba el procedimiento de elaboración de disposiciones de carácter general, las guías para la elaboración de los informes de impacto normativo y de impacto de género y las directrices de técnica normativa.</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Mediante el citado proyecto de Decreto Foral se desarrollan las nuevas obligaciones de información sobre los mecanismos transfronterizos de planificación fiscal.</w:t>
      </w:r>
    </w:p>
    <w:p w:rsidR="0038239A" w:rsidRPr="003005D2" w:rsidRDefault="0038239A" w:rsidP="0038239A">
      <w:pPr>
        <w:jc w:val="both"/>
        <w:rPr>
          <w:sz w:val="24"/>
          <w:szCs w:val="24"/>
          <w:lang w:val="es-ES_tradnl"/>
        </w:rPr>
      </w:pPr>
    </w:p>
    <w:p w:rsidR="0038239A" w:rsidRPr="003005D2" w:rsidRDefault="0038239A" w:rsidP="0038239A">
      <w:pPr>
        <w:jc w:val="both"/>
        <w:rPr>
          <w:b/>
          <w:sz w:val="24"/>
          <w:szCs w:val="24"/>
        </w:rPr>
      </w:pPr>
      <w:r w:rsidRPr="003005D2">
        <w:rPr>
          <w:b/>
          <w:sz w:val="24"/>
          <w:szCs w:val="24"/>
        </w:rPr>
        <w:t>II.-CONSIDERACIONES JURÍDICAS</w:t>
      </w:r>
    </w:p>
    <w:p w:rsidR="0038239A" w:rsidRPr="003005D2" w:rsidRDefault="0038239A" w:rsidP="0038239A">
      <w:pPr>
        <w:jc w:val="both"/>
        <w:rPr>
          <w:b/>
          <w:sz w:val="24"/>
          <w:szCs w:val="24"/>
        </w:rPr>
      </w:pPr>
    </w:p>
    <w:p w:rsidR="0038239A" w:rsidRPr="003005D2" w:rsidRDefault="0038239A" w:rsidP="0038239A">
      <w:pPr>
        <w:tabs>
          <w:tab w:val="left" w:pos="1985"/>
          <w:tab w:val="num" w:pos="2705"/>
        </w:tabs>
        <w:jc w:val="both"/>
        <w:rPr>
          <w:b/>
          <w:sz w:val="24"/>
          <w:szCs w:val="24"/>
        </w:rPr>
      </w:pPr>
      <w:r w:rsidRPr="003005D2">
        <w:rPr>
          <w:b/>
          <w:sz w:val="24"/>
          <w:szCs w:val="24"/>
        </w:rPr>
        <w:t>1.- COMPETENCIA DE LA COMISIÓN CONSULTIVA PARA LA EMISION DEL DICTAMEN</w:t>
      </w:r>
    </w:p>
    <w:p w:rsidR="0038239A" w:rsidRPr="003005D2" w:rsidRDefault="0038239A" w:rsidP="0038239A">
      <w:pPr>
        <w:tabs>
          <w:tab w:val="left" w:pos="1985"/>
          <w:tab w:val="num" w:pos="2705"/>
        </w:tabs>
        <w:jc w:val="both"/>
        <w:rPr>
          <w:b/>
          <w:sz w:val="24"/>
          <w:szCs w:val="24"/>
        </w:rPr>
      </w:pPr>
    </w:p>
    <w:p w:rsidR="0038239A" w:rsidRPr="003005D2" w:rsidRDefault="0038239A" w:rsidP="0038239A">
      <w:pPr>
        <w:jc w:val="both"/>
        <w:rPr>
          <w:i/>
          <w:sz w:val="24"/>
          <w:szCs w:val="24"/>
          <w:lang w:val="es-ES_tradnl"/>
        </w:rPr>
      </w:pPr>
      <w:r w:rsidRPr="003005D2">
        <w:rPr>
          <w:sz w:val="24"/>
          <w:szCs w:val="24"/>
          <w:lang w:val="es-ES_tradnl"/>
        </w:rPr>
        <w:t xml:space="preserve">El Decreto Foral 40/1999, del Consejo de Diputados de 30 de marzo, en su artículo 3, establece las competencias de la Comisión Consultiva de la Administración Foral de Álava, entre las cuales se encuentra emitir dictamen sobre </w:t>
      </w:r>
      <w:r w:rsidRPr="003005D2">
        <w:rPr>
          <w:i/>
          <w:sz w:val="24"/>
          <w:szCs w:val="24"/>
          <w:lang w:val="es-ES_tradnl"/>
        </w:rPr>
        <w:t>“Proyectos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38239A" w:rsidRPr="003005D2" w:rsidRDefault="0038239A" w:rsidP="0038239A">
      <w:pPr>
        <w:jc w:val="both"/>
        <w:rPr>
          <w:i/>
          <w:sz w:val="24"/>
          <w:szCs w:val="24"/>
          <w:lang w:val="es-ES_tradnl"/>
        </w:rPr>
      </w:pPr>
    </w:p>
    <w:p w:rsidR="0038239A" w:rsidRPr="003005D2" w:rsidRDefault="0038239A" w:rsidP="0038239A">
      <w:pPr>
        <w:jc w:val="both"/>
        <w:rPr>
          <w:i/>
          <w:sz w:val="24"/>
          <w:szCs w:val="24"/>
          <w:lang w:val="es-ES_tradnl"/>
        </w:rPr>
      </w:pPr>
      <w:r w:rsidRPr="003005D2">
        <w:rPr>
          <w:sz w:val="24"/>
          <w:szCs w:val="24"/>
          <w:lang w:val="es-ES_tradnl"/>
        </w:rPr>
        <w:t>La primera referencia sobre la competencia del Territorio Histórico en el ámbito tributario la encontramos en la Disposición Adicional Primera de la Constitución Española que establece: “</w:t>
      </w:r>
      <w:r w:rsidRPr="003005D2">
        <w:rPr>
          <w:i/>
          <w:sz w:val="24"/>
          <w:szCs w:val="24"/>
          <w:lang w:val="es-ES_tradnl"/>
        </w:rPr>
        <w:t>La Constitución ampara y respeta los derechos históricos de los territorios forales. La actualización general de dicho régimen foral se llevará a cabo, en su caso, en el marco de la Constitución y de los Estatutos de Autonomía”.</w:t>
      </w:r>
    </w:p>
    <w:p w:rsidR="0038239A" w:rsidRPr="003005D2" w:rsidRDefault="0038239A" w:rsidP="0038239A">
      <w:pPr>
        <w:jc w:val="both"/>
        <w:rPr>
          <w:i/>
          <w:sz w:val="24"/>
          <w:szCs w:val="24"/>
          <w:lang w:val="es-ES_tradnl"/>
        </w:rPr>
      </w:pPr>
    </w:p>
    <w:p w:rsidR="0038239A" w:rsidRPr="003005D2" w:rsidRDefault="0038239A" w:rsidP="0038239A">
      <w:pPr>
        <w:jc w:val="both"/>
        <w:rPr>
          <w:b/>
          <w:i/>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 xml:space="preserve">A su vez, el Estatuto de Autonomía del País Vasco, en su artículo 41.2.a), señala que </w:t>
      </w:r>
      <w:r w:rsidRPr="003005D2">
        <w:rPr>
          <w:i/>
          <w:sz w:val="24"/>
          <w:szCs w:val="24"/>
          <w:lang w:val="es-ES_tradnl"/>
        </w:rPr>
        <w:t>“las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y las que dicte el Parlamento Vasco para idénticas finalidades dentro de la Comunidad Autónoma”</w:t>
      </w:r>
      <w:r w:rsidRPr="003005D2">
        <w:rPr>
          <w:sz w:val="24"/>
          <w:szCs w:val="24"/>
          <w:lang w:val="es-ES_tradnl"/>
        </w:rPr>
        <w:t>.</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El Concierto Económico suscrito entre el Estado y el País Vasco, aprobado por la Ley 12/2002, de 23 de mayo, establece en su artículo 1. Uno:</w:t>
      </w:r>
    </w:p>
    <w:p w:rsidR="0038239A" w:rsidRPr="003005D2" w:rsidRDefault="0038239A" w:rsidP="0038239A">
      <w:pPr>
        <w:jc w:val="both"/>
        <w:rPr>
          <w:sz w:val="24"/>
          <w:szCs w:val="24"/>
          <w:lang w:val="es-ES_tradnl"/>
        </w:rPr>
      </w:pPr>
    </w:p>
    <w:p w:rsidR="0038239A" w:rsidRPr="003005D2" w:rsidRDefault="0038239A" w:rsidP="0038239A">
      <w:pPr>
        <w:ind w:left="708"/>
        <w:jc w:val="both"/>
        <w:rPr>
          <w:i/>
          <w:sz w:val="24"/>
          <w:szCs w:val="24"/>
        </w:rPr>
      </w:pPr>
      <w:r w:rsidRPr="003005D2">
        <w:rPr>
          <w:i/>
          <w:sz w:val="24"/>
          <w:szCs w:val="24"/>
        </w:rPr>
        <w:t>“Las Instituciones competentes de los Territorios Históricos podrán mantener, establecer y regular, dentro de su territorio, su régimen tributario”.</w:t>
      </w:r>
    </w:p>
    <w:p w:rsidR="0038239A" w:rsidRPr="003005D2" w:rsidRDefault="0038239A" w:rsidP="0038239A">
      <w:pPr>
        <w:ind w:left="708"/>
        <w:jc w:val="both"/>
        <w:rPr>
          <w:i/>
          <w:sz w:val="24"/>
          <w:szCs w:val="24"/>
        </w:rPr>
      </w:pPr>
    </w:p>
    <w:p w:rsidR="0038239A" w:rsidRPr="003005D2" w:rsidRDefault="0038239A" w:rsidP="0038239A">
      <w:pPr>
        <w:jc w:val="both"/>
        <w:rPr>
          <w:sz w:val="24"/>
          <w:szCs w:val="24"/>
          <w:lang w:val="es-ES_tradnl"/>
        </w:rPr>
      </w:pPr>
      <w:r w:rsidRPr="003005D2">
        <w:rPr>
          <w:sz w:val="24"/>
          <w:szCs w:val="24"/>
          <w:lang w:val="es-ES_tradnl"/>
        </w:rPr>
        <w:t>Asimismo, el artículo 46.Dos del ya citado Concierto Económico con el País Vasco contempla el reparto competencial del cumplimiento de las obligaciones de suministro general de información tributaria entre los diferentes territorios:</w:t>
      </w:r>
    </w:p>
    <w:p w:rsidR="0038239A" w:rsidRPr="003005D2" w:rsidRDefault="0038239A" w:rsidP="0038239A">
      <w:pPr>
        <w:jc w:val="both"/>
        <w:rPr>
          <w:sz w:val="24"/>
          <w:szCs w:val="24"/>
          <w:lang w:val="es-ES_tradnl"/>
        </w:rPr>
      </w:pPr>
    </w:p>
    <w:p w:rsidR="0038239A" w:rsidRPr="003005D2" w:rsidRDefault="0038239A" w:rsidP="0038239A">
      <w:pPr>
        <w:ind w:left="708"/>
        <w:jc w:val="both"/>
        <w:rPr>
          <w:i/>
          <w:sz w:val="24"/>
          <w:szCs w:val="24"/>
        </w:rPr>
      </w:pPr>
      <w:r w:rsidRPr="003005D2">
        <w:rPr>
          <w:i/>
          <w:sz w:val="24"/>
          <w:szCs w:val="24"/>
        </w:rPr>
        <w:t>“Dos. Las declaraciones que tengan por objeto dar cumplimiento a las distintas obligaciones de suministro general de información tributaria legalmente exigidas deberán presentarse, con arreglo a su respectiva normativa, ante la Administración del Estado o ante la Diputación Foral competente por razón del territorio, con arreglo a los siguientes criterios:</w:t>
      </w:r>
    </w:p>
    <w:p w:rsidR="0038239A" w:rsidRPr="003005D2" w:rsidRDefault="0038239A" w:rsidP="0038239A">
      <w:pPr>
        <w:ind w:left="708"/>
        <w:jc w:val="both"/>
        <w:rPr>
          <w:i/>
          <w:sz w:val="24"/>
          <w:szCs w:val="24"/>
        </w:rPr>
      </w:pPr>
      <w:r w:rsidRPr="003005D2">
        <w:rPr>
          <w:i/>
          <w:sz w:val="24"/>
          <w:szCs w:val="24"/>
        </w:rPr>
        <w:t>a) Tratándose de obligados tributarios que desarrollen actividades económicas, ante la Administración a la que corresponda la competencia para la comprobación e investigación de dichas actividades empresariales o profesionales.</w:t>
      </w:r>
    </w:p>
    <w:p w:rsidR="0038239A" w:rsidRPr="003005D2" w:rsidRDefault="0038239A" w:rsidP="0038239A">
      <w:pPr>
        <w:ind w:left="708"/>
        <w:jc w:val="both"/>
        <w:rPr>
          <w:i/>
          <w:sz w:val="24"/>
          <w:szCs w:val="24"/>
        </w:rPr>
      </w:pPr>
      <w:r w:rsidRPr="003005D2">
        <w:rPr>
          <w:i/>
          <w:sz w:val="24"/>
          <w:szCs w:val="24"/>
        </w:rPr>
        <w:t>b) Tratándose de obligados tributarios que no desarrollen actividades económicas, según que estén domiciliados fiscalmente en territorio común o foral.</w:t>
      </w:r>
    </w:p>
    <w:p w:rsidR="0038239A" w:rsidRPr="003005D2" w:rsidRDefault="0038239A" w:rsidP="0038239A">
      <w:pPr>
        <w:ind w:left="708"/>
        <w:jc w:val="both"/>
        <w:rPr>
          <w:i/>
          <w:sz w:val="24"/>
          <w:szCs w:val="24"/>
        </w:rPr>
      </w:pPr>
      <w:r w:rsidRPr="003005D2">
        <w:rPr>
          <w:i/>
          <w:sz w:val="24"/>
          <w:szCs w:val="24"/>
        </w:rPr>
        <w:t>A los efectos de lo dispuesto en las letras anteriores, cuando se trate de herencias yacentes, comunidades de bienes u otras entidades carentes de personalidad jurídica, las referidas declaraciones deberán asimismo presentarse ante la administración en la que estén domiciliados fiscalmente sus miembros o partícipes.”</w:t>
      </w:r>
    </w:p>
    <w:p w:rsidR="0038239A" w:rsidRPr="003005D2" w:rsidRDefault="0038239A" w:rsidP="0038239A">
      <w:pPr>
        <w:ind w:left="708"/>
        <w:jc w:val="both"/>
        <w:rPr>
          <w:i/>
          <w:sz w:val="24"/>
          <w:szCs w:val="24"/>
        </w:rPr>
      </w:pPr>
    </w:p>
    <w:p w:rsidR="0038239A" w:rsidRPr="003005D2" w:rsidRDefault="0038239A" w:rsidP="0038239A">
      <w:pPr>
        <w:jc w:val="both"/>
        <w:rPr>
          <w:sz w:val="24"/>
          <w:szCs w:val="24"/>
          <w:lang w:val="es-ES_tradnl"/>
        </w:rPr>
      </w:pPr>
      <w:r w:rsidRPr="003005D2">
        <w:rPr>
          <w:sz w:val="24"/>
          <w:szCs w:val="24"/>
          <w:lang w:val="es-ES_tradnl"/>
        </w:rPr>
        <w:t>Por su parte, la Ley 27/1983, de 25 de noviembre, de Relaciones entre las Instituciones Comunes de la Comunidad Autónoma y los Órganos Forales de sus Territorios Históricos, señala en su artículo 7.6, como competencia exclusiva de los Órganos Forales, “</w:t>
      </w:r>
      <w:r w:rsidRPr="003005D2">
        <w:rPr>
          <w:i/>
          <w:sz w:val="24"/>
          <w:szCs w:val="24"/>
          <w:lang w:val="es-ES_tradnl"/>
        </w:rPr>
        <w:t>las establecidas en el art. 41 del Estatuto de Autonomía y, en general, todas las que tengan atribuidas por la Ley del Concierto Económico y por otras normas y disposiciones de carácter tributario</w:t>
      </w:r>
      <w:r w:rsidRPr="003005D2">
        <w:rPr>
          <w:sz w:val="24"/>
          <w:szCs w:val="24"/>
          <w:lang w:val="es-ES_tradnl"/>
        </w:rPr>
        <w:t>”.</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Por último, la  Norma Foral 6/2005, de 28 de febrero, General Tributaria de Álava, que regula los principios y las normas jurídicas generales del sistema tributario del Territorio Histórico de Álava faculta, en su artículo 4, a la Diputación Foral de Álava para dictar cuantas disposiciones  de desarrollo en materia tributaria fueran necesarias.</w:t>
      </w:r>
    </w:p>
    <w:p w:rsidR="0038239A" w:rsidRPr="003005D2" w:rsidRDefault="0038239A" w:rsidP="0038239A">
      <w:pPr>
        <w:jc w:val="both"/>
        <w:rPr>
          <w:sz w:val="24"/>
          <w:szCs w:val="24"/>
          <w:lang w:val="es-ES_tradnl"/>
        </w:rPr>
      </w:pPr>
      <w:r w:rsidRPr="003005D2">
        <w:rPr>
          <w:sz w:val="24"/>
          <w:szCs w:val="24"/>
          <w:lang w:val="es-ES_tradnl"/>
        </w:rPr>
        <w:t>En concreto, la obligación de presentar declaraciones y autoliquidaciones, constituida como una obligación tributaria formal, viene recogida en el artículo 29.2 c) de la citada Norma Foral 6/2005.</w:t>
      </w:r>
    </w:p>
    <w:p w:rsidR="0038239A" w:rsidRPr="003005D2" w:rsidRDefault="0038239A" w:rsidP="0038239A">
      <w:pPr>
        <w:jc w:val="both"/>
        <w:rPr>
          <w:sz w:val="24"/>
          <w:szCs w:val="24"/>
          <w:lang w:val="es-ES_tradnl"/>
        </w:rPr>
      </w:pPr>
      <w:r w:rsidRPr="003005D2">
        <w:rPr>
          <w:sz w:val="24"/>
          <w:szCs w:val="24"/>
        </w:rPr>
        <w:t xml:space="preserve">Asimismo el artículo 90.1  de la citada Norma Foral </w:t>
      </w:r>
      <w:r w:rsidRPr="003005D2">
        <w:rPr>
          <w:sz w:val="24"/>
          <w:szCs w:val="24"/>
          <w:lang w:val="es-ES_tradnl"/>
        </w:rPr>
        <w:t xml:space="preserve">General Tributaria de Álava establece que </w:t>
      </w:r>
      <w:r w:rsidRPr="003005D2">
        <w:rPr>
          <w:sz w:val="24"/>
          <w:szCs w:val="24"/>
        </w:rPr>
        <w:t xml:space="preserve"> “ </w:t>
      </w:r>
      <w:r w:rsidRPr="003005D2">
        <w:rPr>
          <w:i/>
          <w:sz w:val="24"/>
          <w:szCs w:val="24"/>
        </w:rPr>
        <w:t xml:space="preserve">Las personas físicas o jurídicas, públicas o privadas, así como las entidades mencionadas en el apartado 3 del artículo 35 de esta Norma Foral, estarán obligadas a proporcionar a la Administración tributaria toda clase de datos, informes, antecedentes y justificantes con trascendencia tributaria relacionados con el </w:t>
      </w:r>
      <w:r w:rsidRPr="003005D2">
        <w:rPr>
          <w:i/>
          <w:sz w:val="24"/>
          <w:szCs w:val="24"/>
        </w:rPr>
        <w:lastRenderedPageBreak/>
        <w:t>cumplimiento de sus propias obligaciones tributarias o deducidos de sus relaciones económicas, profesionales o financieras con otras personas</w:t>
      </w:r>
      <w:r w:rsidRPr="003005D2">
        <w:rPr>
          <w:sz w:val="24"/>
          <w:szCs w:val="24"/>
        </w:rPr>
        <w:t>”.</w:t>
      </w:r>
    </w:p>
    <w:p w:rsidR="0038239A" w:rsidRPr="003005D2" w:rsidRDefault="0038239A" w:rsidP="0038239A">
      <w:pPr>
        <w:jc w:val="both"/>
        <w:rPr>
          <w:color w:val="FF0000"/>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 xml:space="preserve">Por último, las disposiciones adicionales vigesimocuarta y vigesimoquinta de la misma </w:t>
      </w:r>
      <w:r w:rsidRPr="003005D2">
        <w:rPr>
          <w:sz w:val="24"/>
          <w:szCs w:val="24"/>
        </w:rPr>
        <w:t xml:space="preserve">Norma Foral </w:t>
      </w:r>
      <w:r w:rsidRPr="003005D2">
        <w:rPr>
          <w:sz w:val="24"/>
          <w:szCs w:val="24"/>
          <w:lang w:val="es-ES_tradnl"/>
        </w:rPr>
        <w:t xml:space="preserve">General Tributaria de Álava, recogen respectivamente  la </w:t>
      </w:r>
      <w:r w:rsidRPr="003005D2">
        <w:rPr>
          <w:sz w:val="24"/>
          <w:szCs w:val="24"/>
        </w:rPr>
        <w:t>obligación de información de determinados mecanismos de planificación fiscal y las obligaciones entre particulares derivadas de la obligación de declaración de los mecanismos transfronterizos de planificación fiscal.</w:t>
      </w:r>
    </w:p>
    <w:p w:rsidR="0038239A" w:rsidRPr="003005D2" w:rsidRDefault="0038239A" w:rsidP="0038239A">
      <w:pPr>
        <w:jc w:val="both"/>
        <w:rPr>
          <w:sz w:val="24"/>
          <w:szCs w:val="24"/>
          <w:lang w:val="es-ES_tradnl"/>
        </w:rPr>
      </w:pPr>
      <w:r w:rsidRPr="003005D2">
        <w:rPr>
          <w:sz w:val="24"/>
          <w:szCs w:val="24"/>
          <w:lang w:val="es-ES_tradnl"/>
        </w:rPr>
        <w:t xml:space="preserve">Por todo lo anteriormente expuesto,  el Decreto Foral por el que se desarrollan las nuevas obligaciones de información sobre los mecanismos transfronterizos de planificación fiscal, </w:t>
      </w:r>
      <w:r w:rsidRPr="003005D2">
        <w:rPr>
          <w:sz w:val="24"/>
          <w:szCs w:val="24"/>
        </w:rPr>
        <w:t>debe ser objeto del preceptivo dictamen de esta Comisión Consultiva.</w:t>
      </w:r>
    </w:p>
    <w:p w:rsidR="0038239A" w:rsidRPr="003005D2" w:rsidRDefault="0038239A" w:rsidP="0038239A">
      <w:pPr>
        <w:tabs>
          <w:tab w:val="left" w:pos="1985"/>
          <w:tab w:val="num" w:pos="2705"/>
        </w:tabs>
        <w:jc w:val="both"/>
        <w:rPr>
          <w:b/>
          <w:sz w:val="24"/>
          <w:szCs w:val="24"/>
        </w:rPr>
      </w:pPr>
    </w:p>
    <w:p w:rsidR="0038239A" w:rsidRPr="003005D2" w:rsidRDefault="0038239A" w:rsidP="0038239A">
      <w:pPr>
        <w:tabs>
          <w:tab w:val="left" w:pos="1985"/>
          <w:tab w:val="num" w:pos="2705"/>
        </w:tabs>
        <w:jc w:val="both"/>
        <w:rPr>
          <w:b/>
          <w:sz w:val="24"/>
          <w:szCs w:val="24"/>
        </w:rPr>
      </w:pPr>
      <w:r w:rsidRPr="003005D2">
        <w:rPr>
          <w:b/>
          <w:sz w:val="24"/>
          <w:szCs w:val="24"/>
        </w:rPr>
        <w:t>2.- COMPETENCIA ORGÁNICA Y HABILITACION NORMATIVA</w:t>
      </w:r>
    </w:p>
    <w:p w:rsidR="0038239A" w:rsidRPr="003005D2" w:rsidRDefault="0038239A" w:rsidP="0038239A">
      <w:pPr>
        <w:tabs>
          <w:tab w:val="left" w:pos="1985"/>
          <w:tab w:val="num" w:pos="2705"/>
        </w:tabs>
        <w:jc w:val="both"/>
        <w:rPr>
          <w:b/>
          <w:sz w:val="24"/>
          <w:szCs w:val="24"/>
        </w:rPr>
      </w:pPr>
    </w:p>
    <w:p w:rsidR="0038239A" w:rsidRPr="003005D2" w:rsidRDefault="0038239A" w:rsidP="0038239A">
      <w:pPr>
        <w:jc w:val="both"/>
        <w:rPr>
          <w:sz w:val="24"/>
          <w:szCs w:val="24"/>
          <w:lang w:val="es-ES_tradnl"/>
        </w:rPr>
      </w:pPr>
      <w:r w:rsidRPr="003005D2">
        <w:rPr>
          <w:sz w:val="24"/>
          <w:szCs w:val="24"/>
          <w:lang w:val="es-ES_tradnl"/>
        </w:rPr>
        <w:t xml:space="preserve">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 </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 xml:space="preserve">Por su parte, el artículo 7.2 de la Norma Foral 52/92, de 18 de diciembre, de Organización, Funcionamiento y Régimen Jurídico de la Diputación Foral de Álava establece que, </w:t>
      </w:r>
      <w:r w:rsidRPr="003005D2">
        <w:rPr>
          <w:i/>
          <w:sz w:val="24"/>
          <w:szCs w:val="24"/>
          <w:lang w:val="es-ES_tradnl"/>
        </w:rPr>
        <w:t>“En el ejercicio de la potestad reglamentaria, corresponde al Consejo de Diputados aprobar, mediante Decretos Forales, Reglamentos de ejecución y desarrollo de las Normas Forales”.</w:t>
      </w:r>
    </w:p>
    <w:p w:rsidR="0038239A" w:rsidRPr="003005D2" w:rsidRDefault="0038239A" w:rsidP="0038239A">
      <w:pPr>
        <w:jc w:val="both"/>
        <w:rPr>
          <w:sz w:val="24"/>
          <w:szCs w:val="24"/>
          <w:lang w:val="es-ES_tradnl"/>
        </w:rPr>
      </w:pPr>
    </w:p>
    <w:p w:rsidR="0038239A" w:rsidRPr="003005D2" w:rsidRDefault="0038239A" w:rsidP="0038239A">
      <w:pPr>
        <w:ind w:left="426" w:hanging="426"/>
        <w:jc w:val="both"/>
        <w:rPr>
          <w:b/>
          <w:sz w:val="24"/>
          <w:szCs w:val="24"/>
          <w:lang w:val="es-ES_tradnl"/>
        </w:rPr>
      </w:pPr>
      <w:r w:rsidRPr="003005D2">
        <w:rPr>
          <w:b/>
          <w:sz w:val="24"/>
          <w:szCs w:val="24"/>
          <w:lang w:val="es-ES_tradnl"/>
        </w:rPr>
        <w:t xml:space="preserve">3.- PROCEDIMIENTO </w:t>
      </w:r>
    </w:p>
    <w:p w:rsidR="0038239A" w:rsidRPr="003005D2" w:rsidRDefault="0038239A" w:rsidP="0038239A">
      <w:pPr>
        <w:ind w:left="426" w:hanging="426"/>
        <w:jc w:val="both"/>
        <w:rPr>
          <w:b/>
          <w:sz w:val="24"/>
          <w:szCs w:val="24"/>
          <w:lang w:val="es-ES_tradnl"/>
        </w:rPr>
      </w:pPr>
    </w:p>
    <w:p w:rsidR="0038239A" w:rsidRPr="003005D2" w:rsidRDefault="0038239A" w:rsidP="0038239A">
      <w:pPr>
        <w:jc w:val="both"/>
        <w:rPr>
          <w:sz w:val="24"/>
          <w:szCs w:val="24"/>
        </w:rPr>
      </w:pPr>
      <w:r w:rsidRPr="003005D2">
        <w:rPr>
          <w:sz w:val="24"/>
          <w:szCs w:val="24"/>
        </w:rPr>
        <w:t>Si bien el presente proyecto de Decreto Foral no figura en el Plan Anual Normativo aprobado para el año 2020, en tal caso, como establece el artículo 4.2  Decreto Foral 29/2017, del Consejo de Gobierno Foral, de 23 de mayo,  se deberá justificar la urgencia o la necesidad de tal regulación en la resolución de incoación del procedimiento de elaboración de dicha disposición de carácter general.</w:t>
      </w:r>
    </w:p>
    <w:p w:rsidR="0038239A" w:rsidRPr="003005D2" w:rsidRDefault="0038239A" w:rsidP="0038239A">
      <w:pPr>
        <w:jc w:val="both"/>
        <w:rPr>
          <w:sz w:val="24"/>
          <w:szCs w:val="24"/>
        </w:rPr>
      </w:pPr>
    </w:p>
    <w:p w:rsidR="0038239A" w:rsidRPr="003005D2" w:rsidRDefault="0038239A" w:rsidP="0038239A">
      <w:pPr>
        <w:jc w:val="both"/>
        <w:rPr>
          <w:sz w:val="24"/>
          <w:szCs w:val="24"/>
        </w:rPr>
      </w:pPr>
      <w:r w:rsidRPr="003005D2">
        <w:rPr>
          <w:sz w:val="24"/>
          <w:szCs w:val="24"/>
        </w:rPr>
        <w:t>A este respecto, el proyecto de Decreto Foral objeto del presente dictamen recoge, a la luz de lo dispuesto en el artículo 6.3  de la Norma Foral 6/2005, de 28 de febrero, General Tributaria de Álava,  la necesidad de efectuar la transposición  a la normativa tributaria alavesa  de las normas que dicte la Unión Europea y otros organismos internacionales o supranacionales a los que se atribuya el ejercicio de competencias en materia tributaria.</w:t>
      </w:r>
    </w:p>
    <w:p w:rsidR="0038239A" w:rsidRPr="003005D2" w:rsidRDefault="0038239A" w:rsidP="0038239A">
      <w:pPr>
        <w:jc w:val="both"/>
        <w:rPr>
          <w:sz w:val="24"/>
          <w:szCs w:val="24"/>
        </w:rPr>
      </w:pPr>
    </w:p>
    <w:p w:rsidR="0038239A" w:rsidRPr="003005D2" w:rsidRDefault="0038239A" w:rsidP="0038239A">
      <w:pPr>
        <w:jc w:val="both"/>
        <w:rPr>
          <w:sz w:val="24"/>
          <w:szCs w:val="24"/>
          <w:lang w:val="es-ES_tradnl"/>
        </w:rPr>
      </w:pPr>
      <w:r w:rsidRPr="003005D2">
        <w:rPr>
          <w:sz w:val="24"/>
          <w:szCs w:val="24"/>
          <w:lang w:val="es-ES_tradnl"/>
        </w:rPr>
        <w:t>La tramitación del procedimiento se ha ajustado a las normas vigentes relativas a la elaboración de disposiciones generales, en cuanto al órgano competente para formular la propuesta, la emisión de los informes de impacto normativo, de impacto económico y de evaluación previa de impacto en función del género, la solicitud de consulta a la Comisión Consultiva y el órgano competente para su aprobación.</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 xml:space="preserve">En particular, en atención a lo señalado en el artículo 9 del Decreto Foral 29/2017, del Consejo de Gobierno Foral de 23 de mayo, se ha llevado a cabo la consulta pública previa  del avance del proyecto por medios telemáticos a través de la web de la </w:t>
      </w:r>
      <w:r w:rsidRPr="003005D2">
        <w:rPr>
          <w:sz w:val="24"/>
          <w:szCs w:val="24"/>
          <w:lang w:val="es-ES_tradnl"/>
        </w:rPr>
        <w:lastRenderedPageBreak/>
        <w:t>Diputación Foral de Álava, constando en el expediente la memoria sobre los resultados de este trámite, de fecha 18 de diciembre de 2019, en la que consta que no se han registrado propuestas u observaciones que deban ser valoradas para la redacción de la disposición normativa.</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Por otra parte, con fecha 13 de julio de 2020, el Servicio de Normativa Tributaria emite un informe de impacto de género que fue ratificado por el  Servicio de Igualdad, Cooperación e Interculturalidad  de esta Diputación Foral mediante informe de fecha 8 de septiembre de 2020.</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Por último, a la vista de lo señalado en el artículo 14 del Decreto Foral 29/2017, del Consejo de Gobierno Foral de 23 de mayo, se ha llevado a cabo el trámite de audiencia e información pública  del avance del proyecto de Decreto Foral por medios telemáticos a través de la web de la Diputación Foral de Álava, constando en el expediente la memoria sobre los resultados de este trámite, de fecha 10 de agosto de 2020, en la que consta que no se han registrado propuestas u observaciones que deban ser valoradas para la redacción de la disposición normativa.</w:t>
      </w:r>
    </w:p>
    <w:p w:rsidR="0038239A" w:rsidRPr="003005D2" w:rsidRDefault="0038239A" w:rsidP="0038239A">
      <w:pPr>
        <w:jc w:val="both"/>
        <w:rPr>
          <w:sz w:val="24"/>
          <w:szCs w:val="24"/>
          <w:lang w:val="es-ES_tradnl"/>
        </w:rPr>
      </w:pPr>
    </w:p>
    <w:p w:rsidR="0038239A" w:rsidRPr="003005D2" w:rsidRDefault="0038239A" w:rsidP="0038239A">
      <w:pPr>
        <w:jc w:val="both"/>
        <w:rPr>
          <w:b/>
          <w:sz w:val="24"/>
          <w:szCs w:val="24"/>
        </w:rPr>
      </w:pPr>
      <w:r w:rsidRPr="003005D2">
        <w:rPr>
          <w:b/>
          <w:sz w:val="24"/>
          <w:szCs w:val="24"/>
        </w:rPr>
        <w:t>III.- ESTRUCTURA DEL DECRETO FORAL.</w:t>
      </w:r>
    </w:p>
    <w:p w:rsidR="0038239A" w:rsidRPr="003005D2" w:rsidRDefault="0038239A" w:rsidP="0038239A">
      <w:pPr>
        <w:jc w:val="both"/>
        <w:rPr>
          <w:b/>
          <w:sz w:val="24"/>
          <w:szCs w:val="24"/>
        </w:rPr>
      </w:pPr>
    </w:p>
    <w:p w:rsidR="0038239A" w:rsidRPr="003005D2" w:rsidRDefault="0038239A" w:rsidP="0038239A">
      <w:pPr>
        <w:jc w:val="both"/>
        <w:rPr>
          <w:sz w:val="24"/>
          <w:szCs w:val="24"/>
          <w:lang w:val="es-ES_tradnl"/>
        </w:rPr>
      </w:pPr>
      <w:r w:rsidRPr="003005D2">
        <w:rPr>
          <w:sz w:val="24"/>
          <w:szCs w:val="24"/>
          <w:lang w:val="es-ES_tradnl"/>
        </w:rPr>
        <w:t>El proyecto de Decreto Foral consta de una exposición de motivos, una parte dispositiva con seis artículos, una disposición adicional, una disposición transitoria única  y una  disposición final.</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El proyecto de Decreto Foral, en su disposición adicional, faculta al Diputado o Diputada Foral del Departamento de Hacienda, Finanzas y Presupuestos para fijar los plazos de presentación de la información objeto de regulación.</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Asimismo fija las fechas de inicio de los diversos plazos para la presentación de la información establecida en el Decreto Foral objeto de estudio, dependiendo del caso.</w:t>
      </w:r>
    </w:p>
    <w:p w:rsidR="0038239A" w:rsidRPr="003005D2" w:rsidRDefault="0038239A" w:rsidP="0038239A">
      <w:pPr>
        <w:jc w:val="both"/>
        <w:rPr>
          <w:sz w:val="24"/>
          <w:szCs w:val="24"/>
          <w:lang w:val="es-ES_tradnl"/>
        </w:rPr>
      </w:pPr>
      <w:r w:rsidRPr="003005D2">
        <w:rPr>
          <w:sz w:val="24"/>
          <w:szCs w:val="24"/>
          <w:lang w:val="es-ES_tradnl"/>
        </w:rPr>
        <w:t>Por su parte, la disposición transitoria única fija la fecha del 28 de febrero de 2021 como límite para la declaración de los mecanismos transfronterizos, cuyo deber de declaración nació entre el 25 de junio de 2018 y el 30 de junio de 2020.</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 xml:space="preserve">Por último, la disposición final   establece que el Decreto Foral entrará en vigor el día siguiente de su publicación y tendrá efectos desde el 1 de julio de 2020. </w:t>
      </w:r>
    </w:p>
    <w:p w:rsidR="0038239A" w:rsidRPr="003005D2" w:rsidRDefault="0038239A" w:rsidP="0038239A">
      <w:pPr>
        <w:rPr>
          <w:b/>
          <w:sz w:val="24"/>
          <w:szCs w:val="24"/>
          <w:lang w:val="es-ES_tradnl"/>
        </w:rPr>
      </w:pPr>
    </w:p>
    <w:p w:rsidR="0038239A" w:rsidRPr="003005D2" w:rsidRDefault="0038239A" w:rsidP="0038239A">
      <w:pPr>
        <w:rPr>
          <w:b/>
          <w:sz w:val="24"/>
          <w:szCs w:val="24"/>
          <w:lang w:val="es-ES_tradnl"/>
        </w:rPr>
      </w:pPr>
    </w:p>
    <w:p w:rsidR="0038239A" w:rsidRPr="003005D2" w:rsidRDefault="0038239A" w:rsidP="0038239A">
      <w:pPr>
        <w:jc w:val="both"/>
        <w:rPr>
          <w:b/>
          <w:sz w:val="24"/>
          <w:szCs w:val="24"/>
          <w:lang w:val="es-ES_tradnl"/>
        </w:rPr>
      </w:pPr>
      <w:r w:rsidRPr="003005D2">
        <w:rPr>
          <w:b/>
          <w:sz w:val="24"/>
          <w:szCs w:val="24"/>
          <w:lang w:val="es-ES_tradnl"/>
        </w:rPr>
        <w:t xml:space="preserve">IV. ANÁLISIS DE LA PROPUESTA NORMATIVA </w:t>
      </w:r>
    </w:p>
    <w:p w:rsidR="0038239A" w:rsidRPr="003005D2" w:rsidRDefault="0038239A" w:rsidP="0038239A">
      <w:pPr>
        <w:jc w:val="both"/>
        <w:rPr>
          <w:b/>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t>Los intercambios de información y la transparencia entre las autoridades fiscales son un instrumento de gran relevancia para hacer frente a planificación fiscal agresiva. En este sentido, la Directiva 2011/16/UE, relativa a la cooperación administrativa en el ámbito de la fiscalidad y por la que se deroga la directiva 77/799/CEE,  impone la obligación de notificar a las autoridades fiscales los mecanismos transnacionales que puedan suponer potencialmente planificación fiscal agresiva. A su vez, la autoridad fiscal debe intercambiar automáticamente la información que reciben con el resto de las autoridades fiscales de los demás Estados miembros de la UE, proporcionándoles así información sobre posibles prácticas de elusión y/o evasión fiscal.</w:t>
      </w:r>
    </w:p>
    <w:p w:rsidR="0038239A" w:rsidRPr="003005D2" w:rsidRDefault="0038239A" w:rsidP="0038239A">
      <w:pPr>
        <w:jc w:val="both"/>
        <w:rPr>
          <w:sz w:val="24"/>
          <w:szCs w:val="24"/>
          <w:lang w:val="es-ES_tradnl"/>
        </w:rPr>
      </w:pPr>
    </w:p>
    <w:p w:rsidR="0038239A" w:rsidRPr="003005D2" w:rsidRDefault="0038239A" w:rsidP="0038239A">
      <w:pPr>
        <w:jc w:val="both"/>
        <w:rPr>
          <w:sz w:val="24"/>
          <w:szCs w:val="24"/>
          <w:lang w:val="es-ES_tradnl"/>
        </w:rPr>
      </w:pPr>
      <w:r w:rsidRPr="003005D2">
        <w:rPr>
          <w:sz w:val="24"/>
          <w:szCs w:val="24"/>
          <w:lang w:val="es-ES_tradnl"/>
        </w:rPr>
        <w:lastRenderedPageBreak/>
        <w:t>Pasemos a estudiar los diferentes conceptos que integran esta nueva obligación.</w:t>
      </w:r>
    </w:p>
    <w:p w:rsidR="0038239A" w:rsidRPr="003005D2" w:rsidRDefault="0038239A" w:rsidP="0038239A">
      <w:pPr>
        <w:jc w:val="both"/>
        <w:rPr>
          <w:sz w:val="24"/>
          <w:szCs w:val="24"/>
          <w:lang w:val="es-ES_tradnl"/>
        </w:rPr>
      </w:pPr>
    </w:p>
    <w:p w:rsidR="0038239A" w:rsidRPr="003005D2" w:rsidRDefault="0038239A" w:rsidP="0038239A">
      <w:pPr>
        <w:jc w:val="both"/>
        <w:rPr>
          <w:b/>
          <w:sz w:val="24"/>
          <w:szCs w:val="24"/>
          <w:lang w:val="es-ES_tradnl"/>
        </w:rPr>
      </w:pPr>
      <w:r w:rsidRPr="003005D2">
        <w:rPr>
          <w:b/>
          <w:sz w:val="24"/>
          <w:szCs w:val="24"/>
          <w:lang w:val="es-ES_tradnl"/>
        </w:rPr>
        <w:t xml:space="preserve">Mecanismos transfronterizos de planificación fiscal </w:t>
      </w:r>
    </w:p>
    <w:p w:rsidR="0038239A" w:rsidRPr="003005D2" w:rsidRDefault="0038239A" w:rsidP="0038239A">
      <w:pPr>
        <w:jc w:val="both"/>
        <w:rPr>
          <w:b/>
          <w:sz w:val="24"/>
          <w:szCs w:val="24"/>
          <w:lang w:val="es-ES_tradnl"/>
        </w:rPr>
      </w:pPr>
    </w:p>
    <w:p w:rsidR="0038239A" w:rsidRPr="003005D2" w:rsidRDefault="0038239A" w:rsidP="0038239A">
      <w:pPr>
        <w:jc w:val="both"/>
        <w:rPr>
          <w:sz w:val="24"/>
          <w:szCs w:val="24"/>
          <w:shd w:val="clear" w:color="auto" w:fill="FFFFFF"/>
        </w:rPr>
      </w:pPr>
      <w:r w:rsidRPr="003005D2">
        <w:rPr>
          <w:sz w:val="24"/>
          <w:szCs w:val="24"/>
          <w:lang w:val="es-ES_tradnl"/>
        </w:rPr>
        <w:t xml:space="preserve">Es todo acuerdo, negocio jurídico, mecanismo u operación transfronterizo  que </w:t>
      </w:r>
      <w:r w:rsidRPr="003005D2">
        <w:rPr>
          <w:sz w:val="24"/>
          <w:szCs w:val="24"/>
          <w:shd w:val="clear" w:color="auto" w:fill="FFFFFF"/>
        </w:rPr>
        <w:t>afecten a más de un Estado miembro o a un Estado miembro y un tercer país, siempre y cuando cumpla con alguna de las condiciones establecidas en la propia Directiva.</w:t>
      </w:r>
    </w:p>
    <w:p w:rsidR="0038239A" w:rsidRPr="003005D2" w:rsidRDefault="0038239A" w:rsidP="0038239A">
      <w:pPr>
        <w:jc w:val="both"/>
        <w:rPr>
          <w:sz w:val="24"/>
          <w:szCs w:val="24"/>
          <w:shd w:val="clear" w:color="auto" w:fill="FFFFFF"/>
        </w:rPr>
      </w:pPr>
    </w:p>
    <w:p w:rsidR="0038239A" w:rsidRPr="003005D2" w:rsidRDefault="0038239A" w:rsidP="0038239A">
      <w:pPr>
        <w:jc w:val="both"/>
        <w:rPr>
          <w:sz w:val="24"/>
          <w:szCs w:val="24"/>
          <w:shd w:val="clear" w:color="auto" w:fill="FFFFFF"/>
        </w:rPr>
      </w:pPr>
      <w:r w:rsidRPr="003005D2">
        <w:rPr>
          <w:sz w:val="24"/>
          <w:szCs w:val="24"/>
          <w:shd w:val="clear" w:color="auto" w:fill="FFFFFF"/>
        </w:rPr>
        <w:t>Básicamente, estas condiciones se dan cuando  que uno o más de los participantes en el mecanismo sean residentes fiscales o ejerzan actividades que, directa o indirectamente, afecten a más de una jurisdicción fiscal.</w:t>
      </w:r>
    </w:p>
    <w:p w:rsidR="0038239A" w:rsidRPr="005B41F7" w:rsidRDefault="0038239A" w:rsidP="0038239A">
      <w:pPr>
        <w:pStyle w:val="d1"/>
        <w:shd w:val="clear" w:color="auto" w:fill="FFFFFF"/>
        <w:spacing w:before="150" w:beforeAutospacing="0" w:after="150" w:afterAutospacing="0"/>
        <w:rPr>
          <w:b/>
          <w:i/>
        </w:rPr>
      </w:pPr>
      <w:r w:rsidRPr="005B41F7">
        <w:rPr>
          <w:rStyle w:val="nfasis"/>
          <w:b/>
          <w:i w:val="0"/>
        </w:rPr>
        <w:t>Impuestos a los que afecta la obligación</w:t>
      </w:r>
    </w:p>
    <w:p w:rsidR="0038239A" w:rsidRPr="003005D2" w:rsidRDefault="0038239A" w:rsidP="0038239A">
      <w:pPr>
        <w:pStyle w:val="NormalWeb"/>
        <w:shd w:val="clear" w:color="auto" w:fill="FFFFFF"/>
        <w:spacing w:after="240"/>
        <w:jc w:val="both"/>
      </w:pPr>
      <w:r w:rsidRPr="003005D2">
        <w:t>La obligación de comunicar los mecanismos afecta a todos los tipos de impuestos percibidos por un Estado miembro o sus subdivisiones territoriales o administrativas, incluidas las autoridades locales, o en su nombre, pero NO se aplicará a:</w:t>
      </w:r>
    </w:p>
    <w:p w:rsidR="0038239A" w:rsidRPr="003005D2" w:rsidRDefault="0038239A" w:rsidP="0038239A">
      <w:pPr>
        <w:pStyle w:val="NormalWeb"/>
        <w:numPr>
          <w:ilvl w:val="0"/>
          <w:numId w:val="22"/>
        </w:numPr>
        <w:shd w:val="clear" w:color="auto" w:fill="FFFFFF"/>
        <w:spacing w:after="240"/>
        <w:jc w:val="both"/>
      </w:pPr>
      <w:r w:rsidRPr="003005D2">
        <w:t>El Impuesto sobre el Valor Añadido</w:t>
      </w:r>
    </w:p>
    <w:p w:rsidR="0038239A" w:rsidRPr="003005D2" w:rsidRDefault="0038239A" w:rsidP="0038239A">
      <w:pPr>
        <w:pStyle w:val="NormalWeb"/>
        <w:numPr>
          <w:ilvl w:val="0"/>
          <w:numId w:val="22"/>
        </w:numPr>
        <w:shd w:val="clear" w:color="auto" w:fill="FFFFFF"/>
        <w:spacing w:after="240"/>
        <w:jc w:val="both"/>
      </w:pPr>
      <w:r w:rsidRPr="003005D2">
        <w:t>Los  aranceles aduaneros</w:t>
      </w:r>
    </w:p>
    <w:p w:rsidR="0038239A" w:rsidRPr="003005D2" w:rsidRDefault="0038239A" w:rsidP="0038239A">
      <w:pPr>
        <w:pStyle w:val="NormalWeb"/>
        <w:numPr>
          <w:ilvl w:val="0"/>
          <w:numId w:val="22"/>
        </w:numPr>
        <w:shd w:val="clear" w:color="auto" w:fill="FFFFFF"/>
        <w:spacing w:after="240"/>
        <w:jc w:val="both"/>
      </w:pPr>
      <w:r w:rsidRPr="003005D2">
        <w:t>Impuestos Especiales.</w:t>
      </w:r>
    </w:p>
    <w:p w:rsidR="0038239A" w:rsidRPr="003005D2" w:rsidRDefault="0038239A" w:rsidP="0038239A">
      <w:pPr>
        <w:pStyle w:val="NormalWeb"/>
        <w:numPr>
          <w:ilvl w:val="0"/>
          <w:numId w:val="22"/>
        </w:numPr>
        <w:shd w:val="clear" w:color="auto" w:fill="FFFFFF"/>
        <w:spacing w:after="240"/>
        <w:jc w:val="both"/>
      </w:pPr>
      <w:r w:rsidRPr="003005D2">
        <w:t>Tasas y Precios públicos</w:t>
      </w:r>
    </w:p>
    <w:p w:rsidR="0038239A" w:rsidRPr="003005D2" w:rsidRDefault="0038239A" w:rsidP="0038239A">
      <w:pPr>
        <w:jc w:val="both"/>
        <w:rPr>
          <w:b/>
          <w:sz w:val="24"/>
          <w:szCs w:val="24"/>
        </w:rPr>
      </w:pPr>
      <w:r w:rsidRPr="003005D2">
        <w:rPr>
          <w:b/>
          <w:sz w:val="24"/>
          <w:szCs w:val="24"/>
        </w:rPr>
        <w:t>Señas distintivas</w:t>
      </w:r>
    </w:p>
    <w:p w:rsidR="0038239A" w:rsidRPr="003005D2" w:rsidRDefault="0038239A" w:rsidP="0038239A">
      <w:pPr>
        <w:jc w:val="both"/>
        <w:rPr>
          <w:b/>
          <w:sz w:val="24"/>
          <w:szCs w:val="24"/>
        </w:rPr>
      </w:pPr>
    </w:p>
    <w:p w:rsidR="0038239A" w:rsidRPr="003005D2" w:rsidRDefault="0038239A" w:rsidP="0038239A">
      <w:pPr>
        <w:jc w:val="both"/>
        <w:rPr>
          <w:sz w:val="24"/>
          <w:szCs w:val="24"/>
        </w:rPr>
      </w:pPr>
      <w:r w:rsidRPr="003005D2">
        <w:rPr>
          <w:sz w:val="24"/>
          <w:szCs w:val="24"/>
        </w:rPr>
        <w:t>Para que estos mecanismos transfronterizos deban ser objeto de declaración han de  concurrir alguna de las “señas distintivas”  determinadas en el Anexo IV de la Directiva 2011/16/UE, según la redacción introducida por la Directiva 2018/822/UE.</w:t>
      </w:r>
    </w:p>
    <w:p w:rsidR="0038239A" w:rsidRPr="003005D2" w:rsidRDefault="0038239A" w:rsidP="0038239A">
      <w:pPr>
        <w:jc w:val="both"/>
        <w:rPr>
          <w:sz w:val="24"/>
          <w:szCs w:val="24"/>
        </w:rPr>
      </w:pPr>
      <w:r w:rsidRPr="003005D2">
        <w:rPr>
          <w:sz w:val="24"/>
          <w:szCs w:val="24"/>
        </w:rPr>
        <w:t xml:space="preserve">Estas señas distintivas, que se dividen en cinco categorías,  son: </w:t>
      </w:r>
    </w:p>
    <w:p w:rsidR="0038239A" w:rsidRPr="003005D2" w:rsidRDefault="0038239A" w:rsidP="0038239A">
      <w:pPr>
        <w:jc w:val="both"/>
        <w:rPr>
          <w:sz w:val="24"/>
          <w:szCs w:val="24"/>
        </w:rPr>
      </w:pPr>
    </w:p>
    <w:p w:rsidR="0038239A" w:rsidRPr="003005D2" w:rsidRDefault="0038239A" w:rsidP="0038239A">
      <w:pPr>
        <w:numPr>
          <w:ilvl w:val="0"/>
          <w:numId w:val="23"/>
        </w:numPr>
        <w:shd w:val="clear" w:color="auto" w:fill="FFFFFF"/>
        <w:spacing w:before="75" w:after="100" w:afterAutospacing="1"/>
        <w:jc w:val="both"/>
        <w:rPr>
          <w:sz w:val="24"/>
          <w:szCs w:val="24"/>
        </w:rPr>
      </w:pPr>
      <w:r w:rsidRPr="003005D2">
        <w:rPr>
          <w:sz w:val="24"/>
          <w:szCs w:val="24"/>
        </w:rPr>
        <w:t>A. Señas distintivas generales: Entre ellas, a modo de ejemplo, que la planificación incluya una cláusula de confidencialidad o cuando los honorarios vengan fijados en relación al importe de la ventaja fiscal derivada del mecanismo.</w:t>
      </w:r>
    </w:p>
    <w:p w:rsidR="0038239A" w:rsidRPr="003005D2" w:rsidRDefault="0038239A" w:rsidP="0038239A">
      <w:pPr>
        <w:numPr>
          <w:ilvl w:val="0"/>
          <w:numId w:val="23"/>
        </w:numPr>
        <w:shd w:val="clear" w:color="auto" w:fill="FFFFFF"/>
        <w:spacing w:before="75" w:after="100" w:afterAutospacing="1"/>
        <w:jc w:val="both"/>
        <w:rPr>
          <w:sz w:val="24"/>
          <w:szCs w:val="24"/>
        </w:rPr>
      </w:pPr>
      <w:r w:rsidRPr="003005D2">
        <w:rPr>
          <w:sz w:val="24"/>
          <w:szCs w:val="24"/>
        </w:rPr>
        <w:t>B. Señas distintivas específicas vinculadas a la prueba del beneficio principal: Por ejemplo, que el mecanismo facilite la utilización de pérdidas para reducir la deuda fiscal, incluso mediante el traslado de dichas pérdidas a otra jurisdicción o mediante la aceleración de la utilización de las mismas.</w:t>
      </w:r>
    </w:p>
    <w:p w:rsidR="0038239A" w:rsidRPr="003005D2" w:rsidRDefault="0038239A" w:rsidP="0038239A">
      <w:pPr>
        <w:numPr>
          <w:ilvl w:val="0"/>
          <w:numId w:val="23"/>
        </w:numPr>
        <w:shd w:val="clear" w:color="auto" w:fill="FFFFFF"/>
        <w:spacing w:before="75" w:after="100" w:afterAutospacing="1"/>
        <w:jc w:val="both"/>
        <w:rPr>
          <w:sz w:val="24"/>
          <w:szCs w:val="24"/>
        </w:rPr>
      </w:pPr>
      <w:r w:rsidRPr="003005D2">
        <w:rPr>
          <w:sz w:val="24"/>
          <w:szCs w:val="24"/>
        </w:rPr>
        <w:t>C. Señas distintivas específicas vinculadas a las operaciones transfronterizas: Por ejemplo, un mecanismo que implique la deducibilidad de los pagos transfronterizos efectuados entre dos o varias entidades asociadas en varias jurisdicciones.</w:t>
      </w:r>
    </w:p>
    <w:p w:rsidR="0038239A" w:rsidRPr="003005D2" w:rsidRDefault="0038239A" w:rsidP="0038239A">
      <w:pPr>
        <w:numPr>
          <w:ilvl w:val="0"/>
          <w:numId w:val="23"/>
        </w:numPr>
        <w:shd w:val="clear" w:color="auto" w:fill="FFFFFF"/>
        <w:spacing w:before="75" w:after="100" w:afterAutospacing="1"/>
        <w:jc w:val="both"/>
        <w:rPr>
          <w:sz w:val="24"/>
          <w:szCs w:val="24"/>
        </w:rPr>
      </w:pPr>
      <w:r w:rsidRPr="003005D2">
        <w:rPr>
          <w:sz w:val="24"/>
          <w:szCs w:val="24"/>
        </w:rPr>
        <w:t xml:space="preserve">D. Señas distintivas específicas relativas al intercambio automático de información y la titularidad real: Por ejemplo, mecanismos que utilizan jurisdicciones que no están afectadas por la Directiva 2011/16/UE o sus modificaciones o por acuerdos sobre intercambio automático de información o </w:t>
      </w:r>
      <w:r w:rsidRPr="003005D2">
        <w:rPr>
          <w:sz w:val="24"/>
          <w:szCs w:val="24"/>
        </w:rPr>
        <w:lastRenderedPageBreak/>
        <w:t>mecanismos que facilitan la reclasificación de los tipos de renta en categorías que no están sujetas al intercambio automático de información.</w:t>
      </w:r>
    </w:p>
    <w:p w:rsidR="0038239A" w:rsidRPr="003005D2" w:rsidRDefault="0038239A" w:rsidP="0038239A">
      <w:pPr>
        <w:numPr>
          <w:ilvl w:val="0"/>
          <w:numId w:val="23"/>
        </w:numPr>
        <w:shd w:val="clear" w:color="auto" w:fill="FFFFFF"/>
        <w:spacing w:before="75" w:after="100" w:afterAutospacing="1"/>
        <w:jc w:val="both"/>
        <w:rPr>
          <w:sz w:val="24"/>
          <w:szCs w:val="24"/>
        </w:rPr>
      </w:pPr>
      <w:r w:rsidRPr="003005D2">
        <w:rPr>
          <w:sz w:val="24"/>
          <w:szCs w:val="24"/>
        </w:rPr>
        <w:t>E. Señas distintivas específicas relativas a los precios de transferencia: Por ejemplo, un mecanismo que conlleve la transmisión de activos intangibles difíciles de valorar.</w:t>
      </w:r>
    </w:p>
    <w:p w:rsidR="0038239A" w:rsidRPr="003005D2" w:rsidRDefault="0038239A" w:rsidP="0038239A">
      <w:pPr>
        <w:jc w:val="both"/>
        <w:rPr>
          <w:b/>
          <w:sz w:val="24"/>
          <w:szCs w:val="24"/>
        </w:rPr>
      </w:pPr>
      <w:r w:rsidRPr="003005D2">
        <w:rPr>
          <w:b/>
          <w:sz w:val="24"/>
          <w:szCs w:val="24"/>
        </w:rPr>
        <w:t>Obligados a presentar la declaración</w:t>
      </w:r>
    </w:p>
    <w:p w:rsidR="0038239A" w:rsidRPr="003005D2" w:rsidRDefault="0038239A" w:rsidP="0038239A">
      <w:pPr>
        <w:jc w:val="both"/>
        <w:rPr>
          <w:b/>
          <w:sz w:val="24"/>
          <w:szCs w:val="24"/>
        </w:rPr>
      </w:pPr>
    </w:p>
    <w:p w:rsidR="0038239A" w:rsidRPr="003005D2" w:rsidRDefault="0038239A" w:rsidP="0038239A">
      <w:pPr>
        <w:jc w:val="both"/>
        <w:rPr>
          <w:sz w:val="24"/>
          <w:szCs w:val="24"/>
        </w:rPr>
      </w:pPr>
      <w:r w:rsidRPr="003005D2">
        <w:rPr>
          <w:sz w:val="24"/>
          <w:szCs w:val="24"/>
        </w:rPr>
        <w:t>Pueden serlo en concepto de intermediario o de obligados tributarios interesados, siempre en las condiciones marcadas por el proyecto de Decreto Foral:</w:t>
      </w:r>
    </w:p>
    <w:p w:rsidR="0038239A" w:rsidRPr="003005D2" w:rsidRDefault="0038239A" w:rsidP="0038239A">
      <w:pPr>
        <w:jc w:val="both"/>
        <w:rPr>
          <w:sz w:val="24"/>
          <w:szCs w:val="24"/>
        </w:rPr>
      </w:pPr>
    </w:p>
    <w:p w:rsidR="0038239A" w:rsidRPr="003005D2" w:rsidRDefault="0038239A" w:rsidP="0038239A">
      <w:pPr>
        <w:jc w:val="both"/>
        <w:rPr>
          <w:sz w:val="24"/>
          <w:szCs w:val="24"/>
          <w:u w:val="single"/>
        </w:rPr>
      </w:pPr>
      <w:r w:rsidRPr="003005D2">
        <w:rPr>
          <w:sz w:val="24"/>
          <w:szCs w:val="24"/>
          <w:u w:val="single"/>
        </w:rPr>
        <w:t xml:space="preserve">Intermediarios: </w:t>
      </w:r>
    </w:p>
    <w:p w:rsidR="0038239A" w:rsidRPr="003005D2" w:rsidRDefault="0038239A" w:rsidP="0038239A">
      <w:pPr>
        <w:jc w:val="both"/>
        <w:rPr>
          <w:sz w:val="24"/>
          <w:szCs w:val="24"/>
          <w:u w:val="single"/>
        </w:rPr>
      </w:pPr>
    </w:p>
    <w:p w:rsidR="0038239A" w:rsidRPr="003005D2" w:rsidRDefault="0038239A" w:rsidP="0038239A">
      <w:pPr>
        <w:jc w:val="both"/>
        <w:rPr>
          <w:sz w:val="24"/>
          <w:szCs w:val="24"/>
        </w:rPr>
      </w:pPr>
      <w:r w:rsidRPr="003005D2">
        <w:rPr>
          <w:sz w:val="24"/>
          <w:szCs w:val="24"/>
        </w:rPr>
        <w:t>1º. Toda persona o entidad que diseñe, comercialice, organice, ponga a disposición para su ejecución un mecanismo transfronterizo sujeto a comunicación de información, o que gestione su ejecución.</w:t>
      </w:r>
    </w:p>
    <w:p w:rsidR="0038239A" w:rsidRPr="003005D2" w:rsidRDefault="0038239A" w:rsidP="0038239A">
      <w:pPr>
        <w:jc w:val="both"/>
        <w:rPr>
          <w:sz w:val="24"/>
          <w:szCs w:val="24"/>
        </w:rPr>
      </w:pPr>
    </w:p>
    <w:p w:rsidR="0038239A" w:rsidRPr="003005D2" w:rsidRDefault="0038239A" w:rsidP="0038239A">
      <w:pPr>
        <w:jc w:val="both"/>
        <w:rPr>
          <w:sz w:val="24"/>
          <w:szCs w:val="24"/>
        </w:rPr>
      </w:pPr>
      <w:r w:rsidRPr="003005D2">
        <w:rPr>
          <w:sz w:val="24"/>
          <w:szCs w:val="24"/>
        </w:rPr>
        <w:t>2º. Toda persona o entidad que conoce o razonablemente cabe suponer que conoce o que se ha comprometido a prestar directamente o por medio de otras personas ayuda, asistencia o asesoramiento con respecto al diseño, comercialización, organización, puesto a disposición para su ejecución o gestión de la ejecución de un mecanismo transfronterizo sujeto a comunicación de información.</w:t>
      </w:r>
    </w:p>
    <w:p w:rsidR="0038239A" w:rsidRPr="003005D2" w:rsidRDefault="0038239A" w:rsidP="0038239A">
      <w:pPr>
        <w:jc w:val="both"/>
        <w:rPr>
          <w:sz w:val="24"/>
          <w:szCs w:val="24"/>
        </w:rPr>
      </w:pPr>
    </w:p>
    <w:p w:rsidR="0038239A" w:rsidRPr="003005D2" w:rsidRDefault="0038239A" w:rsidP="0038239A">
      <w:pPr>
        <w:jc w:val="both"/>
        <w:rPr>
          <w:sz w:val="24"/>
          <w:szCs w:val="24"/>
          <w:u w:val="single"/>
        </w:rPr>
      </w:pPr>
      <w:r w:rsidRPr="003005D2">
        <w:rPr>
          <w:sz w:val="24"/>
          <w:szCs w:val="24"/>
          <w:u w:val="single"/>
        </w:rPr>
        <w:t>Obligado  tributario interesado:</w:t>
      </w:r>
    </w:p>
    <w:p w:rsidR="0038239A" w:rsidRPr="003005D2" w:rsidRDefault="0038239A" w:rsidP="0038239A">
      <w:pPr>
        <w:jc w:val="both"/>
        <w:rPr>
          <w:sz w:val="24"/>
          <w:szCs w:val="24"/>
          <w:u w:val="single"/>
        </w:rPr>
      </w:pPr>
    </w:p>
    <w:p w:rsidR="0038239A" w:rsidRPr="003005D2" w:rsidRDefault="0038239A" w:rsidP="0038239A">
      <w:pPr>
        <w:jc w:val="both"/>
        <w:rPr>
          <w:sz w:val="24"/>
          <w:szCs w:val="24"/>
        </w:rPr>
      </w:pPr>
      <w:r w:rsidRPr="003005D2">
        <w:rPr>
          <w:sz w:val="24"/>
          <w:szCs w:val="24"/>
        </w:rPr>
        <w:t>Cualquier persona o entidad a cuya disposición se ha puesto, para su ejecución, un mecanismo transfronterizo sujeto a comunicación de información o que se dispone a ejecutar o ha ejecutado la primera fase de tales mecanismos, siempre que no exista persona o entidad intermediaria obligada a la presentación de la declaración.</w:t>
      </w:r>
    </w:p>
    <w:p w:rsidR="0038239A" w:rsidRPr="003005D2" w:rsidRDefault="0038239A" w:rsidP="0038239A">
      <w:pPr>
        <w:jc w:val="both"/>
        <w:rPr>
          <w:sz w:val="24"/>
          <w:szCs w:val="24"/>
        </w:rPr>
      </w:pPr>
    </w:p>
    <w:p w:rsidR="0038239A" w:rsidRPr="003005D2" w:rsidRDefault="0038239A" w:rsidP="0038239A">
      <w:pPr>
        <w:jc w:val="both"/>
        <w:rPr>
          <w:b/>
          <w:sz w:val="24"/>
          <w:szCs w:val="24"/>
          <w:lang w:val="es-ES_tradnl"/>
        </w:rPr>
      </w:pPr>
      <w:r w:rsidRPr="003005D2">
        <w:rPr>
          <w:b/>
          <w:sz w:val="24"/>
          <w:szCs w:val="24"/>
          <w:lang w:val="es-ES_tradnl"/>
        </w:rPr>
        <w:t xml:space="preserve">Contenido de la declaración </w:t>
      </w:r>
    </w:p>
    <w:p w:rsidR="0038239A" w:rsidRPr="003005D2" w:rsidRDefault="0038239A" w:rsidP="0038239A">
      <w:pPr>
        <w:jc w:val="both"/>
        <w:rPr>
          <w:b/>
          <w:sz w:val="24"/>
          <w:szCs w:val="24"/>
          <w:lang w:val="es-ES_tradnl"/>
        </w:rPr>
      </w:pPr>
    </w:p>
    <w:p w:rsidR="0038239A" w:rsidRPr="003005D2" w:rsidRDefault="0038239A" w:rsidP="0038239A">
      <w:pPr>
        <w:shd w:val="clear" w:color="auto" w:fill="FFFFFF"/>
        <w:spacing w:after="240"/>
        <w:jc w:val="both"/>
        <w:rPr>
          <w:sz w:val="24"/>
          <w:szCs w:val="24"/>
        </w:rPr>
      </w:pPr>
      <w:r w:rsidRPr="003005D2">
        <w:rPr>
          <w:sz w:val="24"/>
          <w:szCs w:val="24"/>
        </w:rPr>
        <w:t>La información que deberá contener la declaración incluirá los siguientes elementos, según proceda:</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La identificación de los intermediarios y de los contribuyentes afectados, incluido su nombre, su fecha y lugar de nacimiento (en caso de una persona física), residencia fiscal, su número de identificación fiscal (NIF) y, en su caso, las personas que sean empresas asociadas al contribuyente afectado.</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Información pormenorizada sobre las señas distintivas, que hacen que el mecanismo transfronterizo deba declararse.</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Un resumen del contenido del mecanismo transfronterizo sujeto a declaración que incluya una referencia a la denominación por la que se le conozca habitualmente, en su caso, y una descripción en términos abstractos de las actividades empresariales o regímenes pertinentes.</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 xml:space="preserve">La fecha en la que se ha realizado o se va a realizar el primer </w:t>
      </w:r>
      <w:proofErr w:type="gramStart"/>
      <w:r w:rsidRPr="003005D2">
        <w:rPr>
          <w:sz w:val="24"/>
          <w:szCs w:val="24"/>
        </w:rPr>
        <w:t>paso</w:t>
      </w:r>
      <w:proofErr w:type="gramEnd"/>
      <w:r w:rsidRPr="003005D2">
        <w:rPr>
          <w:sz w:val="24"/>
          <w:szCs w:val="24"/>
        </w:rPr>
        <w:t xml:space="preserve"> de la ejecución del mecanismo transfronterizo sujeto a comunicación.</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Información pormenorizada de las disposiciones nacionales que constituyen la base del mecanismo transfronterizo sujeto a comunicación.</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lastRenderedPageBreak/>
        <w:t>El valor del mecanismo transfronterizo sujeto comunicación.</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La determinación del Estado miembro del contribuyente o contribuyentes afectados y de cualesquiera otros Estados miembros que tengan probabilidades de resultar afectados por el mecanismo transfronterizo sujeto a comunicación.</w:t>
      </w:r>
    </w:p>
    <w:p w:rsidR="0038239A" w:rsidRPr="003005D2" w:rsidRDefault="0038239A" w:rsidP="0038239A">
      <w:pPr>
        <w:numPr>
          <w:ilvl w:val="0"/>
          <w:numId w:val="24"/>
        </w:numPr>
        <w:shd w:val="clear" w:color="auto" w:fill="FFFFFF"/>
        <w:spacing w:before="75" w:after="100" w:afterAutospacing="1"/>
        <w:jc w:val="both"/>
        <w:rPr>
          <w:sz w:val="24"/>
          <w:szCs w:val="24"/>
        </w:rPr>
      </w:pPr>
      <w:r w:rsidRPr="003005D2">
        <w:rPr>
          <w:sz w:val="24"/>
          <w:szCs w:val="24"/>
        </w:rPr>
        <w:t>La determinación de cualquier otra persona de un Estado miembro, en su caso, que pudiera verse afectada por dicho mecanismo transfronterizo sujeto a comunicación, con indicación de los Estados miembros a los que está vinculada dicha persona.</w:t>
      </w:r>
    </w:p>
    <w:p w:rsidR="0038239A" w:rsidRPr="003005D2" w:rsidRDefault="0038239A" w:rsidP="0038239A">
      <w:pPr>
        <w:jc w:val="both"/>
        <w:rPr>
          <w:b/>
          <w:sz w:val="24"/>
          <w:szCs w:val="24"/>
          <w:lang w:val="es-ES_tradnl"/>
        </w:rPr>
      </w:pPr>
      <w:r w:rsidRPr="003005D2">
        <w:rPr>
          <w:b/>
          <w:sz w:val="24"/>
          <w:szCs w:val="24"/>
          <w:lang w:val="es-ES_tradnl"/>
        </w:rPr>
        <w:t xml:space="preserve">Nacimiento de la obligación de  declaración </w:t>
      </w:r>
    </w:p>
    <w:p w:rsidR="0038239A" w:rsidRPr="003005D2" w:rsidRDefault="0038239A" w:rsidP="0038239A">
      <w:pPr>
        <w:jc w:val="both"/>
        <w:rPr>
          <w:b/>
          <w:sz w:val="24"/>
          <w:szCs w:val="24"/>
          <w:lang w:val="es-ES_tradnl"/>
        </w:rPr>
      </w:pPr>
    </w:p>
    <w:p w:rsidR="0038239A" w:rsidRPr="003005D2" w:rsidRDefault="0038239A" w:rsidP="0038239A">
      <w:pPr>
        <w:jc w:val="both"/>
        <w:rPr>
          <w:sz w:val="24"/>
          <w:szCs w:val="24"/>
        </w:rPr>
      </w:pPr>
      <w:r w:rsidRPr="003005D2">
        <w:rPr>
          <w:sz w:val="24"/>
          <w:szCs w:val="24"/>
        </w:rPr>
        <w:t>La obligación de información nacerá cuando concurran las siguientes circunstancias:</w:t>
      </w:r>
    </w:p>
    <w:p w:rsidR="0038239A" w:rsidRPr="003005D2" w:rsidRDefault="0038239A" w:rsidP="0038239A">
      <w:pPr>
        <w:jc w:val="both"/>
        <w:rPr>
          <w:sz w:val="24"/>
          <w:szCs w:val="24"/>
        </w:rPr>
      </w:pPr>
    </w:p>
    <w:p w:rsidR="0038239A" w:rsidRPr="003005D2" w:rsidRDefault="0038239A" w:rsidP="0038239A">
      <w:pPr>
        <w:ind w:left="708"/>
        <w:jc w:val="both"/>
        <w:rPr>
          <w:sz w:val="24"/>
          <w:szCs w:val="24"/>
        </w:rPr>
      </w:pPr>
      <w:r w:rsidRPr="003005D2">
        <w:rPr>
          <w:sz w:val="24"/>
          <w:szCs w:val="24"/>
        </w:rPr>
        <w:t>1º. En el caso de la concurrencia de la seña de identidad de mecanismos normalizados, es decir, que cuente con una documentación o estructura sustancialmente normalizadas y que esté a disposición de más de un contribuyente interesado sin que sea necesario adaptarlo sustancialmente para su ejecución, el día siguiente a aquel en que un mecanismo transfronterizo sujeto a comunicación de información se ponga a disposición para su ejecución.</w:t>
      </w:r>
    </w:p>
    <w:p w:rsidR="0038239A" w:rsidRPr="003005D2" w:rsidRDefault="0038239A" w:rsidP="0038239A">
      <w:pPr>
        <w:ind w:left="708"/>
        <w:jc w:val="both"/>
        <w:rPr>
          <w:sz w:val="24"/>
          <w:szCs w:val="24"/>
        </w:rPr>
      </w:pPr>
    </w:p>
    <w:p w:rsidR="0038239A" w:rsidRPr="003005D2" w:rsidRDefault="0038239A" w:rsidP="0038239A">
      <w:pPr>
        <w:ind w:left="708"/>
        <w:jc w:val="both"/>
        <w:rPr>
          <w:sz w:val="24"/>
          <w:szCs w:val="24"/>
        </w:rPr>
      </w:pPr>
      <w:r w:rsidRPr="003005D2">
        <w:rPr>
          <w:sz w:val="24"/>
          <w:szCs w:val="24"/>
        </w:rPr>
        <w:t>2º. En el caso de aquellos mecanismos que cuenten con documentación o estructura sustancialmente normalizadas pero que requiera de una modificación relevante para su ejecución, el día siguiente a aquel en que un mecanismo transfronterizo sujeto a comunicación de información sea ejecutable.</w:t>
      </w:r>
    </w:p>
    <w:p w:rsidR="0038239A" w:rsidRPr="003005D2" w:rsidRDefault="0038239A" w:rsidP="0038239A">
      <w:pPr>
        <w:ind w:left="708"/>
        <w:jc w:val="both"/>
        <w:rPr>
          <w:sz w:val="24"/>
          <w:szCs w:val="24"/>
        </w:rPr>
      </w:pPr>
    </w:p>
    <w:p w:rsidR="0038239A" w:rsidRPr="003005D2" w:rsidRDefault="0038239A" w:rsidP="0038239A">
      <w:pPr>
        <w:ind w:left="708"/>
        <w:jc w:val="both"/>
        <w:rPr>
          <w:sz w:val="24"/>
          <w:szCs w:val="24"/>
        </w:rPr>
      </w:pPr>
      <w:r w:rsidRPr="003005D2">
        <w:rPr>
          <w:sz w:val="24"/>
          <w:szCs w:val="24"/>
        </w:rPr>
        <w:t>3º. En el caso de aquellos mecanismos que no se encuentren en ninguno de los supuestos a que se refieren los casos anteriores, el momento en que se haya realizado la primera fase de ejecución del mecanismo transfronterizo sujeto a comunicación de información.</w:t>
      </w:r>
    </w:p>
    <w:p w:rsidR="0038239A" w:rsidRPr="003005D2" w:rsidRDefault="0038239A" w:rsidP="0038239A">
      <w:pPr>
        <w:ind w:left="708"/>
        <w:jc w:val="both"/>
        <w:rPr>
          <w:sz w:val="24"/>
          <w:szCs w:val="24"/>
        </w:rPr>
      </w:pPr>
    </w:p>
    <w:p w:rsidR="0038239A" w:rsidRPr="003005D2" w:rsidRDefault="0038239A" w:rsidP="0038239A">
      <w:pPr>
        <w:jc w:val="both"/>
        <w:rPr>
          <w:sz w:val="24"/>
          <w:szCs w:val="24"/>
        </w:rPr>
      </w:pPr>
      <w:r w:rsidRPr="003005D2">
        <w:rPr>
          <w:sz w:val="24"/>
          <w:szCs w:val="24"/>
        </w:rPr>
        <w:t>Además, las personas o entidades intermediarias deberán presentar una declaración trimestral de actualización de los datos de los mecanismos transfronterizos comercializables, siempre que hayan sido declarados con anterioridad como mecanismo transfronterizo.</w:t>
      </w:r>
    </w:p>
    <w:p w:rsidR="0038239A" w:rsidRPr="003005D2" w:rsidRDefault="0038239A" w:rsidP="0038239A">
      <w:pPr>
        <w:jc w:val="both"/>
        <w:rPr>
          <w:sz w:val="24"/>
          <w:szCs w:val="24"/>
        </w:rPr>
      </w:pPr>
    </w:p>
    <w:p w:rsidR="0038239A" w:rsidRPr="003005D2" w:rsidRDefault="0038239A" w:rsidP="0038239A">
      <w:pPr>
        <w:jc w:val="both"/>
        <w:rPr>
          <w:sz w:val="24"/>
          <w:szCs w:val="24"/>
        </w:rPr>
      </w:pPr>
      <w:r w:rsidRPr="003005D2">
        <w:rPr>
          <w:sz w:val="24"/>
          <w:szCs w:val="24"/>
        </w:rPr>
        <w:t>Por último, el obligado tributario interesado deberá presentar  una declaración anual sobre la utilización de los mecanismos transfronterizos que hayan debido ser previamente declarados.</w:t>
      </w:r>
    </w:p>
    <w:p w:rsidR="0038239A" w:rsidRPr="003005D2" w:rsidRDefault="0038239A" w:rsidP="0038239A">
      <w:pPr>
        <w:jc w:val="both"/>
        <w:rPr>
          <w:sz w:val="24"/>
          <w:szCs w:val="24"/>
        </w:rPr>
      </w:pPr>
    </w:p>
    <w:p w:rsidR="0038239A" w:rsidRPr="003005D2" w:rsidRDefault="0038239A" w:rsidP="0038239A">
      <w:pPr>
        <w:jc w:val="both"/>
        <w:rPr>
          <w:b/>
          <w:sz w:val="24"/>
          <w:szCs w:val="24"/>
        </w:rPr>
      </w:pPr>
      <w:r w:rsidRPr="003005D2">
        <w:rPr>
          <w:b/>
          <w:sz w:val="24"/>
          <w:szCs w:val="24"/>
        </w:rPr>
        <w:t>Aprobación de los modelos de declaración y su presentación ante la Diputación Foral de Álava</w:t>
      </w:r>
    </w:p>
    <w:p w:rsidR="0038239A" w:rsidRPr="003005D2" w:rsidRDefault="0038239A" w:rsidP="0038239A">
      <w:pPr>
        <w:jc w:val="both"/>
        <w:rPr>
          <w:b/>
          <w:sz w:val="24"/>
          <w:szCs w:val="24"/>
        </w:rPr>
      </w:pPr>
    </w:p>
    <w:p w:rsidR="0038239A" w:rsidRPr="003005D2" w:rsidRDefault="0038239A" w:rsidP="0038239A">
      <w:pPr>
        <w:jc w:val="both"/>
        <w:rPr>
          <w:sz w:val="24"/>
          <w:szCs w:val="24"/>
        </w:rPr>
      </w:pPr>
      <w:r w:rsidRPr="003005D2">
        <w:rPr>
          <w:sz w:val="24"/>
          <w:szCs w:val="24"/>
        </w:rPr>
        <w:t>Las respectivas  Ordenes Forales por las que se aprueben los respectivos  modelos de declaración establecerán los plazos de presentación y contendrán la información exigible en cada caso, así como cualquier otro dato relevante al efecto para concretar aquella información.</w:t>
      </w:r>
    </w:p>
    <w:p w:rsidR="0038239A" w:rsidRPr="003005D2" w:rsidRDefault="0038239A" w:rsidP="0038239A">
      <w:pPr>
        <w:jc w:val="both"/>
        <w:rPr>
          <w:sz w:val="24"/>
          <w:szCs w:val="24"/>
        </w:rPr>
      </w:pPr>
    </w:p>
    <w:p w:rsidR="0038239A" w:rsidRPr="003005D2" w:rsidRDefault="0038239A" w:rsidP="0038239A">
      <w:pPr>
        <w:jc w:val="both"/>
        <w:rPr>
          <w:sz w:val="24"/>
          <w:szCs w:val="24"/>
        </w:rPr>
      </w:pPr>
      <w:r w:rsidRPr="003005D2">
        <w:rPr>
          <w:sz w:val="24"/>
          <w:szCs w:val="24"/>
        </w:rPr>
        <w:t>Tal y como se ha indicado anteriormente, la obligación de presentar las declaraciones ante la Diputación Foral de Álava nace  del artículo 46.Dos del Concierto Económico, esto es, cuando sea competente por razón del territorio.</w:t>
      </w:r>
    </w:p>
    <w:p w:rsidR="0038239A" w:rsidRPr="003005D2" w:rsidRDefault="0038239A" w:rsidP="0038239A">
      <w:pPr>
        <w:jc w:val="both"/>
        <w:rPr>
          <w:sz w:val="24"/>
          <w:szCs w:val="24"/>
        </w:rPr>
      </w:pPr>
    </w:p>
    <w:p w:rsidR="0038239A" w:rsidRPr="003005D2" w:rsidRDefault="0038239A" w:rsidP="0038239A">
      <w:pPr>
        <w:jc w:val="both"/>
        <w:rPr>
          <w:b/>
          <w:sz w:val="24"/>
          <w:szCs w:val="24"/>
        </w:rPr>
      </w:pPr>
    </w:p>
    <w:p w:rsidR="0038239A" w:rsidRPr="003005D2" w:rsidRDefault="0038239A" w:rsidP="0038239A">
      <w:pPr>
        <w:jc w:val="both"/>
        <w:rPr>
          <w:b/>
          <w:sz w:val="24"/>
          <w:szCs w:val="24"/>
        </w:rPr>
      </w:pPr>
      <w:r w:rsidRPr="003005D2">
        <w:rPr>
          <w:b/>
          <w:sz w:val="24"/>
          <w:szCs w:val="24"/>
        </w:rPr>
        <w:t>Publicidad de la información obtenida</w:t>
      </w:r>
    </w:p>
    <w:p w:rsidR="0038239A" w:rsidRPr="003005D2" w:rsidRDefault="0038239A" w:rsidP="0038239A">
      <w:pPr>
        <w:jc w:val="both"/>
        <w:rPr>
          <w:b/>
          <w:sz w:val="24"/>
          <w:szCs w:val="24"/>
        </w:rPr>
      </w:pPr>
    </w:p>
    <w:p w:rsidR="0038239A" w:rsidRPr="003005D2" w:rsidRDefault="0038239A" w:rsidP="0038239A">
      <w:pPr>
        <w:jc w:val="both"/>
        <w:rPr>
          <w:sz w:val="24"/>
          <w:szCs w:val="24"/>
        </w:rPr>
      </w:pPr>
      <w:r w:rsidRPr="003005D2">
        <w:rPr>
          <w:sz w:val="24"/>
          <w:szCs w:val="24"/>
        </w:rPr>
        <w:t>La Diputación Foral de Álava publicará en su sede electrónica, a efectos meramente informativos, los mecanismos transfronterizos de planificación fiscal más relevantes que hayan sido declarados y, en su caso, la información relativa al régimen, la clasificación o la calificación tributaria que en cada caso les corresponda.</w:t>
      </w:r>
    </w:p>
    <w:p w:rsidR="0038239A" w:rsidRPr="003005D2" w:rsidRDefault="0038239A" w:rsidP="0038239A">
      <w:pPr>
        <w:jc w:val="both"/>
        <w:rPr>
          <w:b/>
          <w:sz w:val="24"/>
          <w:szCs w:val="24"/>
        </w:rPr>
      </w:pPr>
    </w:p>
    <w:p w:rsidR="0038239A" w:rsidRPr="003005D2" w:rsidRDefault="0038239A" w:rsidP="0038239A">
      <w:pPr>
        <w:jc w:val="both"/>
        <w:rPr>
          <w:b/>
          <w:sz w:val="24"/>
          <w:szCs w:val="24"/>
        </w:rPr>
      </w:pPr>
      <w:r w:rsidRPr="003005D2">
        <w:rPr>
          <w:b/>
          <w:sz w:val="24"/>
          <w:szCs w:val="24"/>
        </w:rPr>
        <w:t>V. CONCLUSIONES</w:t>
      </w:r>
    </w:p>
    <w:p w:rsidR="0038239A" w:rsidRPr="003005D2" w:rsidRDefault="0038239A" w:rsidP="0038239A">
      <w:pPr>
        <w:jc w:val="both"/>
        <w:rPr>
          <w:b/>
          <w:sz w:val="24"/>
          <w:szCs w:val="24"/>
        </w:rPr>
      </w:pPr>
    </w:p>
    <w:p w:rsidR="0038239A" w:rsidRPr="003005D2" w:rsidRDefault="0038239A" w:rsidP="0038239A">
      <w:pPr>
        <w:jc w:val="both"/>
        <w:outlineLvl w:val="1"/>
        <w:rPr>
          <w:rFonts w:eastAsia="Calibri"/>
          <w:bCs/>
          <w:sz w:val="24"/>
          <w:szCs w:val="24"/>
          <w:lang w:val="es-ES_tradnl"/>
        </w:rPr>
      </w:pPr>
      <w:r w:rsidRPr="003005D2">
        <w:rPr>
          <w:b/>
          <w:bCs/>
          <w:sz w:val="24"/>
          <w:szCs w:val="24"/>
          <w:lang w:val="es-ES_tradnl"/>
        </w:rPr>
        <w:t xml:space="preserve">PRIMERA.- </w:t>
      </w:r>
      <w:r w:rsidRPr="003005D2">
        <w:rPr>
          <w:rFonts w:eastAsia="Calibri"/>
          <w:bCs/>
          <w:sz w:val="24"/>
          <w:szCs w:val="24"/>
          <w:lang w:val="es-ES_tradnl"/>
        </w:rPr>
        <w:t>El Proyecto de Decreto Foral propuesto debe ser objeto de dictamen por la Comisión Consultiva de la Administración Foral de Álava, por ser materia de competencia  del Territorio Histórico de Álava.</w:t>
      </w:r>
    </w:p>
    <w:p w:rsidR="0038239A" w:rsidRPr="003005D2" w:rsidRDefault="0038239A" w:rsidP="0038239A">
      <w:pPr>
        <w:jc w:val="both"/>
        <w:outlineLvl w:val="1"/>
        <w:rPr>
          <w:rFonts w:eastAsia="Calibri"/>
          <w:bCs/>
          <w:sz w:val="24"/>
          <w:szCs w:val="24"/>
          <w:lang w:val="es-ES_tradnl"/>
        </w:rPr>
      </w:pPr>
    </w:p>
    <w:p w:rsidR="0038239A" w:rsidRPr="00910E15" w:rsidRDefault="0038239A" w:rsidP="0038239A">
      <w:pPr>
        <w:jc w:val="both"/>
        <w:outlineLvl w:val="1"/>
        <w:rPr>
          <w:rFonts w:ascii="Tahoma" w:eastAsia="Calibri" w:hAnsi="Tahoma" w:cs="Tahoma"/>
          <w:bCs/>
          <w:sz w:val="22"/>
          <w:szCs w:val="22"/>
          <w:lang w:val="es-ES_tradnl"/>
        </w:rPr>
      </w:pPr>
      <w:r w:rsidRPr="003005D2">
        <w:rPr>
          <w:b/>
          <w:bCs/>
          <w:sz w:val="24"/>
          <w:szCs w:val="24"/>
          <w:lang w:val="es-ES_tradnl"/>
        </w:rPr>
        <w:t>SEGUNDA</w:t>
      </w:r>
      <w:r w:rsidRPr="003005D2">
        <w:rPr>
          <w:bCs/>
          <w:sz w:val="24"/>
          <w:szCs w:val="24"/>
          <w:lang w:val="es-ES_tradnl"/>
        </w:rPr>
        <w:t xml:space="preserve">.- </w:t>
      </w:r>
      <w:r w:rsidRPr="003005D2">
        <w:rPr>
          <w:rFonts w:eastAsia="Calibri"/>
          <w:bCs/>
          <w:sz w:val="24"/>
          <w:szCs w:val="24"/>
          <w:lang w:val="es-ES_tradnl"/>
        </w:rPr>
        <w:t>El Proyecto de Decreto Foral se adecúa al ordenamiento jurídico y se dicta dentro del marco competencial y de habilitación legal establecido en la normativa</w:t>
      </w:r>
      <w:r w:rsidRPr="00910E15">
        <w:rPr>
          <w:rFonts w:ascii="Tahoma" w:eastAsia="Calibri" w:hAnsi="Tahoma" w:cs="Tahoma"/>
          <w:bCs/>
          <w:sz w:val="22"/>
          <w:szCs w:val="22"/>
          <w:lang w:val="es-ES_tradnl"/>
        </w:rPr>
        <w:t>.</w:t>
      </w:r>
    </w:p>
    <w:p w:rsidR="0038239A" w:rsidRPr="0038239A" w:rsidRDefault="0038239A" w:rsidP="0055105F">
      <w:pPr>
        <w:autoSpaceDE w:val="0"/>
        <w:autoSpaceDN w:val="0"/>
        <w:adjustRightInd w:val="0"/>
        <w:rPr>
          <w:rFonts w:eastAsiaTheme="minorHAnsi"/>
          <w:b/>
          <w:sz w:val="24"/>
          <w:szCs w:val="24"/>
          <w:u w:val="single"/>
          <w:lang w:val="es-ES_tradnl" w:eastAsia="en-US"/>
        </w:rPr>
      </w:pPr>
    </w:p>
    <w:p w:rsidR="00835865" w:rsidRDefault="00835865" w:rsidP="00835865">
      <w:pPr>
        <w:jc w:val="both"/>
        <w:rPr>
          <w:b/>
          <w:sz w:val="24"/>
          <w:szCs w:val="24"/>
          <w:u w:val="single"/>
          <w:lang w:val="es-ES_tradnl"/>
        </w:rPr>
      </w:pPr>
      <w:r>
        <w:rPr>
          <w:b/>
          <w:sz w:val="24"/>
          <w:szCs w:val="24"/>
          <w:u w:val="single"/>
          <w:lang w:val="es-ES_tradnl"/>
        </w:rPr>
        <w:t xml:space="preserve"> </w:t>
      </w:r>
    </w:p>
    <w:p w:rsidR="0055105F" w:rsidRDefault="0055105F" w:rsidP="00835865">
      <w:pPr>
        <w:jc w:val="both"/>
        <w:rPr>
          <w:b/>
          <w:sz w:val="24"/>
          <w:szCs w:val="24"/>
          <w:u w:val="single"/>
          <w:lang w:val="es-ES_tradnl"/>
        </w:rPr>
      </w:pPr>
    </w:p>
    <w:p w:rsidR="0055105F" w:rsidRPr="0055105F" w:rsidRDefault="0055105F" w:rsidP="00835865">
      <w:pPr>
        <w:jc w:val="both"/>
        <w:rPr>
          <w:sz w:val="24"/>
          <w:szCs w:val="24"/>
          <w:lang w:val="es-ES_tradnl"/>
        </w:rPr>
      </w:pPr>
    </w:p>
    <w:sectPr w:rsidR="0055105F" w:rsidRPr="005510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423" w:rsidRDefault="00CB1423" w:rsidP="0055105F">
      <w:r>
        <w:separator/>
      </w:r>
    </w:p>
  </w:endnote>
  <w:endnote w:type="continuationSeparator" w:id="0">
    <w:p w:rsidR="00CB1423" w:rsidRDefault="00CB1423" w:rsidP="0055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423" w:rsidRDefault="00CB1423" w:rsidP="0055105F">
      <w:r>
        <w:separator/>
      </w:r>
    </w:p>
  </w:footnote>
  <w:footnote w:type="continuationSeparator" w:id="0">
    <w:p w:rsidR="00CB1423" w:rsidRDefault="00CB1423" w:rsidP="005510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E6724B"/>
    <w:multiLevelType w:val="multilevel"/>
    <w:tmpl w:val="D08E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42F915CE"/>
    <w:multiLevelType w:val="hybridMultilevel"/>
    <w:tmpl w:val="8AC4FA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2">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5">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DE4C26"/>
    <w:multiLevelType w:val="multilevel"/>
    <w:tmpl w:val="1676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60C94E52"/>
    <w:multiLevelType w:val="hybridMultilevel"/>
    <w:tmpl w:val="755E146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6C83354C"/>
    <w:multiLevelType w:val="hybridMultilevel"/>
    <w:tmpl w:val="BF70B1A0"/>
    <w:lvl w:ilvl="0" w:tplc="A322FD60">
      <w:start w:val="1"/>
      <w:numFmt w:val="decimal"/>
      <w:lvlText w:val="%1."/>
      <w:lvlJc w:val="left"/>
      <w:pPr>
        <w:ind w:left="720" w:hanging="360"/>
      </w:pPr>
      <w:rPr>
        <w:rFonts w:ascii="Calibri" w:eastAsia="Calibri" w:hAnsi="Calibri" w:hint="default"/>
        <w:b w:val="0"/>
        <w:spacing w:val="2"/>
        <w:w w:val="102"/>
        <w:sz w:val="21"/>
        <w:szCs w:val="2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F374869"/>
    <w:multiLevelType w:val="hybridMultilevel"/>
    <w:tmpl w:val="532665E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2"/>
  </w:num>
  <w:num w:numId="2">
    <w:abstractNumId w:val="21"/>
  </w:num>
  <w:num w:numId="3">
    <w:abstractNumId w:val="22"/>
  </w:num>
  <w:num w:numId="4">
    <w:abstractNumId w:val="7"/>
  </w:num>
  <w:num w:numId="5">
    <w:abstractNumId w:val="0"/>
  </w:num>
  <w:num w:numId="6">
    <w:abstractNumId w:val="6"/>
  </w:num>
  <w:num w:numId="7">
    <w:abstractNumId w:val="18"/>
  </w:num>
  <w:num w:numId="8">
    <w:abstractNumId w:val="4"/>
  </w:num>
  <w:num w:numId="9">
    <w:abstractNumId w:val="16"/>
  </w:num>
  <w:num w:numId="10">
    <w:abstractNumId w:val="10"/>
  </w:num>
  <w:num w:numId="11">
    <w:abstractNumId w:val="5"/>
  </w:num>
  <w:num w:numId="12">
    <w:abstractNumId w:val="8"/>
  </w:num>
  <w:num w:numId="13">
    <w:abstractNumId w:val="15"/>
  </w:num>
  <w:num w:numId="14">
    <w:abstractNumId w:val="14"/>
  </w:num>
  <w:num w:numId="15">
    <w:abstractNumId w:val="3"/>
  </w:num>
  <w:num w:numId="16">
    <w:abstractNumId w:val="9"/>
  </w:num>
  <w:num w:numId="17">
    <w:abstractNumId w:val="2"/>
  </w:num>
  <w:num w:numId="18">
    <w:abstractNumId w:val="13"/>
  </w:num>
  <w:num w:numId="19">
    <w:abstractNumId w:val="1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0B0983"/>
    <w:rsid w:val="001142FD"/>
    <w:rsid w:val="00272CCB"/>
    <w:rsid w:val="0027773B"/>
    <w:rsid w:val="002864A9"/>
    <w:rsid w:val="002B6238"/>
    <w:rsid w:val="002C050F"/>
    <w:rsid w:val="003005D2"/>
    <w:rsid w:val="0038239A"/>
    <w:rsid w:val="003B4D10"/>
    <w:rsid w:val="0055105F"/>
    <w:rsid w:val="005B41F7"/>
    <w:rsid w:val="005B5A5C"/>
    <w:rsid w:val="006C7C8C"/>
    <w:rsid w:val="00777B2F"/>
    <w:rsid w:val="007A1254"/>
    <w:rsid w:val="007F00EC"/>
    <w:rsid w:val="00830E8C"/>
    <w:rsid w:val="00835865"/>
    <w:rsid w:val="00977705"/>
    <w:rsid w:val="009943B4"/>
    <w:rsid w:val="009A68E6"/>
    <w:rsid w:val="009C211F"/>
    <w:rsid w:val="00A472E1"/>
    <w:rsid w:val="00BF6801"/>
    <w:rsid w:val="00C00967"/>
    <w:rsid w:val="00CB1423"/>
    <w:rsid w:val="00DD4202"/>
    <w:rsid w:val="00E3786E"/>
    <w:rsid w:val="00E81FAD"/>
    <w:rsid w:val="00EC4C76"/>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 w:type="paragraph" w:customStyle="1" w:styleId="d1">
    <w:name w:val="d1"/>
    <w:basedOn w:val="Normal"/>
    <w:rsid w:val="0038239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 w:type="paragraph" w:customStyle="1" w:styleId="d1">
    <w:name w:val="d1"/>
    <w:basedOn w:val="Normal"/>
    <w:rsid w:val="003823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3106</Words>
  <Characters>17085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2020-10-22T13:20:00Z</dcterms:created>
  <dcterms:modified xsi:type="dcterms:W3CDTF">2020-10-22T13:20:00Z</dcterms:modified>
</cp:coreProperties>
</file>