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50F" w:rsidRDefault="002C050F" w:rsidP="002C050F">
      <w:pPr>
        <w:tabs>
          <w:tab w:val="left" w:pos="8460"/>
        </w:tabs>
        <w:spacing w:after="240"/>
        <w:ind w:right="44"/>
        <w:jc w:val="both"/>
        <w:rPr>
          <w:rFonts w:ascii="Arial" w:hAnsi="Arial" w:cs="Arial"/>
          <w:b/>
          <w:sz w:val="24"/>
          <w:szCs w:val="24"/>
          <w:u w:val="single"/>
        </w:rPr>
      </w:pPr>
      <w:r>
        <w:rPr>
          <w:rFonts w:ascii="Arial" w:hAnsi="Arial" w:cs="Arial"/>
          <w:b/>
          <w:sz w:val="24"/>
          <w:szCs w:val="24"/>
          <w:u w:val="single"/>
        </w:rPr>
        <w:t>DICTAMEN SOBRE EL PROYECTO DE DECRETO FORAL DE MODIFICACIÓN DEL REGLAMENTO DEL IMPUES</w:t>
      </w:r>
      <w:r>
        <w:rPr>
          <w:rFonts w:ascii="Arial" w:hAnsi="Arial" w:cs="Arial"/>
          <w:b/>
          <w:sz w:val="24"/>
          <w:szCs w:val="24"/>
          <w:u w:val="single"/>
        </w:rPr>
        <w:t>TO DE LA RENTA DE NO RESIDENTES ( Sesión Comisión Consultiva 31 enero 2020)</w:t>
      </w:r>
      <w:bookmarkStart w:id="0" w:name="_GoBack"/>
      <w:bookmarkEnd w:id="0"/>
    </w:p>
    <w:p w:rsidR="002C050F" w:rsidRDefault="002C050F" w:rsidP="002C050F">
      <w:pPr>
        <w:jc w:val="both"/>
        <w:rPr>
          <w:rFonts w:ascii="Arial" w:hAnsi="Arial" w:cs="Arial"/>
          <w:b/>
          <w:sz w:val="24"/>
          <w:szCs w:val="24"/>
        </w:rPr>
      </w:pPr>
      <w:r w:rsidRPr="00ED582B">
        <w:rPr>
          <w:rFonts w:ascii="Arial" w:hAnsi="Arial" w:cs="Arial"/>
          <w:b/>
          <w:sz w:val="24"/>
          <w:szCs w:val="24"/>
        </w:rPr>
        <w:t>I.- ANTECEDENTES DE HECHO</w:t>
      </w:r>
    </w:p>
    <w:p w:rsidR="002C050F" w:rsidRPr="00ED582B" w:rsidRDefault="002C050F" w:rsidP="002C050F">
      <w:pPr>
        <w:jc w:val="both"/>
        <w:rPr>
          <w:rFonts w:ascii="Arial" w:hAnsi="Arial" w:cs="Arial"/>
          <w:b/>
          <w:sz w:val="24"/>
          <w:szCs w:val="24"/>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El proyecto de Decreto Foral objeto del presente Dictamen ha sido remitido a esta Comisión Consultiva por la Diputada Foral del Departamento de Hacienda, Finanzas y Presupuestos, de conformidad con lo previsto en el apartado 1 del artículo 17 del Decreto Foral del Consejo de Diputados 40/1999, de 30 de marzo. A la petición de dictamen se acompaña una memoria con los resultados de los trámites de audiencia e información pública, un informe de impacto normativo, un informe de efecto económico, un informe económico y un informe de evaluación previa de impacto del género, tal como dispone el Decreto Foral 29/2017, del Consejo de Gobierno Foral de 23 de mayo, que aprueba el procedimiento de elaboración de disposiciones de carácter general, las guías para la elaboración de los informes de impacto normativo y de impacto de género y las directrices de técnica normativa.</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Mediante el citado proyecto de Decreto Foral se añade una disposición adicional tercera al Decreto Foral 3/2016, de 12 de enero, que aprueba el Reglamento del Impuesto sobre la Renta de no Residentes. , en materia de acreditación de la residencia por fondos de pensiones e instituciones de inversión colectiva a efectos de la aplicación de determinadas exenciones.</w:t>
      </w:r>
    </w:p>
    <w:p w:rsidR="002C050F" w:rsidRPr="00ED582B" w:rsidRDefault="002C050F" w:rsidP="002C050F">
      <w:pPr>
        <w:jc w:val="both"/>
        <w:rPr>
          <w:rFonts w:ascii="Arial" w:hAnsi="Arial" w:cs="Arial"/>
          <w:b/>
          <w:sz w:val="24"/>
          <w:szCs w:val="24"/>
        </w:rPr>
      </w:pPr>
    </w:p>
    <w:p w:rsidR="002C050F" w:rsidRDefault="002C050F" w:rsidP="002C050F">
      <w:pPr>
        <w:jc w:val="both"/>
        <w:rPr>
          <w:rFonts w:ascii="Arial" w:hAnsi="Arial" w:cs="Arial"/>
          <w:b/>
          <w:sz w:val="24"/>
          <w:szCs w:val="24"/>
        </w:rPr>
      </w:pPr>
      <w:r w:rsidRPr="00ED582B">
        <w:rPr>
          <w:rFonts w:ascii="Arial" w:hAnsi="Arial" w:cs="Arial"/>
          <w:b/>
          <w:sz w:val="24"/>
          <w:szCs w:val="24"/>
        </w:rPr>
        <w:t>II.-CONSIDERACIONES JURÍDICAS</w:t>
      </w:r>
    </w:p>
    <w:p w:rsidR="002C050F" w:rsidRPr="00ED582B" w:rsidRDefault="002C050F" w:rsidP="002C050F">
      <w:pPr>
        <w:jc w:val="both"/>
        <w:rPr>
          <w:rFonts w:ascii="Arial" w:hAnsi="Arial" w:cs="Arial"/>
          <w:b/>
          <w:sz w:val="24"/>
          <w:szCs w:val="24"/>
        </w:rPr>
      </w:pPr>
    </w:p>
    <w:p w:rsidR="002C050F" w:rsidRDefault="002C050F" w:rsidP="002C050F">
      <w:pPr>
        <w:tabs>
          <w:tab w:val="left" w:pos="1985"/>
          <w:tab w:val="num" w:pos="2705"/>
        </w:tabs>
        <w:jc w:val="both"/>
        <w:rPr>
          <w:rFonts w:ascii="Arial" w:hAnsi="Arial" w:cs="Arial"/>
          <w:b/>
          <w:sz w:val="24"/>
          <w:szCs w:val="24"/>
        </w:rPr>
      </w:pPr>
      <w:r w:rsidRPr="00ED582B">
        <w:rPr>
          <w:rFonts w:ascii="Arial" w:hAnsi="Arial" w:cs="Arial"/>
          <w:b/>
          <w:sz w:val="24"/>
          <w:szCs w:val="24"/>
        </w:rPr>
        <w:t>1.- COMPETENCIA DE LA COMISIÓN CONSULTIVA PARA LA EMISION DEL DICTAMEN</w:t>
      </w:r>
    </w:p>
    <w:p w:rsidR="002C050F" w:rsidRPr="00ED582B" w:rsidRDefault="002C050F" w:rsidP="002C050F">
      <w:pPr>
        <w:tabs>
          <w:tab w:val="left" w:pos="1985"/>
          <w:tab w:val="num" w:pos="2705"/>
        </w:tabs>
        <w:jc w:val="both"/>
        <w:rPr>
          <w:rFonts w:ascii="Arial" w:hAnsi="Arial" w:cs="Arial"/>
          <w:b/>
          <w:sz w:val="24"/>
          <w:szCs w:val="24"/>
        </w:rPr>
      </w:pPr>
    </w:p>
    <w:p w:rsidR="002C050F" w:rsidRDefault="002C050F" w:rsidP="002C050F">
      <w:pPr>
        <w:jc w:val="both"/>
        <w:rPr>
          <w:rFonts w:ascii="Arial" w:hAnsi="Arial" w:cs="Arial"/>
          <w:i/>
          <w:sz w:val="24"/>
          <w:szCs w:val="24"/>
          <w:lang w:val="es-ES_tradnl"/>
        </w:rPr>
      </w:pPr>
      <w:r w:rsidRPr="00ED582B">
        <w:rPr>
          <w:rFonts w:ascii="Arial" w:hAnsi="Arial" w:cs="Arial"/>
          <w:sz w:val="24"/>
          <w:szCs w:val="24"/>
          <w:lang w:val="es-ES_tradnl"/>
        </w:rPr>
        <w:t xml:space="preserve">El Decreto Foral 40/1999, del Consejo de Diputados de 30 de marzo, en su artículo 3, establece las competencias de la Comisión Consultiva de la Administración Foral de Álava, entre las cuales se encuentra emitir dictamen sobre </w:t>
      </w:r>
      <w:r w:rsidRPr="00ED582B">
        <w:rPr>
          <w:rFonts w:ascii="Arial" w:hAnsi="Arial" w:cs="Arial"/>
          <w:i/>
          <w:sz w:val="24"/>
          <w:szCs w:val="24"/>
          <w:lang w:val="es-ES_tradnl"/>
        </w:rPr>
        <w:t>“Proyectos de disposiciones reglamentarias que se dicten en ejecución de las Normas Forales que regulen materias de la competencia exclusiva del Territorio Histórico o en ejecución de las Leyes de la Comunidad Autónoma en aquellas materias en que compete al Territorio Histórico el desarrollo reglamentario de las mismas”.</w:t>
      </w:r>
    </w:p>
    <w:p w:rsidR="002C050F" w:rsidRPr="00ED582B" w:rsidRDefault="002C050F" w:rsidP="002C050F">
      <w:pPr>
        <w:jc w:val="both"/>
        <w:rPr>
          <w:rFonts w:ascii="Arial" w:hAnsi="Arial" w:cs="Arial"/>
          <w:i/>
          <w:sz w:val="24"/>
          <w:szCs w:val="24"/>
          <w:lang w:val="es-ES_tradnl"/>
        </w:rPr>
      </w:pPr>
    </w:p>
    <w:p w:rsidR="002C050F" w:rsidRDefault="002C050F" w:rsidP="002C050F">
      <w:pPr>
        <w:jc w:val="both"/>
        <w:rPr>
          <w:rFonts w:ascii="Arial" w:hAnsi="Arial" w:cs="Arial"/>
          <w:i/>
          <w:sz w:val="24"/>
          <w:szCs w:val="24"/>
          <w:lang w:val="es-ES_tradnl"/>
        </w:rPr>
      </w:pPr>
      <w:r w:rsidRPr="00ED582B">
        <w:rPr>
          <w:rFonts w:ascii="Arial" w:hAnsi="Arial" w:cs="Arial"/>
          <w:sz w:val="24"/>
          <w:szCs w:val="24"/>
          <w:lang w:val="es-ES_tradnl"/>
        </w:rPr>
        <w:t>La primera referencia sobre la competencia del Territorio Histórico en el ámbito tributario la encontramos en la Disposición Adicional Primera de la Constitución Española que establece: “</w:t>
      </w:r>
      <w:r w:rsidRPr="00ED582B">
        <w:rPr>
          <w:rFonts w:ascii="Arial" w:hAnsi="Arial" w:cs="Arial"/>
          <w:i/>
          <w:sz w:val="24"/>
          <w:szCs w:val="24"/>
          <w:lang w:val="es-ES_tradnl"/>
        </w:rPr>
        <w:t>La Constitución ampara y respeta los derechos históricos de los territorios forales. La actualización general de dicho régimen foral se llevará a cabo, en su caso, en el marco de la Constitución y de los Estatutos de Autonomía”.</w:t>
      </w:r>
    </w:p>
    <w:p w:rsidR="002C050F" w:rsidRPr="00ED582B" w:rsidRDefault="002C050F" w:rsidP="002C050F">
      <w:pPr>
        <w:jc w:val="both"/>
        <w:rPr>
          <w:rFonts w:ascii="Arial" w:hAnsi="Arial" w:cs="Arial"/>
          <w:b/>
          <w:i/>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A su vez, el Estatuto de Autonomía del País Vasco, en su artículo 41.2.a), señala que </w:t>
      </w:r>
      <w:r w:rsidRPr="00ED582B">
        <w:rPr>
          <w:rFonts w:ascii="Arial" w:hAnsi="Arial" w:cs="Arial"/>
          <w:i/>
          <w:sz w:val="24"/>
          <w:szCs w:val="24"/>
          <w:lang w:val="es-ES_tradnl"/>
        </w:rPr>
        <w:t xml:space="preserve">“las Instituciones competentes de los Territorios Históricos podrán mantener, establecer y regular, dentro de su territorio, el régimen tributario, atendiendo a la estructura general impositiva del Estado, a las normas que para </w:t>
      </w:r>
      <w:r w:rsidRPr="00ED582B">
        <w:rPr>
          <w:rFonts w:ascii="Arial" w:hAnsi="Arial" w:cs="Arial"/>
          <w:i/>
          <w:sz w:val="24"/>
          <w:szCs w:val="24"/>
          <w:lang w:val="es-ES_tradnl"/>
        </w:rPr>
        <w:lastRenderedPageBreak/>
        <w:t>la coordinación, armonización fiscal y colaboración con el Estado se contengan en el propio Concierto, y las que dicte el Parlamento Vasco para idénticas finalidades dentro de la Comunidad Autónoma”</w:t>
      </w:r>
      <w:r w:rsidRPr="00ED582B">
        <w:rPr>
          <w:rFonts w:ascii="Arial" w:hAnsi="Arial" w:cs="Arial"/>
          <w:sz w:val="24"/>
          <w:szCs w:val="24"/>
          <w:lang w:val="es-ES_tradnl"/>
        </w:rPr>
        <w:t>.</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El Concierto Económico suscrito entre el Estado y el País Vasco, aprobado por la Ley 12/2002, de 23 de mayo, establece en su artículo 1. Uno:</w:t>
      </w:r>
    </w:p>
    <w:p w:rsidR="002C050F" w:rsidRDefault="002C050F" w:rsidP="002C050F">
      <w:pPr>
        <w:ind w:left="708"/>
        <w:jc w:val="both"/>
        <w:rPr>
          <w:rFonts w:ascii="Arial" w:hAnsi="Arial" w:cs="Arial"/>
          <w:i/>
          <w:sz w:val="24"/>
          <w:szCs w:val="24"/>
        </w:rPr>
      </w:pPr>
      <w:r w:rsidRPr="00ED582B">
        <w:rPr>
          <w:rFonts w:ascii="Arial" w:hAnsi="Arial" w:cs="Arial"/>
          <w:i/>
          <w:sz w:val="24"/>
          <w:szCs w:val="24"/>
        </w:rPr>
        <w:t>“Las Instituciones competentes de los Territorios Históricos podrán mantener, establecer y regular, dentro de su territorio, su régimen tributario”.</w:t>
      </w:r>
    </w:p>
    <w:p w:rsidR="002C050F" w:rsidRPr="00ED582B" w:rsidRDefault="002C050F" w:rsidP="002C050F">
      <w:pPr>
        <w:ind w:left="708"/>
        <w:jc w:val="both"/>
        <w:rPr>
          <w:rFonts w:ascii="Arial" w:hAnsi="Arial" w:cs="Arial"/>
          <w:i/>
          <w:sz w:val="24"/>
          <w:szCs w:val="24"/>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Por su parte, la Ley 27/1983, de 25 de noviembre, de Relaciones entre las Instituciones Comunes de la Comunidad Autónoma y los Órganos Forales de sus Territorios Históricos, señala en su artículo 7.6, como competencia exclusiva de los Órganos Forales, “</w:t>
      </w:r>
      <w:r w:rsidRPr="00ED582B">
        <w:rPr>
          <w:rFonts w:ascii="Arial" w:hAnsi="Arial" w:cs="Arial"/>
          <w:i/>
          <w:sz w:val="24"/>
          <w:szCs w:val="24"/>
          <w:lang w:val="es-ES_tradnl"/>
        </w:rPr>
        <w:t>las establecidas en el art. 41 del Estatuto de Autonomía y, en general, todas las que tengan atribuidas por la Ley del Concierto Económico y por otras normas y disposiciones de carácter tributario</w:t>
      </w:r>
      <w:r w:rsidRPr="00ED582B">
        <w:rPr>
          <w:rFonts w:ascii="Arial" w:hAnsi="Arial" w:cs="Arial"/>
          <w:sz w:val="24"/>
          <w:szCs w:val="24"/>
          <w:lang w:val="es-ES_tradnl"/>
        </w:rPr>
        <w:t>”.</w:t>
      </w:r>
    </w:p>
    <w:p w:rsidR="002C050F" w:rsidRPr="00ED582B" w:rsidRDefault="002C050F" w:rsidP="002C050F">
      <w:pPr>
        <w:jc w:val="both"/>
        <w:rPr>
          <w:rFonts w:ascii="Arial" w:hAnsi="Arial" w:cs="Arial"/>
          <w:i/>
          <w:sz w:val="24"/>
          <w:szCs w:val="24"/>
        </w:rPr>
      </w:pPr>
      <w:r w:rsidRPr="00ED582B">
        <w:rPr>
          <w:rFonts w:ascii="Arial" w:hAnsi="Arial" w:cs="Arial"/>
          <w:sz w:val="24"/>
          <w:szCs w:val="24"/>
        </w:rPr>
        <w:t>El artículo 21 de la Ley 12/2002, de 23 de mayo, por la que se aprueba el Concierto Económico con el País Vasco, refiriéndose a la normativa aplicable al Impuesto sobre la Renta de no Residentes, dispone:</w:t>
      </w:r>
    </w:p>
    <w:p w:rsidR="002C050F" w:rsidRPr="00ED582B" w:rsidRDefault="002C050F" w:rsidP="002C050F">
      <w:pPr>
        <w:pStyle w:val="parrafo"/>
        <w:spacing w:before="180" w:beforeAutospacing="0" w:after="180" w:afterAutospacing="0"/>
        <w:ind w:firstLine="360"/>
        <w:jc w:val="both"/>
        <w:rPr>
          <w:rFonts w:ascii="Arial" w:hAnsi="Arial" w:cs="Arial"/>
          <w:i/>
          <w:color w:val="000000"/>
        </w:rPr>
      </w:pPr>
      <w:r w:rsidRPr="00ED582B">
        <w:rPr>
          <w:rFonts w:ascii="Arial" w:hAnsi="Arial" w:cs="Arial"/>
          <w:i/>
        </w:rPr>
        <w:t>“El</w:t>
      </w:r>
      <w:r w:rsidRPr="00ED582B">
        <w:rPr>
          <w:rFonts w:ascii="Arial" w:hAnsi="Arial" w:cs="Arial"/>
          <w:i/>
          <w:color w:val="000000"/>
        </w:rPr>
        <w:t xml:space="preserve"> Impuesto sobre la Renta de no Residentes es un tributo concertado que se regirá por las mismas normas sustantivas y formales que las establecidas en cada momento por el Estado.</w:t>
      </w:r>
    </w:p>
    <w:p w:rsidR="002C050F" w:rsidRPr="00ED582B" w:rsidRDefault="002C050F" w:rsidP="002C050F">
      <w:pPr>
        <w:pStyle w:val="parrafo"/>
        <w:spacing w:before="180" w:beforeAutospacing="0" w:after="180" w:afterAutospacing="0"/>
        <w:ind w:firstLine="360"/>
        <w:jc w:val="both"/>
        <w:rPr>
          <w:rFonts w:ascii="Arial" w:hAnsi="Arial" w:cs="Arial"/>
          <w:color w:val="000000"/>
        </w:rPr>
      </w:pPr>
      <w:r w:rsidRPr="00ED582B">
        <w:rPr>
          <w:rFonts w:ascii="Arial" w:hAnsi="Arial" w:cs="Arial"/>
          <w:i/>
          <w:color w:val="000000"/>
        </w:rPr>
        <w:t>No obstante lo anterior, a los establecimientos permanentes domiciliados en el País Vasco de personas o entidades residentes en el extranjero, les será de aplicación la normativa autónoma de este Impuesto de acuerdo con lo establecido en el artículo 14</w:t>
      </w:r>
      <w:r w:rsidRPr="00ED582B">
        <w:rPr>
          <w:rFonts w:ascii="Arial" w:hAnsi="Arial" w:cs="Arial"/>
          <w:color w:val="000000"/>
        </w:rPr>
        <w:t>.</w:t>
      </w:r>
    </w:p>
    <w:p w:rsidR="002C050F" w:rsidRPr="00ED582B" w:rsidRDefault="002C050F" w:rsidP="002C050F">
      <w:pPr>
        <w:pStyle w:val="parrafo"/>
        <w:spacing w:before="180" w:beforeAutospacing="0" w:after="180" w:afterAutospacing="0"/>
        <w:ind w:firstLine="360"/>
        <w:jc w:val="both"/>
        <w:rPr>
          <w:rFonts w:ascii="Arial" w:hAnsi="Arial" w:cs="Arial"/>
          <w:i/>
          <w:color w:val="FF0000"/>
        </w:rPr>
      </w:pPr>
      <w:r w:rsidRPr="00ED582B">
        <w:rPr>
          <w:rFonts w:ascii="Arial" w:hAnsi="Arial" w:cs="Arial"/>
          <w:i/>
          <w:color w:val="000000"/>
          <w:shd w:val="clear" w:color="auto" w:fill="FFFFFF"/>
        </w:rPr>
        <w:t>Cuando el contribuyente ejercite la opción de tributación por el Impuesto sobre la Renta de las Personas Físicas por cumplir los requisitos previstos en la normativa reguladora del Impuesto sobre la Renta de no Residentes, a efectos de la aplicación del régimen opcional será tenida en cuenta la normativa de la Diputación Foral competente por razón del territorio siempre y cuando la renta obtenida en territorio vasco represente la mayor parte de la totalidad de la renta obtenida en España</w:t>
      </w:r>
      <w:r w:rsidRPr="00ED582B">
        <w:rPr>
          <w:rFonts w:ascii="Arial" w:hAnsi="Arial" w:cs="Arial"/>
          <w:i/>
        </w:rPr>
        <w:t>”</w:t>
      </w:r>
      <w:r w:rsidRPr="00ED582B">
        <w:rPr>
          <w:rFonts w:ascii="Arial" w:hAnsi="Arial" w:cs="Arial"/>
          <w:i/>
          <w:color w:val="FF0000"/>
        </w:rPr>
        <w:t>.</w:t>
      </w:r>
    </w:p>
    <w:p w:rsidR="002C050F" w:rsidRPr="00ED582B" w:rsidRDefault="002C050F" w:rsidP="002C050F">
      <w:pPr>
        <w:pStyle w:val="parrafo"/>
        <w:spacing w:before="180" w:beforeAutospacing="0" w:after="180" w:afterAutospacing="0"/>
        <w:ind w:firstLine="360"/>
        <w:jc w:val="both"/>
        <w:rPr>
          <w:rFonts w:ascii="Arial" w:hAnsi="Arial" w:cs="Arial"/>
          <w:i/>
          <w:shd w:val="clear" w:color="auto" w:fill="FFFFFF"/>
        </w:rPr>
      </w:pPr>
      <w:r w:rsidRPr="00ED582B">
        <w:rPr>
          <w:rFonts w:ascii="Arial" w:hAnsi="Arial" w:cs="Arial"/>
        </w:rPr>
        <w:t>El citado artículo 14 del Concierto Económico indica en su apartado uno, refiriéndose al Impuesto sobre Sociedades que</w:t>
      </w:r>
      <w:r w:rsidRPr="00ED582B">
        <w:rPr>
          <w:rFonts w:ascii="Arial" w:hAnsi="Arial" w:cs="Arial"/>
          <w:i/>
        </w:rPr>
        <w:t xml:space="preserve"> “</w:t>
      </w:r>
      <w:r w:rsidRPr="00ED582B">
        <w:rPr>
          <w:rFonts w:ascii="Arial" w:hAnsi="Arial" w:cs="Arial"/>
          <w:i/>
          <w:shd w:val="clear" w:color="auto" w:fill="FFFFFF"/>
        </w:rPr>
        <w:t>es un tributo concertado de normativa autónoma para los sujetos pasivos que tengan su domicilio fiscal en el País Vasco.</w:t>
      </w:r>
    </w:p>
    <w:p w:rsidR="002C050F" w:rsidRPr="00ED582B" w:rsidRDefault="002C050F" w:rsidP="002C050F">
      <w:pPr>
        <w:pStyle w:val="parrafo"/>
        <w:spacing w:before="180" w:beforeAutospacing="0" w:after="180" w:afterAutospacing="0"/>
        <w:ind w:firstLine="360"/>
        <w:jc w:val="both"/>
        <w:rPr>
          <w:rFonts w:ascii="Arial" w:hAnsi="Arial" w:cs="Arial"/>
          <w:i/>
          <w:shd w:val="clear" w:color="auto" w:fill="FFFFFF"/>
        </w:rPr>
      </w:pPr>
      <w:r w:rsidRPr="00ED582B">
        <w:rPr>
          <w:rFonts w:ascii="Arial" w:hAnsi="Arial" w:cs="Arial"/>
          <w:i/>
          <w:color w:val="000000"/>
          <w:shd w:val="clear" w:color="auto" w:fill="FFFFFF"/>
        </w:rPr>
        <w:t>No obstante, los sujetos pasivos cuyo volumen de operaciones en el ejercicio anterior hubiera excedido de 6 millones de euros, y en dicho ejercicio hubieran realizado en territorio común el 75 por 100 o más de su volumen de operaciones, quedarán sometidos a la normativa de dicho territorio.</w:t>
      </w:r>
    </w:p>
    <w:p w:rsidR="002C050F" w:rsidRPr="00ED582B" w:rsidRDefault="002C050F" w:rsidP="002C050F">
      <w:pPr>
        <w:pStyle w:val="parrafo"/>
        <w:spacing w:before="180" w:beforeAutospacing="0" w:after="180" w:afterAutospacing="0"/>
        <w:ind w:firstLine="360"/>
        <w:jc w:val="both"/>
        <w:rPr>
          <w:rFonts w:ascii="Arial" w:hAnsi="Arial" w:cs="Arial"/>
          <w:i/>
        </w:rPr>
      </w:pPr>
      <w:r w:rsidRPr="00ED582B">
        <w:rPr>
          <w:rFonts w:ascii="Arial" w:hAnsi="Arial" w:cs="Arial"/>
          <w:i/>
          <w:color w:val="000000"/>
          <w:shd w:val="clear" w:color="auto" w:fill="FFFFFF"/>
        </w:rPr>
        <w:t xml:space="preserve">Asimismo, será de aplicación la normativa autónoma a los sujetos pasivos cuyo domicilio fiscal radique en territorio común, su volumen de operaciones en el ejercicio anterior hubiera excedido de 10 millones de euros y en dicho ejercicio hubieran realizado en el País Vasco el 75 por ciento o más de su volumen de operaciones, salvo que se trate de sujetos pasivos que formen </w:t>
      </w:r>
      <w:r w:rsidRPr="00ED582B">
        <w:rPr>
          <w:rFonts w:ascii="Arial" w:hAnsi="Arial" w:cs="Arial"/>
          <w:i/>
          <w:color w:val="000000"/>
          <w:shd w:val="clear" w:color="auto" w:fill="FFFFFF"/>
        </w:rPr>
        <w:lastRenderedPageBreak/>
        <w:t>parte de un grupo fiscal y cuyo domicilio fiscal radique en territorio común, su volumen de operaciones en el ejercicio anterior hubiera excedido de 10 millones de euros, en cuyo caso, será de aplicación la normativa autónoma únicamente si en dicho ejercicio hubieran realizado en el País Vasco la totalidad de las operaciones</w:t>
      </w:r>
      <w:r w:rsidRPr="00ED582B">
        <w:rPr>
          <w:rFonts w:ascii="Arial" w:hAnsi="Arial" w:cs="Arial"/>
          <w:shd w:val="clear" w:color="auto" w:fill="FFFFFF"/>
        </w:rPr>
        <w:t>”.</w:t>
      </w:r>
    </w:p>
    <w:p w:rsidR="002C050F" w:rsidRPr="00ED582B" w:rsidRDefault="002C050F" w:rsidP="002C050F">
      <w:pPr>
        <w:jc w:val="both"/>
        <w:rPr>
          <w:rFonts w:ascii="Arial" w:hAnsi="Arial" w:cs="Arial"/>
          <w:sz w:val="24"/>
          <w:szCs w:val="24"/>
        </w:rPr>
      </w:pPr>
      <w:r w:rsidRPr="00ED582B">
        <w:rPr>
          <w:rFonts w:ascii="Arial" w:hAnsi="Arial" w:cs="Arial"/>
          <w:sz w:val="24"/>
          <w:szCs w:val="24"/>
        </w:rPr>
        <w:t xml:space="preserve">A la vista de lo anterior se concluye que en materia relativa al Impuesto sobre la Renta de no Residentes, cuando se trate de </w:t>
      </w:r>
      <w:r w:rsidRPr="00ED582B">
        <w:rPr>
          <w:rFonts w:ascii="Arial" w:hAnsi="Arial" w:cs="Arial"/>
          <w:sz w:val="24"/>
          <w:szCs w:val="24"/>
          <w:shd w:val="clear" w:color="auto" w:fill="FFFFFF"/>
        </w:rPr>
        <w:t xml:space="preserve"> los establecimientos permanentes domiciliados en el País Vasco de personas o entidades residentes en el extranjero, con las condiciones establecidas en el artículo 14 del Concierto Económico,  se aplicará la normativa autónoma</w:t>
      </w:r>
      <w:r w:rsidRPr="00ED582B">
        <w:rPr>
          <w:rFonts w:ascii="Arial" w:hAnsi="Arial" w:cs="Arial"/>
          <w:sz w:val="24"/>
          <w:szCs w:val="24"/>
        </w:rPr>
        <w:t xml:space="preserve">  del Territorio Histórico de Álava, y en consecuencia la modificación del desarrollo reglamentario de la Norma Foral 21/2014, de 18 de junio, del Impuesto sobre la Renta de no Residentes debe ser objeto del preceptivo dictamen de esta Comisión Consultiva.</w:t>
      </w:r>
    </w:p>
    <w:p w:rsidR="002C050F" w:rsidRPr="00ED582B" w:rsidRDefault="002C050F" w:rsidP="002C050F">
      <w:pPr>
        <w:jc w:val="both"/>
        <w:rPr>
          <w:rFonts w:ascii="Arial" w:hAnsi="Arial" w:cs="Arial"/>
          <w:sz w:val="24"/>
          <w:szCs w:val="24"/>
        </w:rPr>
      </w:pPr>
    </w:p>
    <w:p w:rsidR="002C050F" w:rsidRDefault="002C050F" w:rsidP="002C050F">
      <w:pPr>
        <w:tabs>
          <w:tab w:val="left" w:pos="1985"/>
          <w:tab w:val="num" w:pos="2705"/>
        </w:tabs>
        <w:jc w:val="both"/>
        <w:rPr>
          <w:rFonts w:ascii="Arial" w:hAnsi="Arial" w:cs="Arial"/>
          <w:b/>
          <w:sz w:val="24"/>
          <w:szCs w:val="24"/>
        </w:rPr>
      </w:pPr>
      <w:r w:rsidRPr="00ED582B">
        <w:rPr>
          <w:rFonts w:ascii="Arial" w:hAnsi="Arial" w:cs="Arial"/>
          <w:b/>
          <w:sz w:val="24"/>
          <w:szCs w:val="24"/>
        </w:rPr>
        <w:t>2.- COMPETENCIA ORGÁNICA Y HABILITACION NORMATIVA</w:t>
      </w:r>
    </w:p>
    <w:p w:rsidR="002C050F" w:rsidRPr="00ED582B" w:rsidRDefault="002C050F" w:rsidP="002C050F">
      <w:pPr>
        <w:tabs>
          <w:tab w:val="left" w:pos="1985"/>
          <w:tab w:val="num" w:pos="2705"/>
        </w:tabs>
        <w:jc w:val="both"/>
        <w:rPr>
          <w:rFonts w:ascii="Arial" w:hAnsi="Arial" w:cs="Arial"/>
          <w:b/>
          <w:sz w:val="24"/>
          <w:szCs w:val="24"/>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 </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Por su parte, el artículo 7.2 de la Norma Foral 52/92, de 18 de diciembre, de Organización, Funcionamiento y Régimen Jurídico de la Diputación Foral de Álava establece que, </w:t>
      </w:r>
      <w:r w:rsidRPr="00ED582B">
        <w:rPr>
          <w:rFonts w:ascii="Arial" w:hAnsi="Arial" w:cs="Arial"/>
          <w:i/>
          <w:sz w:val="24"/>
          <w:szCs w:val="24"/>
          <w:lang w:val="es-ES_tradnl"/>
        </w:rPr>
        <w:t>“En el ejercicio de la potestad reglamentaria, corresponde al Consejo de Diputados aprobar, mediante Decretos Forales, Reglamentos de ejecución y desarrollo de las Normas Forales”.</w:t>
      </w:r>
    </w:p>
    <w:p w:rsidR="002C050F" w:rsidRPr="00ED582B" w:rsidRDefault="002C050F" w:rsidP="002C050F">
      <w:pPr>
        <w:jc w:val="both"/>
        <w:rPr>
          <w:rFonts w:ascii="Arial" w:hAnsi="Arial" w:cs="Arial"/>
          <w:sz w:val="24"/>
          <w:szCs w:val="24"/>
          <w:lang w:val="es-ES_tradnl"/>
        </w:rPr>
      </w:pPr>
    </w:p>
    <w:p w:rsidR="002C050F" w:rsidRDefault="002C050F" w:rsidP="002C050F">
      <w:pPr>
        <w:ind w:left="426" w:hanging="426"/>
        <w:jc w:val="both"/>
        <w:rPr>
          <w:rFonts w:ascii="Arial" w:hAnsi="Arial" w:cs="Arial"/>
          <w:b/>
          <w:sz w:val="24"/>
          <w:szCs w:val="24"/>
          <w:lang w:val="es-ES_tradnl"/>
        </w:rPr>
      </w:pPr>
      <w:r w:rsidRPr="00ED582B">
        <w:rPr>
          <w:rFonts w:ascii="Arial" w:hAnsi="Arial" w:cs="Arial"/>
          <w:b/>
          <w:sz w:val="24"/>
          <w:szCs w:val="24"/>
          <w:lang w:val="es-ES_tradnl"/>
        </w:rPr>
        <w:t xml:space="preserve">3.- PROCEDIMIENTO </w:t>
      </w:r>
    </w:p>
    <w:p w:rsidR="002C050F" w:rsidRPr="00ED582B" w:rsidRDefault="002C050F" w:rsidP="002C050F">
      <w:pPr>
        <w:ind w:left="426" w:hanging="426"/>
        <w:jc w:val="both"/>
        <w:rPr>
          <w:rFonts w:ascii="Arial" w:hAnsi="Arial" w:cs="Arial"/>
          <w:b/>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La tramitación del procedimiento se ha ajustado a las normas vigentes relativas a la elaboración de disposiciones generales, en cuanto al órgano competente para formular la propuesta, la emisión de los informes de impacto normativo, de efecto económico, de incidencia presupuestaria  y de evaluación previa de impacto en función del género, la solicitud de consulta a la Comisión Consultiva y el órgano competente para su aprobación.</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En particular, en atención a lo señalado en el artículo 9 del Decreto Foral 29/2017, del Consejo de Gobierno Foral de 23 de mayo, se ha llevado a cabo la consulta pública previa y el trámite de información pública del avance del proyecto por medios telemáticos a través de la web de la Diputación Foral de Álava, constando en el expediente la memoria sobre los resultados de este trámite, de fecha 18 de diciembre de 2019, en la que consta que no se han registrado propuestas u observaciones que deban ser valoradas para la redacción de la disposición normativa.</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Por otra parte, con fecha 19 de diciembre de 2019, el Servicio de Normativa Tributaria emite un informe de impacto de género que fue ratificado por el  Servicio de Igualdad, Cooperación e Interculturalidad  de esta Diputación Foral mediante informe de fecha 23 de diciembre de 2019.</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Por último, a la vista de lo señalado en el artículo 14 del Decreto Foral 29/2017, del Consejo de Gobierno Foral de 23 de mayo, se ha llevado a cabo el trámite de audiencia e información pública  del avance del proyecto de Decreto Foral por medios telemáticos a través de la web de la Diputación Foral de Álava, constando en el expediente la memoria sobre los resultados de este trámite, de fecha 7 de enero de 2020, en la que consta que no se han registrado propuestas u observaciones que deban ser valoradas para la redacción de la disposición normativa.</w:t>
      </w:r>
    </w:p>
    <w:p w:rsidR="002C050F" w:rsidRPr="00ED582B" w:rsidRDefault="002C050F" w:rsidP="002C050F">
      <w:pPr>
        <w:jc w:val="both"/>
        <w:rPr>
          <w:rFonts w:ascii="Arial" w:hAnsi="Arial" w:cs="Arial"/>
          <w:sz w:val="24"/>
          <w:szCs w:val="24"/>
        </w:rPr>
      </w:pPr>
    </w:p>
    <w:p w:rsidR="002C050F" w:rsidRDefault="002C050F" w:rsidP="002C050F">
      <w:pPr>
        <w:jc w:val="both"/>
        <w:rPr>
          <w:rFonts w:ascii="Arial" w:hAnsi="Arial" w:cs="Arial"/>
          <w:b/>
          <w:sz w:val="24"/>
          <w:szCs w:val="24"/>
        </w:rPr>
      </w:pPr>
      <w:r w:rsidRPr="00ED582B">
        <w:rPr>
          <w:rFonts w:ascii="Arial" w:hAnsi="Arial" w:cs="Arial"/>
          <w:b/>
          <w:sz w:val="24"/>
          <w:szCs w:val="24"/>
        </w:rPr>
        <w:t>III.- ESTRUCTURA DEL DECRETO FORAL.</w:t>
      </w:r>
    </w:p>
    <w:p w:rsidR="002C050F" w:rsidRPr="00ED582B" w:rsidRDefault="002C050F" w:rsidP="002C050F">
      <w:pPr>
        <w:jc w:val="both"/>
        <w:rPr>
          <w:rFonts w:ascii="Arial" w:hAnsi="Arial" w:cs="Arial"/>
          <w:b/>
          <w:sz w:val="24"/>
          <w:szCs w:val="24"/>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El proyecto de Decreto Foral consta de una exposición de motivos, una parte dispositiva con un único apartado y una disposición final que fija la entrada en vigor de esta modificación al día siguiente al de su publicación en el BOTHA, sin perjuicio de los efectos expresos previstos en su precepto.</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Las modificaciones planteadas afectan a la siguiente disposición:</w:t>
      </w:r>
    </w:p>
    <w:p w:rsidR="002C050F" w:rsidRPr="00ED582B" w:rsidRDefault="002C050F" w:rsidP="002C050F">
      <w:pPr>
        <w:pStyle w:val="Prrafodelista"/>
        <w:numPr>
          <w:ilvl w:val="0"/>
          <w:numId w:val="1"/>
        </w:numPr>
        <w:spacing w:line="240" w:lineRule="auto"/>
        <w:ind w:left="284" w:hanging="216"/>
        <w:contextualSpacing w:val="0"/>
        <w:jc w:val="both"/>
        <w:rPr>
          <w:rFonts w:ascii="Arial" w:eastAsia="Times New Roman" w:hAnsi="Arial" w:cs="Arial"/>
          <w:sz w:val="24"/>
          <w:szCs w:val="24"/>
          <w:lang w:val="es-ES_tradnl" w:eastAsia="es-ES"/>
        </w:rPr>
      </w:pPr>
      <w:r w:rsidRPr="00ED582B">
        <w:rPr>
          <w:rFonts w:ascii="Arial" w:eastAsia="Times New Roman" w:hAnsi="Arial" w:cs="Arial"/>
          <w:sz w:val="24"/>
          <w:szCs w:val="24"/>
          <w:lang w:val="es-ES_tradnl" w:eastAsia="es-ES"/>
        </w:rPr>
        <w:t>Decreto Foral 3/2016, de 2 de enero, que aprueba el Reglamento del Impuesto sobre la Renta de no Residentes.</w:t>
      </w:r>
    </w:p>
    <w:p w:rsidR="002C050F" w:rsidRDefault="002C050F" w:rsidP="002C050F">
      <w:pPr>
        <w:jc w:val="both"/>
        <w:rPr>
          <w:rFonts w:ascii="Arial" w:hAnsi="Arial" w:cs="Arial"/>
          <w:b/>
          <w:sz w:val="24"/>
          <w:szCs w:val="24"/>
          <w:lang w:val="es-ES_tradnl"/>
        </w:rPr>
      </w:pPr>
      <w:r w:rsidRPr="00ED582B">
        <w:rPr>
          <w:rFonts w:ascii="Arial" w:hAnsi="Arial" w:cs="Arial"/>
          <w:b/>
          <w:sz w:val="24"/>
          <w:szCs w:val="24"/>
        </w:rPr>
        <w:t>IV</w:t>
      </w:r>
      <w:r w:rsidRPr="00ED582B">
        <w:rPr>
          <w:rFonts w:ascii="Arial" w:hAnsi="Arial" w:cs="Arial"/>
          <w:b/>
          <w:sz w:val="24"/>
          <w:szCs w:val="24"/>
          <w:lang w:val="es-ES_tradnl"/>
        </w:rPr>
        <w:t xml:space="preserve">. ANÁLISIS DE LA PROPUESTA NORMATIVA </w:t>
      </w:r>
    </w:p>
    <w:p w:rsidR="002C050F" w:rsidRPr="00ED582B" w:rsidRDefault="002C050F" w:rsidP="002C050F">
      <w:pPr>
        <w:jc w:val="both"/>
        <w:rPr>
          <w:rFonts w:ascii="Arial" w:hAnsi="Arial" w:cs="Arial"/>
          <w:b/>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El artículo 14.1 de la Norma Foral 21/2014 de 18 de junio, del Impuesto sobre la Renta de  no Residentes, en su apartado b) establece la  exención de los intereses y de otros rendimientos obtenidos por la cesión a terceros  de capitales propios, así como de las ganancias patrimoniales derivadas de bienes muebles, con determinadas excepciones, siempre  que tales rentas sean obtenidas sin mediación de establecimiento permanente por residentes en otro Estado miembro de la Unión Europea o por establecimientos permanentes de dichos residentes situados en otro Estado miembro de la Unión Europea.</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Es por tanto necesario  </w:t>
      </w:r>
      <w:proofErr w:type="gramStart"/>
      <w:r w:rsidRPr="00ED582B">
        <w:rPr>
          <w:rFonts w:ascii="Arial" w:hAnsi="Arial" w:cs="Arial"/>
          <w:sz w:val="24"/>
          <w:szCs w:val="24"/>
          <w:lang w:val="es-ES_tradnl"/>
        </w:rPr>
        <w:t xml:space="preserve">regular la acreditación de la residencia de determinadas entidades o de sus miembros en determinados casos, puesto que puede ocurrir que las citadas entidades  carezcan de personalidad jurídica-fiscal  en sus jurisdicciones de origen, lo que puede originar que las autoridades fiscales </w:t>
      </w:r>
      <w:proofErr w:type="gramEnd"/>
      <w:r w:rsidRPr="00ED582B">
        <w:rPr>
          <w:rFonts w:ascii="Arial" w:hAnsi="Arial" w:cs="Arial"/>
          <w:sz w:val="24"/>
          <w:szCs w:val="24"/>
          <w:lang w:val="es-ES_tradnl"/>
        </w:rPr>
        <w:t xml:space="preserve"> competentes no certifiquen su residencia fiscal.</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Con esta finalidad, el Decreto Foral que ahora  se somete a dictamen (que es una trasposición a la normativa alavesa del Real Decreto 595/2019, de 18 de octubre, por el que se modifica el Reglamento del Impuesto sobre la Renta de no Residentes, aprobado por el Real Decreto 1776/2004, de 30 de julio) introduce una disposición adicional tercera en el Decreto Foral 3/2016, de 2 de enero, que aprueba el Reglamento del Impuesto sobre la Renta de no Residentes,  mediante la cual se establece un régimen especial de acreditación de la residencia  de estas entidades a efectos de la aplicación de la exención del Impuesto prevista en el citado artículo 14.1 de la Norma Foral 21/2014 de 18 de junio. </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lastRenderedPageBreak/>
        <w:t>Para ello, se determina primeramente  a que entidades es de aplicación  la disposición adicional de nueva creación, en concreto:</w:t>
      </w:r>
    </w:p>
    <w:p w:rsidR="002C050F" w:rsidRPr="00ED582B" w:rsidRDefault="002C050F" w:rsidP="002C050F">
      <w:pPr>
        <w:pStyle w:val="Prrafodelista"/>
        <w:numPr>
          <w:ilvl w:val="0"/>
          <w:numId w:val="2"/>
        </w:numPr>
        <w:spacing w:line="240" w:lineRule="auto"/>
        <w:jc w:val="both"/>
        <w:rPr>
          <w:rFonts w:ascii="Arial" w:eastAsia="Times New Roman" w:hAnsi="Arial" w:cs="Arial"/>
          <w:sz w:val="24"/>
          <w:szCs w:val="24"/>
          <w:lang w:val="es-ES_tradnl" w:eastAsia="es-ES"/>
        </w:rPr>
      </w:pPr>
      <w:r w:rsidRPr="00ED582B">
        <w:rPr>
          <w:rFonts w:ascii="Arial" w:eastAsia="Times New Roman" w:hAnsi="Arial" w:cs="Arial"/>
          <w:sz w:val="24"/>
          <w:szCs w:val="24"/>
          <w:lang w:val="es-ES_tradnl" w:eastAsia="es-ES"/>
        </w:rPr>
        <w:t>Fondos de pensiones equivalentes a los regulados en el texto refundido de la Ley de Regulación  de los Planes y Fondos de Pensiones o por establecimientos permanentes de dichos fondos</w:t>
      </w:r>
    </w:p>
    <w:p w:rsidR="002C050F" w:rsidRPr="00ED582B" w:rsidRDefault="002C050F" w:rsidP="002C050F">
      <w:pPr>
        <w:pStyle w:val="Prrafodelista"/>
        <w:numPr>
          <w:ilvl w:val="0"/>
          <w:numId w:val="2"/>
        </w:numPr>
        <w:spacing w:line="240" w:lineRule="auto"/>
        <w:jc w:val="both"/>
        <w:rPr>
          <w:rFonts w:ascii="Arial" w:eastAsia="Times New Roman" w:hAnsi="Arial" w:cs="Arial"/>
          <w:sz w:val="24"/>
          <w:szCs w:val="24"/>
          <w:lang w:val="es-ES_tradnl" w:eastAsia="es-ES"/>
        </w:rPr>
      </w:pPr>
      <w:r w:rsidRPr="00ED582B">
        <w:rPr>
          <w:rFonts w:ascii="Arial" w:eastAsia="Times New Roman" w:hAnsi="Arial" w:cs="Arial"/>
          <w:sz w:val="24"/>
          <w:szCs w:val="24"/>
          <w:lang w:val="es-ES_tradnl" w:eastAsia="es-ES"/>
        </w:rPr>
        <w:t>Instituciones de inversión colectivas reguladas por la Directiva 2009/65/CE del Parlamento Europeo y del Consejo, de 13 de julio de 2009.</w:t>
      </w:r>
    </w:p>
    <w:p w:rsidR="002C050F" w:rsidRPr="00ED582B" w:rsidRDefault="002C050F" w:rsidP="002C050F">
      <w:pPr>
        <w:pStyle w:val="Prrafodelista"/>
        <w:numPr>
          <w:ilvl w:val="0"/>
          <w:numId w:val="2"/>
        </w:numPr>
        <w:spacing w:line="240" w:lineRule="auto"/>
        <w:jc w:val="both"/>
        <w:rPr>
          <w:rFonts w:ascii="Arial" w:eastAsia="Times New Roman" w:hAnsi="Arial" w:cs="Arial"/>
          <w:sz w:val="24"/>
          <w:szCs w:val="24"/>
          <w:lang w:val="es-ES_tradnl" w:eastAsia="es-ES"/>
        </w:rPr>
      </w:pPr>
      <w:r w:rsidRPr="00ED582B">
        <w:rPr>
          <w:rFonts w:ascii="Arial" w:eastAsia="Times New Roman" w:hAnsi="Arial" w:cs="Arial"/>
          <w:sz w:val="24"/>
          <w:szCs w:val="24"/>
          <w:lang w:val="es-ES_tradnl" w:eastAsia="es-ES"/>
        </w:rPr>
        <w:t>Instituciones de inversión colectiva sometidas a un régimen de autorización, registro o supervisión administrativa y gestionadas por gestoras de fondos de inversión alternativos regulados por la Directiva 2011/61/UE del Parlamento Europeo y del Consejo de  8 de junio de 2011.</w:t>
      </w: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 xml:space="preserve">Una vez identificadas las entidades objeto de regulación, la disposición adicional establece una distinción entre aquellas que  NO tengan la  consideración de entidades en régimen de atribución de rentas de las que SI la tengan. </w:t>
      </w:r>
    </w:p>
    <w:p w:rsidR="002C050F" w:rsidRPr="00ED582B"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Tal diferenciación tiene como objeto el determinar  la documentación necesaria en uno u otro caso, para fijar la residencia de las citadas  entidades. Según los casos serán necesarias  declaraciones (cuyos modelos  deberán ser aprobados por la diputada o diputado foral del departamento de Hacienda, Finanzas y presupuestos)  formuladas por sus representantes o  certificados emitidos por las autoridades competentes.</w:t>
      </w:r>
    </w:p>
    <w:p w:rsidR="002C050F" w:rsidRPr="00ED582B" w:rsidRDefault="002C050F" w:rsidP="002C050F">
      <w:pPr>
        <w:jc w:val="both"/>
        <w:rPr>
          <w:rFonts w:ascii="Arial" w:hAnsi="Arial" w:cs="Arial"/>
          <w:sz w:val="24"/>
          <w:szCs w:val="24"/>
          <w:lang w:val="es-ES_tradnl"/>
        </w:rPr>
      </w:pPr>
    </w:p>
    <w:p w:rsidR="002C050F" w:rsidRPr="00ED582B" w:rsidRDefault="002C050F" w:rsidP="002C050F">
      <w:pPr>
        <w:jc w:val="both"/>
        <w:rPr>
          <w:rFonts w:ascii="Arial" w:hAnsi="Arial" w:cs="Arial"/>
          <w:sz w:val="24"/>
          <w:szCs w:val="24"/>
          <w:lang w:val="es-ES_tradnl"/>
        </w:rPr>
      </w:pPr>
      <w:r w:rsidRPr="00ED582B">
        <w:rPr>
          <w:rFonts w:ascii="Arial" w:hAnsi="Arial" w:cs="Arial"/>
          <w:sz w:val="24"/>
          <w:szCs w:val="24"/>
          <w:lang w:val="es-ES_tradnl"/>
        </w:rPr>
        <w:t>En el caso   de que estemos ante entidades que SI tengan la consideración de entidades en régimen de atribución de rentas, la nueva disposición adicional tercera establece que la exención regulada en el  artículo 14.1 de la Norma Foral 21/2014 de 18 de junio, del Impuesto sobre la Renta de no Residentes se aplicará a sus miembros  en función del porcentaje de participación en la entidad que corresponda a sus miembros con derecho a dicha exención a fecha 31 de diciembre del año anterior a aquel en que se obtengan las rentas.</w:t>
      </w:r>
    </w:p>
    <w:p w:rsidR="002C050F" w:rsidRDefault="002C050F" w:rsidP="002C050F">
      <w:pPr>
        <w:jc w:val="both"/>
        <w:rPr>
          <w:rFonts w:ascii="Arial" w:hAnsi="Arial" w:cs="Arial"/>
          <w:sz w:val="24"/>
          <w:szCs w:val="24"/>
          <w:lang w:val="es-ES_tradnl"/>
        </w:rPr>
      </w:pPr>
      <w:r w:rsidRPr="00ED582B">
        <w:rPr>
          <w:rFonts w:ascii="Arial" w:hAnsi="Arial" w:cs="Arial"/>
          <w:sz w:val="24"/>
          <w:szCs w:val="24"/>
          <w:lang w:val="es-ES_tradnl"/>
        </w:rPr>
        <w:t>Por último se señala que la forma de acreditación de la residencia de las entidades señaladas y respecto de las rentas exentas será de aplicación a la hora  de hacer efectiva la exención por las personas o entidades obligadas a retener o, en su caso, ante la Administración tributaria, con independencia de lo dispuesto específicamente en las respectivas ordenes reguladoras de los procedimientos aplicables y declaraciones informativas relativos a dichas rentas.</w:t>
      </w:r>
    </w:p>
    <w:p w:rsidR="002C050F" w:rsidRDefault="002C050F" w:rsidP="002C050F">
      <w:pPr>
        <w:jc w:val="both"/>
        <w:rPr>
          <w:rFonts w:ascii="Arial" w:hAnsi="Arial" w:cs="Arial"/>
          <w:sz w:val="24"/>
          <w:szCs w:val="24"/>
          <w:lang w:val="es-ES_tradnl"/>
        </w:rPr>
      </w:pPr>
    </w:p>
    <w:p w:rsidR="002C050F" w:rsidRDefault="002C050F" w:rsidP="002C050F">
      <w:pPr>
        <w:jc w:val="both"/>
        <w:rPr>
          <w:rFonts w:ascii="Arial" w:hAnsi="Arial" w:cs="Arial"/>
          <w:b/>
          <w:sz w:val="24"/>
          <w:szCs w:val="24"/>
        </w:rPr>
      </w:pPr>
      <w:r w:rsidRPr="00ED582B">
        <w:rPr>
          <w:rFonts w:ascii="Arial" w:hAnsi="Arial" w:cs="Arial"/>
          <w:b/>
          <w:sz w:val="24"/>
          <w:szCs w:val="24"/>
        </w:rPr>
        <w:t>V. CONCLUSIONES</w:t>
      </w:r>
    </w:p>
    <w:p w:rsidR="002C050F" w:rsidRPr="00ED582B" w:rsidRDefault="002C050F" w:rsidP="002C050F">
      <w:pPr>
        <w:jc w:val="both"/>
        <w:rPr>
          <w:rFonts w:ascii="Arial" w:hAnsi="Arial" w:cs="Arial"/>
          <w:b/>
          <w:sz w:val="24"/>
          <w:szCs w:val="24"/>
        </w:rPr>
      </w:pPr>
    </w:p>
    <w:p w:rsidR="002C050F" w:rsidRPr="00ED582B" w:rsidRDefault="002C050F" w:rsidP="002C050F">
      <w:pPr>
        <w:jc w:val="both"/>
        <w:outlineLvl w:val="1"/>
        <w:rPr>
          <w:rFonts w:ascii="Arial" w:eastAsia="Calibri" w:hAnsi="Arial" w:cs="Arial"/>
          <w:bCs/>
          <w:sz w:val="24"/>
          <w:szCs w:val="24"/>
          <w:lang w:val="es-ES_tradnl"/>
        </w:rPr>
      </w:pPr>
      <w:r w:rsidRPr="00ED582B">
        <w:rPr>
          <w:rFonts w:ascii="Arial" w:hAnsi="Arial" w:cs="Arial"/>
          <w:b/>
          <w:bCs/>
          <w:sz w:val="24"/>
          <w:szCs w:val="24"/>
          <w:lang w:val="es-ES_tradnl"/>
        </w:rPr>
        <w:t xml:space="preserve">PRIMERA.- </w:t>
      </w:r>
      <w:r w:rsidRPr="00ED582B">
        <w:rPr>
          <w:rFonts w:ascii="Arial" w:eastAsia="Calibri" w:hAnsi="Arial" w:cs="Arial"/>
          <w:bCs/>
          <w:sz w:val="24"/>
          <w:szCs w:val="24"/>
          <w:lang w:val="es-ES_tradnl"/>
        </w:rPr>
        <w:t>El Proyecto de Decreto Foral propuesto debe ser objeto de dictamen por la Comisión Consultiva de la Administración Foral de Álava, por ser materia de competencia  del Territorio Histórico de Álava.</w:t>
      </w:r>
    </w:p>
    <w:p w:rsidR="002C050F" w:rsidRPr="00ED582B" w:rsidRDefault="002C050F" w:rsidP="002C050F">
      <w:pPr>
        <w:jc w:val="both"/>
        <w:outlineLvl w:val="1"/>
        <w:rPr>
          <w:rFonts w:ascii="Arial" w:eastAsia="Calibri" w:hAnsi="Arial" w:cs="Arial"/>
          <w:bCs/>
          <w:sz w:val="24"/>
          <w:szCs w:val="24"/>
          <w:lang w:val="es-ES_tradnl"/>
        </w:rPr>
      </w:pPr>
      <w:r w:rsidRPr="00ED582B">
        <w:rPr>
          <w:rFonts w:ascii="Arial" w:hAnsi="Arial" w:cs="Arial"/>
          <w:b/>
          <w:bCs/>
          <w:sz w:val="24"/>
          <w:szCs w:val="24"/>
          <w:lang w:val="es-ES_tradnl"/>
        </w:rPr>
        <w:t>SEGUNDA</w:t>
      </w:r>
      <w:r w:rsidRPr="00ED582B">
        <w:rPr>
          <w:rFonts w:ascii="Arial" w:hAnsi="Arial" w:cs="Arial"/>
          <w:bCs/>
          <w:sz w:val="24"/>
          <w:szCs w:val="24"/>
          <w:lang w:val="es-ES_tradnl"/>
        </w:rPr>
        <w:t xml:space="preserve">.- </w:t>
      </w:r>
      <w:r w:rsidRPr="00ED582B">
        <w:rPr>
          <w:rFonts w:ascii="Arial" w:eastAsia="Calibri" w:hAnsi="Arial" w:cs="Arial"/>
          <w:bCs/>
          <w:sz w:val="24"/>
          <w:szCs w:val="24"/>
          <w:lang w:val="es-ES_tradnl"/>
        </w:rPr>
        <w:t>El Proyecto de Decreto Foral se adecúa al ordenamiento jurídico y se dicta dentro del marco competencial y de habilitación legal establecido en la normativa.</w:t>
      </w:r>
    </w:p>
    <w:p w:rsidR="000109B2" w:rsidRPr="002C050F" w:rsidRDefault="006C7C8C">
      <w:pPr>
        <w:rPr>
          <w:lang w:val="es-ES_tradnl"/>
        </w:rPr>
      </w:pPr>
    </w:p>
    <w:sectPr w:rsidR="000109B2" w:rsidRPr="002C05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2C050F"/>
    <w:rsid w:val="006C7C8C"/>
    <w:rsid w:val="009A68E6"/>
    <w:rsid w:val="009C21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2196</Words>
  <Characters>12079</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14247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1</cp:revision>
  <dcterms:created xsi:type="dcterms:W3CDTF">2020-02-06T09:37:00Z</dcterms:created>
  <dcterms:modified xsi:type="dcterms:W3CDTF">2020-02-06T09:57:00Z</dcterms:modified>
</cp:coreProperties>
</file>