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bookmarkStart w:id="0" w:name="_GoBack"/>
      <w:bookmarkEnd w:id="0"/>
    </w:p>
    <w:p w:rsidR="001142FD" w:rsidRPr="0055105F" w:rsidRDefault="001142FD" w:rsidP="0055105F">
      <w:pPr>
        <w:autoSpaceDE w:val="0"/>
        <w:autoSpaceDN w:val="0"/>
        <w:adjustRightInd w:val="0"/>
        <w:rPr>
          <w:rFonts w:eastAsiaTheme="minorHAnsi"/>
          <w:b/>
          <w:sz w:val="24"/>
          <w:szCs w:val="24"/>
          <w:u w:val="single"/>
          <w:lang w:eastAsia="en-US"/>
        </w:rPr>
      </w:pPr>
      <w:r w:rsidRPr="0055105F">
        <w:rPr>
          <w:b/>
          <w:sz w:val="24"/>
          <w:szCs w:val="24"/>
          <w:u w:val="single"/>
          <w:lang w:val="es-ES_tradnl"/>
        </w:rPr>
        <w:t xml:space="preserve">DICTAMEN SOBRE EL PROYECTO DE DECRETO FORAL </w:t>
      </w:r>
      <w:r w:rsidR="0055105F" w:rsidRPr="0055105F">
        <w:rPr>
          <w:rFonts w:eastAsiaTheme="minorHAnsi"/>
          <w:b/>
          <w:sz w:val="24"/>
          <w:szCs w:val="24"/>
          <w:u w:val="single"/>
          <w:lang w:eastAsia="en-US"/>
        </w:rPr>
        <w:t>POR EL QUE SE DESARROLLA LA NORMA FO</w:t>
      </w:r>
      <w:r w:rsidR="0055105F">
        <w:rPr>
          <w:rFonts w:eastAsiaTheme="minorHAnsi"/>
          <w:b/>
          <w:sz w:val="24"/>
          <w:szCs w:val="24"/>
          <w:u w:val="single"/>
          <w:lang w:eastAsia="en-US"/>
        </w:rPr>
        <w:t xml:space="preserve">RAL 11/2019, DE 27 DE MARZO, DE </w:t>
      </w:r>
      <w:r w:rsidR="0055105F" w:rsidRPr="0055105F">
        <w:rPr>
          <w:rFonts w:eastAsiaTheme="minorHAnsi"/>
          <w:b/>
          <w:sz w:val="24"/>
          <w:szCs w:val="24"/>
          <w:u w:val="single"/>
          <w:lang w:eastAsia="en-US"/>
        </w:rPr>
        <w:t>PATRIMONIO</w:t>
      </w:r>
      <w:r w:rsidR="0055105F">
        <w:rPr>
          <w:rFonts w:eastAsiaTheme="minorHAnsi"/>
          <w:b/>
          <w:sz w:val="24"/>
          <w:szCs w:val="24"/>
          <w:u w:val="single"/>
          <w:lang w:eastAsia="en-US"/>
        </w:rPr>
        <w:t xml:space="preserve"> </w:t>
      </w:r>
      <w:r w:rsidR="0055105F" w:rsidRPr="0055105F">
        <w:rPr>
          <w:rFonts w:eastAsiaTheme="minorHAnsi"/>
          <w:b/>
          <w:sz w:val="24"/>
          <w:szCs w:val="24"/>
          <w:u w:val="single"/>
          <w:lang w:eastAsia="en-US"/>
        </w:rPr>
        <w:t>FORAL DEL TERRITORIO HISTÓRICO DE ÁLAVA, EN LA MATERIA DE INSCRIPCIÓN REGISTRAL DE LOS BIENES Y</w:t>
      </w:r>
      <w:r w:rsidR="0055105F">
        <w:rPr>
          <w:rFonts w:eastAsiaTheme="minorHAnsi"/>
          <w:b/>
          <w:sz w:val="24"/>
          <w:szCs w:val="24"/>
          <w:u w:val="single"/>
          <w:lang w:eastAsia="en-US"/>
        </w:rPr>
        <w:t xml:space="preserve"> </w:t>
      </w:r>
      <w:r w:rsidR="0055105F" w:rsidRPr="0055105F">
        <w:rPr>
          <w:rFonts w:eastAsiaTheme="minorHAnsi"/>
          <w:b/>
          <w:sz w:val="24"/>
          <w:szCs w:val="24"/>
          <w:u w:val="single"/>
          <w:lang w:eastAsia="en-US"/>
        </w:rPr>
        <w:t>DERECHOS DE TITULARIDAD DE LA DIPUTACIÓN FORAL DE ÁLAVA QUE SEAN SUSCEPTIBLES DE SERLO,</w:t>
      </w:r>
      <w:r w:rsidR="0055105F">
        <w:rPr>
          <w:rFonts w:eastAsiaTheme="minorHAnsi"/>
          <w:b/>
          <w:sz w:val="24"/>
          <w:szCs w:val="24"/>
          <w:u w:val="single"/>
          <w:lang w:eastAsia="en-US"/>
        </w:rPr>
        <w:t xml:space="preserve"> </w:t>
      </w:r>
      <w:r w:rsidR="0055105F" w:rsidRPr="0055105F">
        <w:rPr>
          <w:rFonts w:eastAsiaTheme="minorHAnsi"/>
          <w:b/>
          <w:sz w:val="24"/>
          <w:szCs w:val="24"/>
          <w:u w:val="single"/>
          <w:lang w:eastAsia="en-US"/>
        </w:rPr>
        <w:t>REGULANDO LAS ACTUACIONES ADMINISTRATIVAS ENCAMINADAS A ELLO, ASÍ COMO DE TODOS LOS ACTOS Y</w:t>
      </w:r>
      <w:r w:rsidR="0055105F">
        <w:rPr>
          <w:rFonts w:eastAsiaTheme="minorHAnsi"/>
          <w:b/>
          <w:sz w:val="24"/>
          <w:szCs w:val="24"/>
          <w:u w:val="single"/>
          <w:lang w:eastAsia="en-US"/>
        </w:rPr>
        <w:t xml:space="preserve"> </w:t>
      </w:r>
      <w:r w:rsidR="0055105F" w:rsidRPr="0055105F">
        <w:rPr>
          <w:rFonts w:eastAsiaTheme="minorHAnsi"/>
          <w:b/>
          <w:sz w:val="24"/>
          <w:szCs w:val="24"/>
          <w:u w:val="single"/>
          <w:lang w:eastAsia="en-US"/>
        </w:rPr>
        <w:t>CONTRATOS REFERIDOS A DICHOS BIENES Y DERECHOS INSCRIBIBLES</w:t>
      </w:r>
      <w:r w:rsidR="0027773B" w:rsidRPr="0055105F">
        <w:rPr>
          <w:b/>
          <w:sz w:val="24"/>
          <w:szCs w:val="24"/>
          <w:u w:val="single"/>
          <w:lang w:val="es-ES_tradnl"/>
        </w:rPr>
        <w:t>( sesión</w:t>
      </w:r>
      <w:r w:rsidR="00EC4C76" w:rsidRPr="0055105F">
        <w:rPr>
          <w:b/>
          <w:sz w:val="24"/>
          <w:szCs w:val="24"/>
          <w:u w:val="single"/>
          <w:lang w:val="es-ES_tradnl"/>
        </w:rPr>
        <w:t xml:space="preserve"> Comisión Consultiva</w:t>
      </w:r>
      <w:r w:rsidR="0055105F" w:rsidRPr="0055105F">
        <w:rPr>
          <w:b/>
          <w:sz w:val="24"/>
          <w:szCs w:val="24"/>
          <w:u w:val="single"/>
          <w:lang w:val="es-ES_tradnl"/>
        </w:rPr>
        <w:t xml:space="preserve"> 8 octubre</w:t>
      </w:r>
      <w:r w:rsidR="0027773B" w:rsidRPr="0055105F">
        <w:rPr>
          <w:b/>
          <w:sz w:val="24"/>
          <w:szCs w:val="24"/>
          <w:u w:val="single"/>
          <w:lang w:val="es-ES_tradnl"/>
        </w:rPr>
        <w:t xml:space="preserve"> 2020)</w:t>
      </w:r>
    </w:p>
    <w:p w:rsidR="00835865" w:rsidRDefault="00835865" w:rsidP="00835865">
      <w:pPr>
        <w:jc w:val="both"/>
        <w:rPr>
          <w:b/>
          <w:sz w:val="24"/>
          <w:szCs w:val="24"/>
          <w:u w:val="single"/>
          <w:lang w:val="es-ES_tradnl"/>
        </w:rPr>
      </w:pPr>
      <w:r>
        <w:rPr>
          <w:b/>
          <w:sz w:val="24"/>
          <w:szCs w:val="24"/>
          <w:u w:val="single"/>
          <w:lang w:val="es-ES_tradnl"/>
        </w:rPr>
        <w:t xml:space="preserve"> </w:t>
      </w:r>
    </w:p>
    <w:p w:rsidR="0055105F" w:rsidRDefault="0055105F" w:rsidP="00835865">
      <w:pPr>
        <w:jc w:val="both"/>
        <w:rPr>
          <w:b/>
          <w:sz w:val="24"/>
          <w:szCs w:val="24"/>
          <w:u w:val="single"/>
          <w:lang w:val="es-ES_tradnl"/>
        </w:rPr>
      </w:pPr>
    </w:p>
    <w:p w:rsidR="0055105F" w:rsidRDefault="0055105F" w:rsidP="0055105F">
      <w:pPr>
        <w:jc w:val="both"/>
        <w:rPr>
          <w:b/>
          <w:sz w:val="24"/>
          <w:szCs w:val="24"/>
        </w:rPr>
      </w:pPr>
      <w:r>
        <w:rPr>
          <w:b/>
          <w:sz w:val="24"/>
          <w:szCs w:val="24"/>
        </w:rPr>
        <w:t>ANTECEDENTES DE HECHO</w:t>
      </w:r>
    </w:p>
    <w:p w:rsidR="0055105F" w:rsidRDefault="0055105F" w:rsidP="0055105F">
      <w:pPr>
        <w:jc w:val="both"/>
        <w:rPr>
          <w:b/>
          <w:sz w:val="24"/>
          <w:szCs w:val="24"/>
        </w:rPr>
      </w:pPr>
    </w:p>
    <w:p w:rsidR="0055105F" w:rsidRDefault="0055105F" w:rsidP="0055105F">
      <w:pPr>
        <w:jc w:val="both"/>
        <w:rPr>
          <w:sz w:val="24"/>
          <w:szCs w:val="24"/>
        </w:rPr>
      </w:pPr>
      <w:r>
        <w:rPr>
          <w:sz w:val="24"/>
          <w:szCs w:val="24"/>
        </w:rPr>
        <w:t>La Orden Foral 205/2020, de 12 de mayo, del Diputado de Hacienda, Finanzas y Presupuestos, inició el procedimiento de elaboración de un proyecto de reglamento que regule la inscripción en los registros correspondientes de los bienes y derechos de titularidad de la Diputación Foral de Álava.</w:t>
      </w:r>
    </w:p>
    <w:p w:rsidR="0055105F" w:rsidRDefault="0055105F" w:rsidP="0055105F">
      <w:pPr>
        <w:jc w:val="both"/>
        <w:rPr>
          <w:sz w:val="24"/>
          <w:szCs w:val="24"/>
        </w:rPr>
      </w:pPr>
    </w:p>
    <w:p w:rsidR="0055105F" w:rsidRDefault="0055105F" w:rsidP="0055105F">
      <w:pPr>
        <w:jc w:val="both"/>
        <w:rPr>
          <w:sz w:val="24"/>
          <w:szCs w:val="24"/>
        </w:rPr>
      </w:pPr>
      <w:r>
        <w:rPr>
          <w:sz w:val="24"/>
          <w:szCs w:val="24"/>
        </w:rPr>
        <w:t>La resolución mencionada en el párrafo anterior vino precedida de la memoria-informe del Servicio de Patrimonio, de 6 de abril de 2020, que figura en el expediente.</w:t>
      </w:r>
    </w:p>
    <w:p w:rsidR="0055105F" w:rsidRDefault="0055105F" w:rsidP="0055105F">
      <w:pPr>
        <w:jc w:val="both"/>
        <w:rPr>
          <w:sz w:val="24"/>
          <w:szCs w:val="24"/>
        </w:rPr>
      </w:pPr>
      <w:r>
        <w:rPr>
          <w:sz w:val="24"/>
          <w:szCs w:val="24"/>
        </w:rPr>
        <w:t>Posteriormente, la Orden Foral 215/2020, de 20 de mayo, del mismo departamento, aprobó inicialmente el texto del proyecto.</w:t>
      </w:r>
    </w:p>
    <w:p w:rsidR="0055105F" w:rsidRDefault="0055105F" w:rsidP="0055105F">
      <w:pPr>
        <w:jc w:val="both"/>
        <w:rPr>
          <w:sz w:val="24"/>
          <w:szCs w:val="24"/>
        </w:rPr>
      </w:pPr>
    </w:p>
    <w:p w:rsidR="0055105F" w:rsidRDefault="0055105F" w:rsidP="0055105F">
      <w:pPr>
        <w:jc w:val="both"/>
        <w:rPr>
          <w:sz w:val="24"/>
          <w:szCs w:val="24"/>
        </w:rPr>
      </w:pPr>
      <w:r>
        <w:rPr>
          <w:sz w:val="24"/>
          <w:szCs w:val="24"/>
        </w:rPr>
        <w:t xml:space="preserve">Figura, además, en el expediente el informe de impacto de género de la Secretaría Técnica de Hacienda, Finanzas y Presupuestos, de 10 de junio de 2020, según el cual el proyecto no es pertinente al género, conclusión ratificada por el informe de observaciones sobre la evaluación de impacto de género del proyecto, de 9 de julio de 2020, del Servicio de Igualdad, Cooperación e Interculturalidad. Figura también el informe abreviado de impacto normativo, de 24 de julio de 2020, del Servicio de Patrimonio, que aborda lo relativo a la a oportunidad y conveniencia de la propuesta, al contenido, análisis jurídico y tramitación de la misma, así como a su impacto económico y presupuestario. </w:t>
      </w:r>
    </w:p>
    <w:p w:rsidR="0055105F" w:rsidRDefault="0055105F" w:rsidP="0055105F">
      <w:pPr>
        <w:jc w:val="both"/>
        <w:rPr>
          <w:sz w:val="24"/>
          <w:szCs w:val="24"/>
        </w:rPr>
      </w:pPr>
    </w:p>
    <w:p w:rsidR="0055105F" w:rsidRDefault="0055105F" w:rsidP="0055105F">
      <w:pPr>
        <w:jc w:val="both"/>
        <w:rPr>
          <w:sz w:val="24"/>
          <w:szCs w:val="24"/>
        </w:rPr>
      </w:pPr>
      <w:r>
        <w:rPr>
          <w:sz w:val="24"/>
          <w:szCs w:val="24"/>
        </w:rPr>
        <w:t>En el curso del procedimiento de elaboración de la norma han formulado alegaciones el Servicio de Tributos Locales y Catastro y el Servicio Jurídico-Administrativo, mediante escritos de 21 de mayo y 17 de junio de 2020, respectivamente.</w:t>
      </w:r>
    </w:p>
    <w:p w:rsidR="0055105F" w:rsidRDefault="0055105F" w:rsidP="0055105F">
      <w:pPr>
        <w:jc w:val="both"/>
        <w:rPr>
          <w:sz w:val="24"/>
          <w:szCs w:val="24"/>
        </w:rPr>
      </w:pPr>
    </w:p>
    <w:p w:rsidR="0055105F" w:rsidRDefault="0055105F" w:rsidP="0055105F">
      <w:pPr>
        <w:jc w:val="both"/>
        <w:rPr>
          <w:b/>
          <w:sz w:val="24"/>
          <w:szCs w:val="24"/>
        </w:rPr>
      </w:pPr>
      <w:r>
        <w:rPr>
          <w:b/>
          <w:sz w:val="24"/>
          <w:szCs w:val="24"/>
        </w:rPr>
        <w:t>CONSIDERACIONES JURÍDICAS</w:t>
      </w:r>
    </w:p>
    <w:p w:rsidR="0055105F" w:rsidRDefault="0055105F" w:rsidP="0055105F">
      <w:pPr>
        <w:jc w:val="both"/>
        <w:rPr>
          <w:b/>
          <w:sz w:val="24"/>
          <w:szCs w:val="24"/>
          <w:u w:val="single"/>
        </w:rPr>
      </w:pPr>
    </w:p>
    <w:p w:rsidR="0055105F" w:rsidRDefault="0055105F" w:rsidP="0055105F">
      <w:pPr>
        <w:jc w:val="both"/>
        <w:rPr>
          <w:b/>
          <w:sz w:val="24"/>
          <w:szCs w:val="24"/>
          <w:u w:val="single"/>
        </w:rPr>
      </w:pPr>
      <w:r>
        <w:rPr>
          <w:b/>
          <w:sz w:val="24"/>
          <w:szCs w:val="24"/>
          <w:u w:val="single"/>
        </w:rPr>
        <w:t>PRIMERA.- Competencia de la Comisión Consultiva.</w:t>
      </w:r>
    </w:p>
    <w:p w:rsidR="0055105F" w:rsidRDefault="0055105F" w:rsidP="0055105F">
      <w:pPr>
        <w:jc w:val="both"/>
        <w:rPr>
          <w:sz w:val="24"/>
          <w:szCs w:val="24"/>
        </w:rPr>
      </w:pPr>
    </w:p>
    <w:p w:rsidR="0055105F" w:rsidRDefault="0055105F" w:rsidP="0055105F">
      <w:pPr>
        <w:jc w:val="both"/>
        <w:rPr>
          <w:sz w:val="24"/>
          <w:szCs w:val="24"/>
        </w:rPr>
      </w:pPr>
      <w:r>
        <w:rPr>
          <w:sz w:val="24"/>
          <w:szCs w:val="24"/>
        </w:rPr>
        <w:t xml:space="preserve">1.Para examinar lo relativo a este punto debemos anticipar que la norma en proyecto, salvo lo que se dirá en el parágrafo 3 de la consideración quinta en relación con el art. 2.5 del mismo, tiene por objeto distribuir entre las distintas unidades administrativas de la Diputación Foral de Álava afectadas la competencia para la realización de los trámites y gestiones inherentes a la inscripción en los registros públicos que se especifican de los bienes y derechos de titularidad foral y de los actos y contratos relativos a los mismos y susceptibles de causar asiento en los mismos registros. Ello dentro de los límites y de acuerdo con las pautas que al respecto se contienen en la </w:t>
      </w:r>
      <w:r>
        <w:rPr>
          <w:sz w:val="24"/>
          <w:szCs w:val="24"/>
        </w:rPr>
        <w:lastRenderedPageBreak/>
        <w:t>vigente Norma Foral 11/2019, de 27 de marzo, de Patrimonio Foral del Territorio Histórico de Álava –concretamente en los arts. 23, 28, 51, 52 y 68</w:t>
      </w:r>
      <w:r>
        <w:rPr>
          <w:sz w:val="24"/>
          <w:szCs w:val="24"/>
        </w:rPr>
        <w:noBreakHyphen/>
        <w:t xml:space="preserve"> y en ejercicio de la habilitación que para su desarrollo reglamentario se contiene en la disposición final única de la misma Norma Foral.</w:t>
      </w:r>
    </w:p>
    <w:p w:rsidR="0055105F" w:rsidRDefault="0055105F" w:rsidP="0055105F">
      <w:pPr>
        <w:ind w:left="720" w:hanging="720"/>
        <w:jc w:val="both"/>
        <w:rPr>
          <w:sz w:val="24"/>
          <w:szCs w:val="24"/>
        </w:rPr>
      </w:pPr>
    </w:p>
    <w:p w:rsidR="0055105F" w:rsidRDefault="0055105F" w:rsidP="0055105F">
      <w:pPr>
        <w:jc w:val="both"/>
        <w:rPr>
          <w:sz w:val="24"/>
          <w:szCs w:val="24"/>
        </w:rPr>
      </w:pPr>
      <w:r>
        <w:rPr>
          <w:sz w:val="24"/>
          <w:szCs w:val="24"/>
        </w:rPr>
        <w:t>Es decir, estamos ante un proyecto de reglamento organizativo, si bien que, interesa subrayarlo, dictado en desarrollo y ejecución de la Norma Foral de Patrimonio y en ejercicio de la habilitación expresa contenida en la misma para su desarrollo reglamentario.</w:t>
      </w:r>
    </w:p>
    <w:p w:rsidR="0055105F" w:rsidRDefault="0055105F" w:rsidP="0055105F">
      <w:pPr>
        <w:jc w:val="both"/>
        <w:rPr>
          <w:sz w:val="24"/>
          <w:szCs w:val="24"/>
        </w:rPr>
      </w:pPr>
    </w:p>
    <w:p w:rsidR="0055105F" w:rsidRDefault="0055105F" w:rsidP="0055105F">
      <w:pPr>
        <w:jc w:val="both"/>
        <w:rPr>
          <w:sz w:val="24"/>
          <w:szCs w:val="24"/>
        </w:rPr>
      </w:pPr>
      <w:r>
        <w:rPr>
          <w:sz w:val="24"/>
          <w:szCs w:val="24"/>
        </w:rPr>
        <w:t xml:space="preserve">2. Pues bien, establece el art. 3.1 del Reglamento Orgánico de esta Comisión, aprobado por Decreto Foral 40/1999, del Consejo de Gobierno Foral de 30 marzo, que «la Comisión Consultiva deberá emitir dictamen preceptivo en los asuntos siguientes: […] b) Proyectos de disposiciones reglamentarias que se dicten </w:t>
      </w:r>
      <w:r>
        <w:rPr>
          <w:i/>
          <w:sz w:val="24"/>
          <w:szCs w:val="24"/>
        </w:rPr>
        <w:t>en ejecución</w:t>
      </w:r>
      <w:r>
        <w:rPr>
          <w:sz w:val="24"/>
          <w:szCs w:val="24"/>
        </w:rPr>
        <w:t xml:space="preserve"> de las Normas Forales que regulen materias de la competencia exclusiva del Territorio Histórico o en ejecución de las Leyes de la Comunidad Autónoma en aquellas materias en que compete al Territorio Histórico el desarrollo reglamentario de las mismas».</w:t>
      </w:r>
    </w:p>
    <w:p w:rsidR="0055105F" w:rsidRDefault="0055105F" w:rsidP="0055105F">
      <w:pPr>
        <w:ind w:left="720"/>
        <w:jc w:val="both"/>
        <w:rPr>
          <w:sz w:val="24"/>
          <w:szCs w:val="24"/>
        </w:rPr>
      </w:pPr>
    </w:p>
    <w:p w:rsidR="0055105F" w:rsidRDefault="0055105F" w:rsidP="0055105F">
      <w:pPr>
        <w:jc w:val="both"/>
        <w:rPr>
          <w:sz w:val="24"/>
          <w:szCs w:val="24"/>
        </w:rPr>
      </w:pPr>
      <w:r>
        <w:rPr>
          <w:sz w:val="24"/>
          <w:szCs w:val="24"/>
        </w:rPr>
        <w:t>En relación con la exégesis de este precepto, es oportuno traer a colación la reiterada doctrina del Consejo de Estado que, en interpretación de sus propias normas competenciales –concretamente, en la actualidad, el art. 22.3 de la Ley Orgánica 3/1980, de 22 de abril, del Consejo de Estado, cuyo tenor es sustancialmente idéntico, en lo que ahora interesa, al art. 3.1.b) del Reglamento Orgánico de esta Comisión Consultiva</w:t>
      </w:r>
      <w:r>
        <w:rPr>
          <w:sz w:val="24"/>
          <w:szCs w:val="24"/>
          <w:vertAlign w:val="superscript"/>
        </w:rPr>
        <w:footnoteReference w:id="1"/>
      </w:r>
      <w:r>
        <w:rPr>
          <w:sz w:val="24"/>
          <w:szCs w:val="24"/>
        </w:rPr>
        <w:noBreakHyphen/>
        <w:t>, distingue entre reglamentos ejecutivos y organizativos a los efectos de diferenciar aquellos supuestos en que el dictamen del Consejo de Estado es preceptivo (reglamentos ejecutivos), de aquellos otros en que no lo es (reglamentos organizativos). Doctrina que ha sido recibida por el Tribunal Supremo en numerosas sentencias, por todas la de 28 de enero de 1997 (R. 6/1993, FJ 1), según la cual:</w:t>
      </w:r>
    </w:p>
    <w:p w:rsidR="0055105F" w:rsidRDefault="0055105F" w:rsidP="0055105F">
      <w:pPr>
        <w:jc w:val="both"/>
        <w:rPr>
          <w:sz w:val="24"/>
          <w:szCs w:val="24"/>
        </w:rPr>
      </w:pPr>
      <w:r>
        <w:rPr>
          <w:bCs/>
          <w:sz w:val="24"/>
          <w:szCs w:val="24"/>
        </w:rPr>
        <w:t>1.ª)</w:t>
      </w:r>
      <w:r>
        <w:rPr>
          <w:sz w:val="24"/>
          <w:szCs w:val="24"/>
        </w:rPr>
        <w:t xml:space="preserve"> El reglamento ejecutivo es aquel que desarrolla una Ley, o la complementa. Los reglamentos ejecutivos exigen el dictamen del Consejo de Estado, como garantía «ex ante» de objetividad e imparcialidad y como garantía de perfección técnica y acierto en la elaboración de los mismos.</w:t>
      </w:r>
    </w:p>
    <w:p w:rsidR="0055105F" w:rsidRDefault="0055105F" w:rsidP="0055105F">
      <w:pPr>
        <w:jc w:val="both"/>
        <w:rPr>
          <w:sz w:val="24"/>
          <w:szCs w:val="24"/>
        </w:rPr>
      </w:pPr>
      <w:r>
        <w:rPr>
          <w:bCs/>
          <w:sz w:val="24"/>
          <w:szCs w:val="24"/>
        </w:rPr>
        <w:t>2.ª)</w:t>
      </w:r>
      <w:r>
        <w:rPr>
          <w:sz w:val="24"/>
          <w:szCs w:val="24"/>
        </w:rPr>
        <w:t xml:space="preserve"> Los reglamentos independientes, por el contrario regulan materias no comprendidas en el ámbito de la reserva de Ley: de ahí que la doctrina científica más cualificada enseñe que los reglamentos independientes sirven para regular todo lo relativo a la organización administrativa, así como para regular el ejercicio de poderes que a la Administración les esté conferidos discrecionalmente.</w:t>
      </w:r>
    </w:p>
    <w:p w:rsidR="0055105F" w:rsidRDefault="0055105F" w:rsidP="0055105F">
      <w:pPr>
        <w:jc w:val="both"/>
        <w:rPr>
          <w:bCs/>
          <w:sz w:val="24"/>
          <w:szCs w:val="24"/>
        </w:rPr>
      </w:pPr>
      <w:r>
        <w:rPr>
          <w:bCs/>
          <w:sz w:val="24"/>
          <w:szCs w:val="24"/>
        </w:rPr>
        <w:t xml:space="preserve">Sentencia que en su FJ 3 concluye afirmando </w:t>
      </w:r>
      <w:r>
        <w:rPr>
          <w:sz w:val="24"/>
          <w:szCs w:val="24"/>
        </w:rPr>
        <w:t>«con la jurisprudencia de esta Sala (SSTS 27 enero 1992 y 20 mayo 1993), que en la elaboración de los reglamentos independientes, no es preceptivo el dictamen del Consejo de Estado</w:t>
      </w:r>
      <w:r>
        <w:rPr>
          <w:bCs/>
          <w:sz w:val="24"/>
          <w:szCs w:val="24"/>
        </w:rPr>
        <w:t>».</w:t>
      </w:r>
    </w:p>
    <w:p w:rsidR="0055105F" w:rsidRDefault="0055105F" w:rsidP="0055105F">
      <w:pPr>
        <w:jc w:val="both"/>
        <w:rPr>
          <w:bCs/>
          <w:sz w:val="24"/>
          <w:szCs w:val="24"/>
        </w:rPr>
      </w:pPr>
    </w:p>
    <w:p w:rsidR="0055105F" w:rsidRDefault="0055105F" w:rsidP="0055105F">
      <w:pPr>
        <w:jc w:val="both"/>
        <w:rPr>
          <w:bCs/>
          <w:sz w:val="24"/>
          <w:szCs w:val="24"/>
        </w:rPr>
      </w:pPr>
      <w:r>
        <w:rPr>
          <w:bCs/>
          <w:sz w:val="24"/>
          <w:szCs w:val="24"/>
        </w:rPr>
        <w:t>3. Ahora bien, no cabe asimilar mecánicamente reglamento organizativo y reglamento independiente. En relación con el concepto de reglamento ejecutivo se ha pronunciado la STS de 24 de julio de 2003 (R. 1417/200, FJ 3) en los siguientes términos:</w:t>
      </w:r>
    </w:p>
    <w:p w:rsidR="0055105F" w:rsidRDefault="0055105F" w:rsidP="0055105F">
      <w:pPr>
        <w:jc w:val="both"/>
        <w:rPr>
          <w:bCs/>
          <w:sz w:val="24"/>
          <w:szCs w:val="24"/>
        </w:rPr>
      </w:pPr>
    </w:p>
    <w:p w:rsidR="0055105F" w:rsidRDefault="0055105F" w:rsidP="0055105F">
      <w:pPr>
        <w:jc w:val="both"/>
        <w:rPr>
          <w:sz w:val="24"/>
          <w:szCs w:val="24"/>
        </w:rPr>
      </w:pPr>
      <w:r>
        <w:rPr>
          <w:sz w:val="24"/>
          <w:szCs w:val="24"/>
        </w:rPr>
        <w:t>La jurisprudencia de esta Sala, para perfilar la noción de Reglamento ejecutivo, ha utilizado, esencialmente, dos concepciones: una material, comprendiendo en el concepto aquellos Reglamentos que de forma total o parcial «completan, desarrollan, pormenorizan, aplican o complementan» una o varias leyes, entendidas éstas como normas con rango de ley, lo que presupone la existencia de un mínimo contenido legal regulador de la materia; y otra formal, dando cabida a los Reglamentos que ejecutan habilitaciones legales, con independencia de cualquier desarrollo material. […]</w:t>
      </w:r>
    </w:p>
    <w:p w:rsidR="0055105F" w:rsidRDefault="0055105F" w:rsidP="0055105F">
      <w:pPr>
        <w:jc w:val="both"/>
        <w:rPr>
          <w:sz w:val="24"/>
          <w:szCs w:val="24"/>
        </w:rPr>
      </w:pPr>
    </w:p>
    <w:p w:rsidR="0055105F" w:rsidRDefault="0055105F" w:rsidP="0055105F">
      <w:pPr>
        <w:jc w:val="both"/>
        <w:rPr>
          <w:i/>
          <w:iCs/>
          <w:sz w:val="24"/>
          <w:szCs w:val="24"/>
        </w:rPr>
      </w:pPr>
      <w:r>
        <w:rPr>
          <w:i/>
          <w:iCs/>
          <w:sz w:val="24"/>
          <w:szCs w:val="24"/>
        </w:rPr>
        <w:t>Ha de tenderse, por tanto, a una interpretación no restrictiva del término «ejecución de leyes» teniendo en cuenta que hay, incluso, una mayor necesidad de control interno en la elaboración de los reglamentos, precisamente, a medida que es mayor la desconexión con la ley y dado que, en todo caso, han de respetar el bloque de la legalidad. Consecuentemente, y mientras subsista la necesidad de distinguir a efectos del dictamen del Consejo de Estado u órgano consultivo autonómico equivalente unos reglamentos específicamente «ejecutivos» porque la categoría esté formalmente consagrada en la LOCE o en la correspondiente Ley autonómica, ha de incluirse en ella toda norma reglamentaria que desarrolle cualquier remisión normativa o reenvío legal a una ulterior normación que ha de efectuar la Administración como complemento de la ordenación que la propia ley establece, aunque ésta no incorpore una específica y parcial regulación material de lo que está llamado a desarrollar o completar el reglamento; y, únicamente, estarán excluidos del preceptivo dictamen del Consejo de Estado u órgano consultivo autonómico equivalente los Reglamentos independientes, autónomos o praeter legem, en el reducido ámbito en que resultan constitucional y legalmente posibles especialmente en el organizativo interno y en el de la potestad doméstica de la Administración y los Reglamentos de necesidad (Cfr. SSTS de 27 Nov. 1995 y 3 Jul. 1996)</w:t>
      </w:r>
    </w:p>
    <w:p w:rsidR="0055105F" w:rsidRDefault="0055105F" w:rsidP="0055105F">
      <w:pPr>
        <w:jc w:val="both"/>
        <w:rPr>
          <w:bCs/>
          <w:i/>
          <w:sz w:val="24"/>
          <w:szCs w:val="24"/>
        </w:rPr>
      </w:pPr>
    </w:p>
    <w:p w:rsidR="0055105F" w:rsidRDefault="0055105F" w:rsidP="0055105F">
      <w:pPr>
        <w:jc w:val="both"/>
        <w:rPr>
          <w:sz w:val="24"/>
          <w:szCs w:val="24"/>
        </w:rPr>
      </w:pPr>
      <w:r>
        <w:rPr>
          <w:bCs/>
          <w:sz w:val="24"/>
          <w:szCs w:val="24"/>
        </w:rPr>
        <w:t>Como afirma la STS de 9 de julio de 1993 (R. 943/1990, FJ 5), «</w:t>
      </w:r>
      <w:r>
        <w:rPr>
          <w:sz w:val="24"/>
          <w:szCs w:val="24"/>
        </w:rPr>
        <w:t>los conceptos de reglamentos organizativos y reglamentos ejecutivos no son contrapuestos, pues, en efecto, también un reglamento organizativo puede ser ejecutivo, si es que desarrolla o ejecuta los principios organizativos de una ley».</w:t>
      </w:r>
    </w:p>
    <w:p w:rsidR="0055105F" w:rsidRDefault="0055105F" w:rsidP="0055105F">
      <w:pPr>
        <w:jc w:val="both"/>
        <w:rPr>
          <w:bCs/>
          <w:sz w:val="24"/>
          <w:szCs w:val="24"/>
        </w:rPr>
      </w:pPr>
    </w:p>
    <w:p w:rsidR="0055105F" w:rsidRDefault="0055105F" w:rsidP="0055105F">
      <w:pPr>
        <w:numPr>
          <w:ilvl w:val="0"/>
          <w:numId w:val="20"/>
        </w:numPr>
        <w:ind w:left="284"/>
        <w:jc w:val="both"/>
        <w:rPr>
          <w:bCs/>
          <w:sz w:val="24"/>
          <w:szCs w:val="24"/>
        </w:rPr>
      </w:pPr>
      <w:r>
        <w:rPr>
          <w:bCs/>
          <w:sz w:val="24"/>
          <w:szCs w:val="24"/>
        </w:rPr>
        <w:t>Lo dicho en los puntos anteriores permite concluir en nuestro caso que, aunque el proyecto sometido a dictamen debe ser calificado como reglamento organizativo, en la medida en el mismo desarrolla directrices contenidas en la Norma Foral 11/2019, de Patrimonio Foral del THA de conformidad con la habilitación de la Diputación Foral de Álava para el desarrollo reglamentario de la misma que se contiene en su disposición final única, estamos ante un reglamento ejecutivo y, por ello, sometido al dictamen preceptivo de esta Comisión, de conformidad con el art. 3.1.b) de su Reglamento Orgánico.</w:t>
      </w:r>
    </w:p>
    <w:p w:rsidR="0055105F" w:rsidRDefault="0055105F" w:rsidP="0055105F">
      <w:pPr>
        <w:jc w:val="both"/>
        <w:rPr>
          <w:bCs/>
          <w:sz w:val="24"/>
          <w:szCs w:val="24"/>
        </w:rPr>
      </w:pPr>
    </w:p>
    <w:p w:rsidR="0055105F" w:rsidRDefault="0055105F" w:rsidP="0055105F">
      <w:pPr>
        <w:jc w:val="both"/>
        <w:rPr>
          <w:bCs/>
          <w:sz w:val="24"/>
          <w:szCs w:val="24"/>
        </w:rPr>
      </w:pPr>
    </w:p>
    <w:p w:rsidR="0055105F" w:rsidRDefault="0055105F" w:rsidP="0055105F">
      <w:pPr>
        <w:jc w:val="both"/>
        <w:rPr>
          <w:b/>
          <w:bCs/>
          <w:sz w:val="24"/>
          <w:szCs w:val="24"/>
          <w:u w:val="single"/>
        </w:rPr>
      </w:pPr>
      <w:r>
        <w:rPr>
          <w:b/>
          <w:bCs/>
          <w:sz w:val="24"/>
          <w:szCs w:val="24"/>
          <w:u w:val="single"/>
        </w:rPr>
        <w:t>SEGUNDA.- Sobre los aspectos formales de la norma en proyecto.</w:t>
      </w:r>
    </w:p>
    <w:p w:rsidR="0055105F" w:rsidRDefault="0055105F" w:rsidP="0055105F">
      <w:pPr>
        <w:jc w:val="both"/>
        <w:rPr>
          <w:sz w:val="24"/>
          <w:szCs w:val="24"/>
        </w:rPr>
      </w:pPr>
    </w:p>
    <w:p w:rsidR="0055105F" w:rsidRDefault="0055105F" w:rsidP="0055105F">
      <w:pPr>
        <w:numPr>
          <w:ilvl w:val="0"/>
          <w:numId w:val="21"/>
        </w:numPr>
        <w:jc w:val="both"/>
        <w:rPr>
          <w:b/>
          <w:sz w:val="24"/>
          <w:szCs w:val="24"/>
        </w:rPr>
      </w:pPr>
      <w:r>
        <w:rPr>
          <w:b/>
          <w:sz w:val="24"/>
          <w:szCs w:val="24"/>
        </w:rPr>
        <w:t>Competencia.</w:t>
      </w:r>
    </w:p>
    <w:p w:rsidR="0055105F" w:rsidRDefault="0055105F" w:rsidP="0055105F">
      <w:pPr>
        <w:ind w:left="720"/>
        <w:jc w:val="both"/>
        <w:rPr>
          <w:b/>
          <w:sz w:val="24"/>
          <w:szCs w:val="24"/>
        </w:rPr>
      </w:pPr>
    </w:p>
    <w:p w:rsidR="0055105F" w:rsidRDefault="0055105F" w:rsidP="0055105F">
      <w:pPr>
        <w:jc w:val="both"/>
        <w:rPr>
          <w:sz w:val="24"/>
          <w:szCs w:val="24"/>
        </w:rPr>
      </w:pPr>
      <w:r>
        <w:rPr>
          <w:sz w:val="24"/>
          <w:szCs w:val="24"/>
        </w:rPr>
        <w:t>Dispone el art. 7.2 de la Norma Foral 52/1992, de 18 diciembre, de Organización, Funcionamiento y Régimen Jurídico de la Diputación Foral de Álava (modificado por NF 9/2011, de 14 de marzo, que «[e]n el ejercicio de la potestad reglamentaria corresponde al Consejo de Diputados aprobar mediante Decretos Forales, Reglamentos de ejecución y desarrollo de las Normas Forales». Más específicamente, la disposición final única de la Norma Foral 11/2019, de 25 de abril, de Patrimonio Foral del Territorio Histórico de Álava, habilita a la Diputación Foral para su desarrollo reglamentario.</w:t>
      </w:r>
    </w:p>
    <w:p w:rsidR="0055105F" w:rsidRDefault="0055105F" w:rsidP="0055105F">
      <w:pPr>
        <w:jc w:val="both"/>
        <w:rPr>
          <w:sz w:val="24"/>
          <w:szCs w:val="24"/>
        </w:rPr>
      </w:pPr>
    </w:p>
    <w:p w:rsidR="0055105F" w:rsidRDefault="0055105F" w:rsidP="0055105F">
      <w:pPr>
        <w:numPr>
          <w:ilvl w:val="0"/>
          <w:numId w:val="21"/>
        </w:numPr>
        <w:jc w:val="both"/>
        <w:rPr>
          <w:b/>
          <w:bCs/>
          <w:sz w:val="24"/>
          <w:szCs w:val="24"/>
        </w:rPr>
      </w:pPr>
      <w:r>
        <w:rPr>
          <w:b/>
          <w:bCs/>
          <w:sz w:val="24"/>
          <w:szCs w:val="24"/>
        </w:rPr>
        <w:t>Principios de buena regulación.</w:t>
      </w:r>
    </w:p>
    <w:p w:rsidR="0055105F" w:rsidRDefault="0055105F" w:rsidP="0055105F">
      <w:pPr>
        <w:ind w:left="720"/>
        <w:jc w:val="both"/>
        <w:rPr>
          <w:sz w:val="24"/>
          <w:szCs w:val="24"/>
        </w:rPr>
      </w:pPr>
    </w:p>
    <w:p w:rsidR="0055105F" w:rsidRDefault="0055105F" w:rsidP="0055105F">
      <w:pPr>
        <w:jc w:val="both"/>
        <w:rPr>
          <w:sz w:val="24"/>
          <w:szCs w:val="24"/>
        </w:rPr>
      </w:pPr>
      <w:r>
        <w:rPr>
          <w:sz w:val="24"/>
          <w:szCs w:val="24"/>
        </w:rPr>
        <w:t>Establece el art. 129 de la Ley 39/2015, de 1 de octubre, de Procedimiento Administrativo Común de las Administraciones Públicas (LPAC), que:</w:t>
      </w:r>
    </w:p>
    <w:p w:rsidR="0055105F" w:rsidRDefault="0055105F" w:rsidP="0055105F">
      <w:pPr>
        <w:jc w:val="both"/>
        <w:rPr>
          <w:sz w:val="24"/>
          <w:szCs w:val="24"/>
        </w:rPr>
      </w:pPr>
    </w:p>
    <w:p w:rsidR="0055105F" w:rsidRDefault="0055105F" w:rsidP="0055105F">
      <w:pPr>
        <w:jc w:val="both"/>
        <w:rPr>
          <w:sz w:val="24"/>
          <w:szCs w:val="24"/>
        </w:rPr>
      </w:pPr>
      <w:r>
        <w:rPr>
          <w:sz w:val="24"/>
          <w:szCs w:val="24"/>
        </w:rPr>
        <w:t>En el ejercicio de la iniciativa legislativa y la potestad reglamentaria, las Administraciones Públicas actuarán de acuerdo con los principios de necesidad, eficacia, proporcionalidad, seguridad jurídica, transparencia, y eficiencia. En la exposición de motivos o en el preámbulo, según se trate, respectivamente, de anteproyectos de ley o de proyectos de reglamento, quedará suficientemente justificada su adecuación a dichos principios.</w:t>
      </w:r>
    </w:p>
    <w:p w:rsidR="0055105F" w:rsidRDefault="0055105F" w:rsidP="0055105F">
      <w:pPr>
        <w:jc w:val="both"/>
        <w:rPr>
          <w:sz w:val="24"/>
          <w:szCs w:val="24"/>
        </w:rPr>
      </w:pPr>
    </w:p>
    <w:p w:rsidR="0055105F" w:rsidRDefault="0055105F" w:rsidP="0055105F">
      <w:pPr>
        <w:jc w:val="both"/>
        <w:rPr>
          <w:sz w:val="24"/>
          <w:szCs w:val="24"/>
        </w:rPr>
      </w:pPr>
      <w:r>
        <w:rPr>
          <w:sz w:val="24"/>
          <w:szCs w:val="24"/>
        </w:rPr>
        <w:t xml:space="preserve">Y lo mismo resulta de lo dispuesto en el art. 16.2.e) en relación con el art. 3 del Decreto Foral 29/2017, </w:t>
      </w:r>
      <w:r>
        <w:rPr>
          <w:bCs/>
          <w:sz w:val="24"/>
          <w:szCs w:val="24"/>
        </w:rPr>
        <w:t>del Consejo de Gobierno Foral de 23 de mayo, que aprueba el procedimiento de elaboración de disposiciones de carácter general</w:t>
      </w:r>
      <w:r>
        <w:rPr>
          <w:sz w:val="24"/>
          <w:szCs w:val="24"/>
        </w:rPr>
        <w:t>.</w:t>
      </w:r>
    </w:p>
    <w:p w:rsidR="0055105F" w:rsidRDefault="0055105F" w:rsidP="0055105F">
      <w:pPr>
        <w:jc w:val="both"/>
        <w:rPr>
          <w:sz w:val="24"/>
          <w:szCs w:val="24"/>
        </w:rPr>
      </w:pPr>
      <w:r>
        <w:rPr>
          <w:sz w:val="24"/>
          <w:szCs w:val="24"/>
        </w:rPr>
        <w:t>Pues bien, en relación con este punto, el preámbulo del proyecto justifica cumplidamente su adecuación a los principios de buena regulación en la forma exigida por los apartados dos a seis del art. 129 LPAC.</w:t>
      </w:r>
    </w:p>
    <w:p w:rsidR="0055105F" w:rsidRDefault="0055105F" w:rsidP="0055105F">
      <w:pPr>
        <w:jc w:val="both"/>
        <w:rPr>
          <w:sz w:val="24"/>
          <w:szCs w:val="24"/>
        </w:rPr>
      </w:pPr>
    </w:p>
    <w:p w:rsidR="0055105F" w:rsidRDefault="0055105F" w:rsidP="0055105F">
      <w:pPr>
        <w:numPr>
          <w:ilvl w:val="0"/>
          <w:numId w:val="21"/>
        </w:numPr>
        <w:jc w:val="both"/>
        <w:rPr>
          <w:b/>
          <w:sz w:val="24"/>
          <w:szCs w:val="24"/>
        </w:rPr>
      </w:pPr>
      <w:r>
        <w:rPr>
          <w:b/>
          <w:sz w:val="24"/>
          <w:szCs w:val="24"/>
        </w:rPr>
        <w:t>Procedimiento.</w:t>
      </w:r>
    </w:p>
    <w:p w:rsidR="0055105F" w:rsidRDefault="0055105F" w:rsidP="0055105F">
      <w:pPr>
        <w:ind w:left="720"/>
        <w:jc w:val="both"/>
        <w:rPr>
          <w:b/>
          <w:sz w:val="24"/>
          <w:szCs w:val="24"/>
        </w:rPr>
      </w:pPr>
    </w:p>
    <w:p w:rsidR="0055105F" w:rsidRDefault="0055105F" w:rsidP="0055105F">
      <w:pPr>
        <w:jc w:val="both"/>
        <w:rPr>
          <w:sz w:val="24"/>
          <w:szCs w:val="24"/>
        </w:rPr>
      </w:pPr>
      <w:r>
        <w:rPr>
          <w:sz w:val="24"/>
          <w:szCs w:val="24"/>
        </w:rPr>
        <w:t>i) Plan Anual Normativo.</w:t>
      </w:r>
    </w:p>
    <w:p w:rsidR="0055105F" w:rsidRDefault="0055105F" w:rsidP="0055105F">
      <w:pPr>
        <w:jc w:val="both"/>
        <w:rPr>
          <w:sz w:val="24"/>
          <w:szCs w:val="24"/>
        </w:rPr>
      </w:pPr>
    </w:p>
    <w:p w:rsidR="0055105F" w:rsidRDefault="0055105F" w:rsidP="0055105F">
      <w:pPr>
        <w:jc w:val="both"/>
        <w:rPr>
          <w:sz w:val="24"/>
          <w:szCs w:val="24"/>
        </w:rPr>
      </w:pPr>
      <w:r>
        <w:rPr>
          <w:sz w:val="24"/>
          <w:szCs w:val="24"/>
        </w:rPr>
        <w:t>Establece el art. 4 del Decreto Foral 29/2017:</w:t>
      </w:r>
    </w:p>
    <w:p w:rsidR="0055105F" w:rsidRDefault="0055105F" w:rsidP="0055105F">
      <w:pPr>
        <w:jc w:val="both"/>
        <w:rPr>
          <w:sz w:val="24"/>
          <w:szCs w:val="24"/>
        </w:rPr>
      </w:pPr>
    </w:p>
    <w:p w:rsidR="0055105F" w:rsidRDefault="0055105F" w:rsidP="0055105F">
      <w:pPr>
        <w:jc w:val="both"/>
        <w:rPr>
          <w:sz w:val="24"/>
          <w:szCs w:val="24"/>
        </w:rPr>
      </w:pPr>
      <w:r>
        <w:rPr>
          <w:sz w:val="24"/>
          <w:szCs w:val="24"/>
        </w:rPr>
        <w:t>1. El último trimestre de cada año la Diputación Foral de Álava aprobará y hará público un Plan Normativo referido a las iniciativas normativas forales y de carácter general que tenga previsto proponer para su aprobación durante el ejercicio anual siguiente.</w:t>
      </w:r>
    </w:p>
    <w:p w:rsidR="0055105F" w:rsidRDefault="0055105F" w:rsidP="0055105F">
      <w:pPr>
        <w:jc w:val="both"/>
        <w:rPr>
          <w:sz w:val="24"/>
          <w:szCs w:val="24"/>
        </w:rPr>
      </w:pPr>
      <w:r>
        <w:rPr>
          <w:sz w:val="24"/>
          <w:szCs w:val="24"/>
        </w:rPr>
        <w:t xml:space="preserve">2. En el caso de que se proponga la aprobación por el órgano competente de una propuesta normativa que no figure en el Plan Anual Normativo, se deberá </w:t>
      </w:r>
      <w:r>
        <w:rPr>
          <w:i/>
          <w:sz w:val="24"/>
          <w:szCs w:val="24"/>
        </w:rPr>
        <w:t>justificar</w:t>
      </w:r>
      <w:r>
        <w:rPr>
          <w:sz w:val="24"/>
          <w:szCs w:val="24"/>
        </w:rPr>
        <w:t xml:space="preserve"> la urgencia o la necesidad de tal regulación en la resolución de incoación del procedimiento de elaboración de dicha disposición de carácter general.</w:t>
      </w:r>
    </w:p>
    <w:p w:rsidR="0055105F" w:rsidRDefault="0055105F" w:rsidP="0055105F">
      <w:pPr>
        <w:jc w:val="both"/>
        <w:rPr>
          <w:sz w:val="24"/>
          <w:szCs w:val="24"/>
        </w:rPr>
      </w:pPr>
    </w:p>
    <w:p w:rsidR="0055105F" w:rsidRDefault="0055105F" w:rsidP="0055105F">
      <w:pPr>
        <w:jc w:val="both"/>
        <w:rPr>
          <w:sz w:val="24"/>
          <w:szCs w:val="24"/>
        </w:rPr>
      </w:pPr>
      <w:r>
        <w:rPr>
          <w:sz w:val="24"/>
          <w:szCs w:val="24"/>
        </w:rPr>
        <w:t>A este respecto, la Orden Foral 205/2020, de 12 de mayo, que inicia el procedimiento de elaboración del proyecto objeto del presente dictamen se limita a expresar que «[l]a presente iniciativa normativa no figura en el Plan Anual Normativo aprobado para el año 2020, pero se justifica su aprobación por la necesidad de regular las actuaciones administrativas tendentes a la inscripción de los bienes y derechos en los registros correspondientes a la mayor brevedad posible» razonamiento que no da cumplimiento a lo establecido por el art. 4.2 DF 29/2017 en la medida en que este precepto exige, no la alegación abstracta de la necesidad de la aprobación del proyecto, sino su justificación concreta.</w:t>
      </w:r>
    </w:p>
    <w:p w:rsidR="0055105F" w:rsidRDefault="0055105F" w:rsidP="0055105F">
      <w:pPr>
        <w:jc w:val="both"/>
        <w:rPr>
          <w:sz w:val="24"/>
          <w:szCs w:val="24"/>
        </w:rPr>
      </w:pPr>
    </w:p>
    <w:p w:rsidR="0055105F" w:rsidRDefault="0055105F" w:rsidP="0055105F">
      <w:pPr>
        <w:jc w:val="both"/>
        <w:rPr>
          <w:sz w:val="24"/>
          <w:szCs w:val="24"/>
        </w:rPr>
      </w:pPr>
      <w:r>
        <w:rPr>
          <w:sz w:val="24"/>
          <w:szCs w:val="24"/>
        </w:rPr>
        <w:t>ii) Consulta pública previa y trámite de audiencia e información pública.</w:t>
      </w:r>
    </w:p>
    <w:p w:rsidR="0055105F" w:rsidRDefault="0055105F" w:rsidP="0055105F">
      <w:pPr>
        <w:jc w:val="both"/>
        <w:rPr>
          <w:sz w:val="24"/>
          <w:szCs w:val="24"/>
        </w:rPr>
      </w:pPr>
    </w:p>
    <w:p w:rsidR="0055105F" w:rsidRDefault="0055105F" w:rsidP="0055105F">
      <w:pPr>
        <w:jc w:val="both"/>
        <w:rPr>
          <w:sz w:val="24"/>
          <w:szCs w:val="24"/>
        </w:rPr>
      </w:pPr>
      <w:r>
        <w:rPr>
          <w:sz w:val="24"/>
          <w:szCs w:val="24"/>
        </w:rPr>
        <w:t>Es conforme a derecho la omisión de los trámites de consulta pública previa y de audiencia e información pública, que el preámbulo de la Orden Foral 205/2020 justifica en los arts. 10.a) y 13.4 del DF 29/2017, los cuales permiten excluir ambos trámites en los procedimientos de elaboración de normas organizativas.</w:t>
      </w:r>
    </w:p>
    <w:p w:rsidR="0055105F" w:rsidRDefault="0055105F" w:rsidP="0055105F">
      <w:pPr>
        <w:jc w:val="both"/>
        <w:rPr>
          <w:sz w:val="24"/>
          <w:szCs w:val="24"/>
        </w:rPr>
      </w:pPr>
    </w:p>
    <w:p w:rsidR="0055105F" w:rsidRDefault="0055105F" w:rsidP="0055105F">
      <w:pPr>
        <w:jc w:val="both"/>
        <w:rPr>
          <w:sz w:val="24"/>
          <w:szCs w:val="24"/>
        </w:rPr>
      </w:pPr>
      <w:r>
        <w:rPr>
          <w:sz w:val="24"/>
          <w:szCs w:val="24"/>
        </w:rPr>
        <w:t>Añadiendo a lo anterior que no cabría reproducir aquí las argumentaciones de la anterior consideración primera, a propósito de la competencia de esta Comisión, acerca del carácter ejecutivo de la norma en proyecto, pues, asumiendo que nos encontramos ante una norma organizativa, lo relevante en relación con los trámites de consulta y audiencia públicas no es su carácter de reglamento ejecutivo o independiente, sino el hecho de que no afecta a los derechos de los administrados, pues como afirma la STS de 27 de mayo de 2002 (R. 666/1996, FJ 3):</w:t>
      </w:r>
    </w:p>
    <w:p w:rsidR="0055105F" w:rsidRDefault="0055105F" w:rsidP="0055105F">
      <w:pPr>
        <w:jc w:val="both"/>
        <w:rPr>
          <w:sz w:val="24"/>
          <w:szCs w:val="24"/>
        </w:rPr>
      </w:pPr>
    </w:p>
    <w:p w:rsidR="0055105F" w:rsidRDefault="0055105F" w:rsidP="0055105F">
      <w:pPr>
        <w:jc w:val="both"/>
        <w:rPr>
          <w:sz w:val="24"/>
          <w:szCs w:val="24"/>
        </w:rPr>
      </w:pPr>
      <w:r>
        <w:rPr>
          <w:sz w:val="24"/>
          <w:szCs w:val="24"/>
        </w:rPr>
        <w:t>Sin embargo, dicha distinción [</w:t>
      </w:r>
      <w:r>
        <w:rPr>
          <w:i/>
          <w:sz w:val="24"/>
          <w:szCs w:val="24"/>
        </w:rPr>
        <w:t>entre reglamentos ejecutivos y organizativos</w:t>
      </w:r>
      <w:r>
        <w:rPr>
          <w:sz w:val="24"/>
          <w:szCs w:val="24"/>
        </w:rPr>
        <w:t>] no resulta plenamente aplicable para determinar aquellos reglamentos que deben ser objeto de audiencia por afectar a intereses generales o corporativos legalmente representados por determinadas entidades. En efecto, los reglamentos organizativos, como ha admitido el Tribunal Constitucional (v. gr., sentencia 18/1982, fundamento jurídico 4), pueden afectar a los derechos de los administrados en cuanto se integran de una u otra manera en la estructura administrativa, de tal suerte que el hecho de que un reglamento pueda ser considerado como un reglamento interno de organización administrativa no excluye el cumplimiento de aquel requisito [</w:t>
      </w:r>
      <w:r>
        <w:rPr>
          <w:i/>
          <w:sz w:val="24"/>
          <w:szCs w:val="24"/>
        </w:rPr>
        <w:t>audiencia de interesados</w:t>
      </w:r>
      <w:r>
        <w:rPr>
          <w:sz w:val="24"/>
          <w:szCs w:val="24"/>
        </w:rPr>
        <w:t>] si se produce la afectación de intereses en los términos indicados.</w:t>
      </w:r>
    </w:p>
    <w:p w:rsidR="0055105F" w:rsidRDefault="0055105F" w:rsidP="0055105F">
      <w:pPr>
        <w:jc w:val="both"/>
        <w:rPr>
          <w:sz w:val="24"/>
          <w:szCs w:val="24"/>
        </w:rPr>
      </w:pPr>
    </w:p>
    <w:p w:rsidR="0055105F" w:rsidRDefault="0055105F" w:rsidP="0055105F">
      <w:pPr>
        <w:jc w:val="both"/>
        <w:rPr>
          <w:sz w:val="24"/>
          <w:szCs w:val="24"/>
        </w:rPr>
      </w:pPr>
      <w:r>
        <w:rPr>
          <w:sz w:val="24"/>
          <w:szCs w:val="24"/>
        </w:rPr>
        <w:t>iii) Otros trámites.</w:t>
      </w:r>
    </w:p>
    <w:p w:rsidR="0055105F" w:rsidRDefault="0055105F" w:rsidP="0055105F">
      <w:pPr>
        <w:jc w:val="both"/>
        <w:rPr>
          <w:sz w:val="24"/>
          <w:szCs w:val="24"/>
        </w:rPr>
      </w:pPr>
    </w:p>
    <w:p w:rsidR="0055105F" w:rsidRDefault="0055105F" w:rsidP="0055105F">
      <w:pPr>
        <w:jc w:val="both"/>
        <w:rPr>
          <w:sz w:val="24"/>
          <w:szCs w:val="24"/>
        </w:rPr>
      </w:pPr>
      <w:r>
        <w:rPr>
          <w:sz w:val="24"/>
          <w:szCs w:val="24"/>
        </w:rPr>
        <w:t>Como se ha dicho ya, figuran en el expediente los informes de impacto normativo, del Servicio de Patrimonio, y de evaluación previa del impacto en función del género, de la Secretaría Técnica de Hacienda, Finanzas y Presupuestos, y las observaciones favorables del Servicio de Igualdad, trámites todos ellos previstos en el art. 14 del Decreto Foral 29/2017.</w:t>
      </w:r>
    </w:p>
    <w:p w:rsidR="0055105F" w:rsidRDefault="0055105F" w:rsidP="0055105F">
      <w:pPr>
        <w:jc w:val="both"/>
        <w:rPr>
          <w:sz w:val="24"/>
          <w:szCs w:val="24"/>
        </w:rPr>
      </w:pPr>
    </w:p>
    <w:p w:rsidR="0055105F" w:rsidRDefault="0055105F" w:rsidP="0055105F">
      <w:pPr>
        <w:jc w:val="both"/>
        <w:rPr>
          <w:b/>
          <w:sz w:val="24"/>
          <w:szCs w:val="24"/>
          <w:u w:val="single"/>
        </w:rPr>
      </w:pPr>
      <w:r>
        <w:rPr>
          <w:b/>
          <w:sz w:val="24"/>
          <w:szCs w:val="24"/>
          <w:u w:val="single"/>
        </w:rPr>
        <w:t>TERCERA.- Títulos competenciales actuados por la norma reglamentaria en proyecto.</w:t>
      </w:r>
    </w:p>
    <w:p w:rsidR="0055105F" w:rsidRDefault="0055105F" w:rsidP="0055105F">
      <w:pPr>
        <w:jc w:val="both"/>
        <w:rPr>
          <w:sz w:val="24"/>
          <w:szCs w:val="24"/>
        </w:rPr>
      </w:pPr>
    </w:p>
    <w:p w:rsidR="0055105F" w:rsidRDefault="0055105F" w:rsidP="0055105F">
      <w:pPr>
        <w:jc w:val="both"/>
        <w:rPr>
          <w:sz w:val="24"/>
          <w:szCs w:val="24"/>
        </w:rPr>
      </w:pPr>
      <w:r>
        <w:rPr>
          <w:sz w:val="24"/>
          <w:szCs w:val="24"/>
        </w:rPr>
        <w:t>El proyecto objeto de dictamen, al igual que la Norma Foral habilitante, esto es, la Norma Foral 11/2019, de 27 de marzo, de Patrimonio Foral del Territorio Histórico de Álava, actúa la competencia exclusiva del Territorio Histórico de Álava en materia de «régimen de los bienes provinciales y municipales, tanto de dominio público como patrimoniales o de propios y comunales» (art. 10.7 del Estatuto de Autonomía para el País Vasco y art. 7.a) de la Ley de Territorios Históricos).</w:t>
      </w:r>
    </w:p>
    <w:p w:rsidR="0055105F" w:rsidRDefault="0055105F" w:rsidP="0055105F">
      <w:pPr>
        <w:jc w:val="both"/>
        <w:rPr>
          <w:b/>
          <w:sz w:val="24"/>
          <w:szCs w:val="24"/>
          <w:u w:val="single"/>
        </w:rPr>
      </w:pPr>
    </w:p>
    <w:p w:rsidR="0055105F" w:rsidRDefault="0055105F" w:rsidP="0055105F">
      <w:pPr>
        <w:jc w:val="both"/>
        <w:rPr>
          <w:b/>
          <w:sz w:val="24"/>
          <w:szCs w:val="24"/>
          <w:u w:val="single"/>
        </w:rPr>
      </w:pPr>
      <w:r>
        <w:rPr>
          <w:b/>
          <w:sz w:val="24"/>
          <w:szCs w:val="24"/>
          <w:u w:val="single"/>
        </w:rPr>
        <w:t>CUARTA.- Contenido del proyecto.</w:t>
      </w:r>
    </w:p>
    <w:p w:rsidR="0055105F" w:rsidRDefault="0055105F" w:rsidP="0055105F">
      <w:pPr>
        <w:jc w:val="both"/>
        <w:rPr>
          <w:sz w:val="24"/>
          <w:szCs w:val="24"/>
        </w:rPr>
      </w:pPr>
    </w:p>
    <w:p w:rsidR="0055105F" w:rsidRDefault="0055105F" w:rsidP="0055105F">
      <w:pPr>
        <w:jc w:val="both"/>
        <w:rPr>
          <w:sz w:val="24"/>
          <w:szCs w:val="24"/>
        </w:rPr>
      </w:pPr>
      <w:r>
        <w:rPr>
          <w:sz w:val="24"/>
          <w:szCs w:val="24"/>
        </w:rPr>
        <w:t>El proyecto de norma reglamentaria está integrado, además de por el preámbulo, que aborda con detalle cuestiones competenciales y de procedimiento y relativas al marco normativo de referencia y a la necesidad de la regulación que se propone, por 13 artículos, una disposición adicional, que remite a su normativa específica la regulación de la competencia para la promoción de las actuaciones registrales derivadas de procedimientos administrativos ejecutivos y de apremio, y una disposición final, sobre entrada en vigor.</w:t>
      </w:r>
    </w:p>
    <w:p w:rsidR="0055105F" w:rsidRDefault="0055105F" w:rsidP="0055105F">
      <w:pPr>
        <w:jc w:val="both"/>
        <w:rPr>
          <w:sz w:val="24"/>
          <w:szCs w:val="24"/>
        </w:rPr>
      </w:pPr>
    </w:p>
    <w:p w:rsidR="0055105F" w:rsidRDefault="0055105F" w:rsidP="0055105F">
      <w:pPr>
        <w:jc w:val="both"/>
        <w:rPr>
          <w:sz w:val="24"/>
          <w:szCs w:val="24"/>
        </w:rPr>
      </w:pPr>
      <w:r>
        <w:rPr>
          <w:sz w:val="24"/>
          <w:szCs w:val="24"/>
        </w:rPr>
        <w:t>El artículo primero fija el objeto del proyecto en la regulación de las actuaciones administrativas necesarias para la inscripción registral de los bienes y derechos de la titularidad de la Diputación Foral de Álava, así como de los actos y contratos que, referidos a los mismos que bienes y derechos, sean susceptibles de inscripción.</w:t>
      </w:r>
    </w:p>
    <w:p w:rsidR="0055105F" w:rsidRDefault="0055105F" w:rsidP="0055105F">
      <w:pPr>
        <w:jc w:val="both"/>
        <w:rPr>
          <w:sz w:val="24"/>
          <w:szCs w:val="24"/>
        </w:rPr>
      </w:pPr>
    </w:p>
    <w:p w:rsidR="0055105F" w:rsidRDefault="0055105F" w:rsidP="0055105F">
      <w:pPr>
        <w:jc w:val="both"/>
        <w:rPr>
          <w:sz w:val="24"/>
          <w:szCs w:val="24"/>
        </w:rPr>
      </w:pPr>
      <w:r>
        <w:rPr>
          <w:sz w:val="24"/>
          <w:szCs w:val="24"/>
        </w:rPr>
        <w:t>Los restantes artículos regulan estas actuaciones administrativas a que se refiere el párrafo anterior en relación con las adquisiciones por expropiación forzosa (art. 2), de bienes inmuebles (art. 3) y muebles (art. 4), propiedades incorporales (art. 5), arrendamientos de inmuebles (art. 6), concesiones administrativas (art. 7), inmatriculaciones en el Registro de la Propiedad (art. 8), inmatriculaciones y otras inscripciones al amparo del art. 206 de la Ley Hipotecaria (art. 9), procedimientos registrales para la concordancia entre el Registro de la Propiedad y la realidad física y jurídica (art. 10), declaraciones de obra nueva (art. 11), operaciones de agrupación, agregación , segregación y/o división de vincas, división horizontal o constitución de conjuntos inmobiliarios (art. 12) y comunicaciones de los registros de la propiedad y notarías (art. 13).</w:t>
      </w:r>
    </w:p>
    <w:p w:rsidR="0055105F" w:rsidRDefault="0055105F" w:rsidP="0055105F">
      <w:pPr>
        <w:jc w:val="both"/>
        <w:rPr>
          <w:sz w:val="24"/>
          <w:szCs w:val="24"/>
        </w:rPr>
      </w:pPr>
    </w:p>
    <w:p w:rsidR="0055105F" w:rsidRDefault="0055105F" w:rsidP="0055105F">
      <w:pPr>
        <w:jc w:val="both"/>
        <w:rPr>
          <w:b/>
          <w:sz w:val="24"/>
          <w:szCs w:val="24"/>
          <w:u w:val="single"/>
        </w:rPr>
      </w:pPr>
      <w:r>
        <w:rPr>
          <w:b/>
          <w:sz w:val="24"/>
          <w:szCs w:val="24"/>
          <w:u w:val="single"/>
        </w:rPr>
        <w:t>QUINTA.- Análisis del proyecto.</w:t>
      </w:r>
    </w:p>
    <w:p w:rsidR="0055105F" w:rsidRDefault="0055105F" w:rsidP="0055105F">
      <w:pPr>
        <w:jc w:val="both"/>
        <w:rPr>
          <w:b/>
          <w:sz w:val="24"/>
          <w:szCs w:val="24"/>
          <w:u w:val="single"/>
        </w:rPr>
      </w:pPr>
    </w:p>
    <w:p w:rsidR="0055105F" w:rsidRDefault="0055105F" w:rsidP="0055105F">
      <w:pPr>
        <w:jc w:val="both"/>
        <w:rPr>
          <w:sz w:val="24"/>
          <w:szCs w:val="24"/>
        </w:rPr>
      </w:pPr>
      <w:r>
        <w:rPr>
          <w:sz w:val="24"/>
          <w:szCs w:val="24"/>
        </w:rPr>
        <w:t>1. Con la sola excepción del art. 2.5, a que se hará referencia en el siguiente parágrafo tercero, y como se ha adelantado ya en la anterior consideración primera, el proyecto sometido a dictamen tiene carácter puramente organizativo, en la medida en que su contenido se concreta en la distribución, entre las distintas unidades administrativas de la Diputación Foral de Álava concernidas en cada caso, de la competencia para la realización de actuaciones ante los distintos registros públicos (jurídicos o productores de efectos en el ámbito del derecho privado) que especifica el proyecto, y para los trámites y gestiones inherentes a las mismas, si bien que en ejecución y desarrollo y siempre dentro de los límites establecidos sobre esta cuestión en los arts. 23, 28, 51, 52 y 68 de la vigente Norma Foral 11/2019, de Patrimonio Foral del Territorio Histórico de una Álava (NFP).</w:t>
      </w:r>
    </w:p>
    <w:p w:rsidR="0055105F" w:rsidRDefault="0055105F" w:rsidP="0055105F">
      <w:pPr>
        <w:jc w:val="both"/>
        <w:rPr>
          <w:sz w:val="24"/>
          <w:szCs w:val="24"/>
        </w:rPr>
      </w:pPr>
    </w:p>
    <w:p w:rsidR="0055105F" w:rsidRDefault="0055105F" w:rsidP="0055105F">
      <w:pPr>
        <w:jc w:val="both"/>
        <w:rPr>
          <w:sz w:val="24"/>
          <w:szCs w:val="24"/>
        </w:rPr>
      </w:pPr>
      <w:r>
        <w:rPr>
          <w:sz w:val="24"/>
          <w:szCs w:val="24"/>
        </w:rPr>
        <w:t>2. En su escrito de alegaciones al proyecto, el Servicio Jurídico-Administrativo entiende que los apartados 1 y 2 del art. 2 del mismo imponen a la unidad administrativa expropiante la obligatoriedad de instar del Registro de la Propiedad correspondiente la expedición de la certificación de dominio y cargas prevista en el art. 32 primera del Reglamento Hipotecario (lo que se hará constar en el Registro mediante nota al margen de la inscripción correspondiente), así como la práctica de la anotación preventiva a que prevista en el art. 32 tercera RH para el procedimiento expropiatorio de urgencia.</w:t>
      </w:r>
    </w:p>
    <w:p w:rsidR="0055105F" w:rsidRDefault="0055105F" w:rsidP="0055105F">
      <w:pPr>
        <w:jc w:val="both"/>
        <w:rPr>
          <w:sz w:val="24"/>
          <w:szCs w:val="24"/>
        </w:rPr>
      </w:pPr>
    </w:p>
    <w:p w:rsidR="0055105F" w:rsidRDefault="0055105F" w:rsidP="0055105F">
      <w:pPr>
        <w:jc w:val="both"/>
        <w:rPr>
          <w:sz w:val="24"/>
          <w:szCs w:val="24"/>
        </w:rPr>
      </w:pPr>
      <w:r>
        <w:rPr>
          <w:sz w:val="24"/>
          <w:szCs w:val="24"/>
        </w:rPr>
        <w:t>Como quiera que considera que la solicitud de tales asientos registrales tiene carácter potestativo conforme a la normativa expropiatoria, registral y patrimonial, la unidad administrativa alegante concluye que el proyecto incurre en exceso reglamentario.</w:t>
      </w:r>
    </w:p>
    <w:p w:rsidR="0055105F" w:rsidRDefault="0055105F" w:rsidP="0055105F">
      <w:pPr>
        <w:jc w:val="both"/>
        <w:rPr>
          <w:sz w:val="24"/>
          <w:szCs w:val="24"/>
        </w:rPr>
      </w:pPr>
    </w:p>
    <w:p w:rsidR="0055105F" w:rsidRDefault="0055105F" w:rsidP="0055105F">
      <w:pPr>
        <w:jc w:val="both"/>
        <w:rPr>
          <w:sz w:val="24"/>
          <w:szCs w:val="24"/>
        </w:rPr>
      </w:pPr>
      <w:r>
        <w:rPr>
          <w:sz w:val="24"/>
          <w:szCs w:val="24"/>
        </w:rPr>
        <w:t>En relación con este punto convendría aclarar preliminarmente lo siguiente: aun admitiendo a los solos efectos dialécticos que, conforme al art. 23 de la Norma Foral de Patrimonio, la promoción de los asientos registrales a que se refiere el Servicio Jurídico-Administrativo tiene carácter potestativo, tal hipótesis no impediría en derecho a la Diputación Foral de Álava establecer reglamentariamente su obligatoriedad en el ámbito del patrimonio foral, pues ello, además de no contravenir lo dispuesto en el mencionado art. 23 NFP, redundaría en una mayor garantía para los bienes, derechos e intereses de la DFA, sin perjudicar a terceros. No habría, por tanto, exceso reglamentario.</w:t>
      </w:r>
    </w:p>
    <w:p w:rsidR="0055105F" w:rsidRDefault="0055105F" w:rsidP="0055105F">
      <w:pPr>
        <w:jc w:val="both"/>
        <w:rPr>
          <w:sz w:val="24"/>
          <w:szCs w:val="24"/>
        </w:rPr>
      </w:pPr>
    </w:p>
    <w:p w:rsidR="0055105F" w:rsidRDefault="0055105F" w:rsidP="0055105F">
      <w:pPr>
        <w:jc w:val="both"/>
        <w:rPr>
          <w:sz w:val="24"/>
          <w:szCs w:val="24"/>
        </w:rPr>
      </w:pPr>
      <w:r>
        <w:rPr>
          <w:sz w:val="24"/>
          <w:szCs w:val="24"/>
        </w:rPr>
        <w:t>No parece, sin embargo, que el art. 2 del proyecto pretenda establecer la obligatoriedad de ningún asiento registral, sino que se trata de un precepto que tiene por único objeto especificar en cada caso a qué unidad administrativa corresponde su promoción.</w:t>
      </w:r>
    </w:p>
    <w:p w:rsidR="0055105F" w:rsidRDefault="0055105F" w:rsidP="0055105F">
      <w:pPr>
        <w:jc w:val="both"/>
        <w:rPr>
          <w:sz w:val="24"/>
          <w:szCs w:val="24"/>
        </w:rPr>
      </w:pPr>
    </w:p>
    <w:p w:rsidR="0055105F" w:rsidRDefault="0055105F" w:rsidP="0055105F">
      <w:pPr>
        <w:jc w:val="both"/>
        <w:rPr>
          <w:sz w:val="24"/>
          <w:szCs w:val="24"/>
        </w:rPr>
      </w:pPr>
      <w:r>
        <w:rPr>
          <w:sz w:val="24"/>
          <w:szCs w:val="24"/>
        </w:rPr>
        <w:t>No parece tampoco que el proyecto pretenda trasladar al Servicio Jurídico-Administrativo la carga de promover la conversión en inscripción de la anotación preventiva extendida en los casos de expropiación urgente mediante la presentación en el Registro de la Propiedad de los documentos de expropiación correspondientes, cuestión a la que también se refiere este servicio en sus alegaciones.</w:t>
      </w:r>
    </w:p>
    <w:p w:rsidR="0055105F" w:rsidRDefault="0055105F" w:rsidP="0055105F">
      <w:pPr>
        <w:jc w:val="both"/>
        <w:rPr>
          <w:sz w:val="24"/>
          <w:szCs w:val="24"/>
        </w:rPr>
      </w:pPr>
    </w:p>
    <w:p w:rsidR="0055105F" w:rsidRDefault="0055105F" w:rsidP="0055105F">
      <w:pPr>
        <w:jc w:val="both"/>
        <w:rPr>
          <w:sz w:val="24"/>
          <w:szCs w:val="24"/>
        </w:rPr>
      </w:pPr>
      <w:r>
        <w:rPr>
          <w:sz w:val="24"/>
          <w:szCs w:val="24"/>
        </w:rPr>
        <w:t>No obstante, razones obvias de seguridad jurídica aconsejan dar al art. 2 del proyecto una redacción que disipe las dudas del Servicio Jurídico-Administrativo, en definitiva, uno de los destinatarios principales de este precepto.</w:t>
      </w:r>
    </w:p>
    <w:p w:rsidR="0055105F" w:rsidRDefault="0055105F" w:rsidP="0055105F">
      <w:pPr>
        <w:jc w:val="both"/>
        <w:rPr>
          <w:sz w:val="24"/>
          <w:szCs w:val="24"/>
        </w:rPr>
      </w:pPr>
    </w:p>
    <w:p w:rsidR="0055105F" w:rsidRDefault="0055105F" w:rsidP="0055105F">
      <w:pPr>
        <w:jc w:val="both"/>
        <w:rPr>
          <w:sz w:val="24"/>
          <w:szCs w:val="24"/>
        </w:rPr>
      </w:pPr>
      <w:r>
        <w:rPr>
          <w:sz w:val="24"/>
          <w:szCs w:val="24"/>
        </w:rPr>
        <w:t>3. No es propiamente organizativo el contenido del apartado 5 del art. 2 del proyecto, que fija los requisitos y circunstancias que deben reunir las actas de expropiación forzosa susceptibles de causar asiento en el Registro de la Propiedad «para cumplir con el objetivo de la realización completa de las inscripciones/anotaciones correspondientes», según expresa literalmente el proyecto.</w:t>
      </w:r>
    </w:p>
    <w:p w:rsidR="0055105F" w:rsidRDefault="0055105F" w:rsidP="0055105F">
      <w:pPr>
        <w:jc w:val="both"/>
        <w:rPr>
          <w:sz w:val="24"/>
          <w:szCs w:val="24"/>
        </w:rPr>
      </w:pPr>
    </w:p>
    <w:p w:rsidR="0055105F" w:rsidRDefault="0055105F" w:rsidP="0055105F">
      <w:pPr>
        <w:jc w:val="both"/>
        <w:rPr>
          <w:sz w:val="24"/>
          <w:szCs w:val="24"/>
        </w:rPr>
      </w:pPr>
      <w:r>
        <w:rPr>
          <w:sz w:val="24"/>
          <w:szCs w:val="24"/>
        </w:rPr>
        <w:t>Tanto el tenor literal como el contenido de este precepto deja entrever que el mismo no pretende la innovación del ordenamiento jurídico en materia hipotecaria ni expropiatoria, sino más bien sintetizar una serie de criterios concretos en orden a la realización de la finalidad explicitada en el proyecto, extraídos principalmente a partir de los arts. 51 del Reglamento Hipotecario y 55 del Reglamento de Expropiación Forzosa, mereciendo en definitiva una valoración positiva desde el punto de vista jurídico.</w:t>
      </w:r>
    </w:p>
    <w:p w:rsidR="0055105F" w:rsidRDefault="0055105F" w:rsidP="0055105F">
      <w:pPr>
        <w:jc w:val="both"/>
        <w:rPr>
          <w:sz w:val="24"/>
          <w:szCs w:val="24"/>
        </w:rPr>
      </w:pPr>
    </w:p>
    <w:p w:rsidR="0055105F" w:rsidRDefault="0055105F" w:rsidP="0055105F">
      <w:pPr>
        <w:jc w:val="both"/>
        <w:rPr>
          <w:sz w:val="24"/>
          <w:szCs w:val="24"/>
        </w:rPr>
      </w:pPr>
      <w:r>
        <w:rPr>
          <w:sz w:val="24"/>
          <w:szCs w:val="24"/>
        </w:rPr>
        <w:t>4. Es novedoso el precepto contenido en el art. 9 del proyecto que atribuye a la persona titular del Servicio de Patrimonio el libramiento de las certificaciones administrativas previstas en el art. 206 de la Ley Hipotecaria para la inmatriculación de los bienes de la titularidad de las Administraciones Públicas y entidades de Derecho público y para la práctica de las operaciones registrales previstas en el apartado quinto del mismo art. 206 LH.</w:t>
      </w:r>
    </w:p>
    <w:p w:rsidR="0055105F" w:rsidRDefault="0055105F" w:rsidP="0055105F">
      <w:pPr>
        <w:jc w:val="both"/>
        <w:rPr>
          <w:sz w:val="24"/>
          <w:szCs w:val="24"/>
        </w:rPr>
      </w:pPr>
    </w:p>
    <w:p w:rsidR="0055105F" w:rsidRDefault="0055105F" w:rsidP="0055105F">
      <w:pPr>
        <w:jc w:val="both"/>
        <w:rPr>
          <w:sz w:val="24"/>
          <w:szCs w:val="24"/>
        </w:rPr>
      </w:pPr>
      <w:r>
        <w:rPr>
          <w:sz w:val="24"/>
          <w:szCs w:val="24"/>
        </w:rPr>
        <w:t>Esta disposición merece también una valoración favorable, pues es coherente con lo dispuesto en el art. 28 de la Norma Foral de Patrimonio, según el cual, tales certificaciones lo son del contenido del Inventario General de bienes y derechos del patrimonio foral, cuya llevanza está encomendada al departamento competente en materia de patrimonio (art. 24.2 NFP) y, dentro de éste, al Servicio de Patrimonio (art. 24 del Decreto Foral 12/2016, de 9 de febrero, que aprueba la estructura orgánica y funcional del departamento de Hacienda, Finanzas y Presupuestos), siendo por ello lógico y razonable, desde un punto de vista jurídico, que las certificaciones del Inventario general sean expedidas por el funcionario encargado del mismo.</w:t>
      </w:r>
    </w:p>
    <w:p w:rsidR="0055105F" w:rsidRDefault="0055105F" w:rsidP="0055105F">
      <w:pPr>
        <w:jc w:val="both"/>
        <w:rPr>
          <w:sz w:val="24"/>
          <w:szCs w:val="24"/>
        </w:rPr>
      </w:pPr>
    </w:p>
    <w:p w:rsidR="0055105F" w:rsidRDefault="0055105F" w:rsidP="0055105F">
      <w:pPr>
        <w:jc w:val="both"/>
        <w:rPr>
          <w:sz w:val="24"/>
          <w:szCs w:val="24"/>
        </w:rPr>
      </w:pPr>
    </w:p>
    <w:p w:rsidR="0055105F" w:rsidRDefault="0055105F" w:rsidP="0055105F">
      <w:pPr>
        <w:jc w:val="both"/>
        <w:rPr>
          <w:sz w:val="24"/>
          <w:szCs w:val="24"/>
        </w:rPr>
      </w:pPr>
    </w:p>
    <w:p w:rsidR="0055105F" w:rsidRDefault="0055105F" w:rsidP="0055105F">
      <w:pPr>
        <w:jc w:val="both"/>
        <w:rPr>
          <w:b/>
          <w:sz w:val="24"/>
          <w:szCs w:val="24"/>
        </w:rPr>
      </w:pPr>
      <w:r>
        <w:rPr>
          <w:b/>
          <w:sz w:val="24"/>
          <w:szCs w:val="24"/>
        </w:rPr>
        <w:t>CONCLUSIÓN</w:t>
      </w:r>
    </w:p>
    <w:p w:rsidR="0055105F" w:rsidRDefault="0055105F" w:rsidP="0055105F">
      <w:pPr>
        <w:jc w:val="both"/>
        <w:rPr>
          <w:sz w:val="24"/>
          <w:szCs w:val="24"/>
        </w:rPr>
      </w:pPr>
    </w:p>
    <w:p w:rsidR="0055105F" w:rsidRDefault="0055105F" w:rsidP="0055105F">
      <w:pPr>
        <w:jc w:val="both"/>
        <w:rPr>
          <w:sz w:val="24"/>
          <w:szCs w:val="24"/>
        </w:rPr>
      </w:pPr>
      <w:r>
        <w:rPr>
          <w:sz w:val="24"/>
          <w:szCs w:val="24"/>
        </w:rPr>
        <w:t>1ª. En el curso del procedimiento de elaboración de la disposición general no se ha dado cumplimiento a lo exigido en el art. 4.2 del Decreto Foral 29/2017 sobre planificación normativa.</w:t>
      </w:r>
    </w:p>
    <w:p w:rsidR="0055105F" w:rsidRDefault="0055105F" w:rsidP="0055105F">
      <w:pPr>
        <w:jc w:val="both"/>
        <w:rPr>
          <w:sz w:val="24"/>
          <w:szCs w:val="24"/>
        </w:rPr>
      </w:pPr>
    </w:p>
    <w:p w:rsidR="0055105F" w:rsidRDefault="0055105F" w:rsidP="0055105F">
      <w:pPr>
        <w:jc w:val="both"/>
        <w:rPr>
          <w:bCs/>
          <w:sz w:val="24"/>
          <w:szCs w:val="24"/>
          <w:lang w:val="es-ES_tradnl"/>
        </w:rPr>
      </w:pPr>
      <w:r>
        <w:rPr>
          <w:sz w:val="24"/>
          <w:szCs w:val="24"/>
        </w:rPr>
        <w:t xml:space="preserve">2ª. En lo demás, el proyecto de decreto foral </w:t>
      </w:r>
      <w:r>
        <w:rPr>
          <w:bCs/>
          <w:sz w:val="24"/>
          <w:szCs w:val="24"/>
          <w:lang w:val="es-ES_tradnl"/>
        </w:rPr>
        <w:t>se adecúa al ordenamiento jurídico.</w:t>
      </w:r>
    </w:p>
    <w:p w:rsidR="0055105F" w:rsidRPr="0055105F" w:rsidRDefault="0055105F" w:rsidP="00835865">
      <w:pPr>
        <w:jc w:val="both"/>
        <w:rPr>
          <w:sz w:val="24"/>
          <w:szCs w:val="24"/>
          <w:lang w:val="es-ES_tradnl"/>
        </w:rPr>
      </w:pPr>
    </w:p>
    <w:sectPr w:rsidR="0055105F" w:rsidRPr="005510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A5C" w:rsidRDefault="005B5A5C" w:rsidP="0055105F">
      <w:r>
        <w:separator/>
      </w:r>
    </w:p>
  </w:endnote>
  <w:endnote w:type="continuationSeparator" w:id="0">
    <w:p w:rsidR="005B5A5C" w:rsidRDefault="005B5A5C" w:rsidP="0055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A5C" w:rsidRDefault="005B5A5C" w:rsidP="0055105F">
      <w:r>
        <w:separator/>
      </w:r>
    </w:p>
  </w:footnote>
  <w:footnote w:type="continuationSeparator" w:id="0">
    <w:p w:rsidR="005B5A5C" w:rsidRDefault="005B5A5C" w:rsidP="0055105F">
      <w:r>
        <w:continuationSeparator/>
      </w:r>
    </w:p>
  </w:footnote>
  <w:footnote w:id="1">
    <w:p w:rsidR="0055105F" w:rsidRDefault="0055105F" w:rsidP="0055105F">
      <w:pPr>
        <w:pStyle w:val="Textonotapie"/>
        <w:jc w:val="both"/>
      </w:pPr>
      <w:r>
        <w:rPr>
          <w:rStyle w:val="Refdenotaalpie"/>
        </w:rPr>
        <w:footnoteRef/>
      </w:r>
      <w:r>
        <w:t xml:space="preserve"> «La Comisión Permanente del Consejo de Estado deberá ser consultada en los siguientes asuntos: […] Tres. Reglamentos o disposiciones de carácter general que se dicten </w:t>
      </w:r>
      <w:r>
        <w:rPr>
          <w:i/>
        </w:rPr>
        <w:t>en ejecución</w:t>
      </w:r>
      <w:r>
        <w:t xml:space="preserve"> de las leyes, así como sus modificaciones» (art. 22.3 LOCE).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42F915CE"/>
    <w:multiLevelType w:val="hybridMultilevel"/>
    <w:tmpl w:val="8AC4FA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4">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6C83354C"/>
    <w:multiLevelType w:val="hybridMultilevel"/>
    <w:tmpl w:val="BF70B1A0"/>
    <w:lvl w:ilvl="0" w:tplc="A322FD60">
      <w:start w:val="1"/>
      <w:numFmt w:val="decimal"/>
      <w:lvlText w:val="%1."/>
      <w:lvlJc w:val="left"/>
      <w:pPr>
        <w:ind w:left="720" w:hanging="360"/>
      </w:pPr>
      <w:rPr>
        <w:rFonts w:ascii="Calibri" w:eastAsia="Calibri" w:hAnsi="Calibri" w:hint="default"/>
        <w:b w:val="0"/>
        <w:spacing w:val="2"/>
        <w:w w:val="102"/>
        <w:sz w:val="21"/>
        <w:szCs w:val="2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F374869"/>
    <w:multiLevelType w:val="hybridMultilevel"/>
    <w:tmpl w:val="532665E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1"/>
  </w:num>
  <w:num w:numId="2">
    <w:abstractNumId w:val="18"/>
  </w:num>
  <w:num w:numId="3">
    <w:abstractNumId w:val="19"/>
  </w:num>
  <w:num w:numId="4">
    <w:abstractNumId w:val="6"/>
  </w:num>
  <w:num w:numId="5">
    <w:abstractNumId w:val="0"/>
  </w:num>
  <w:num w:numId="6">
    <w:abstractNumId w:val="5"/>
  </w:num>
  <w:num w:numId="7">
    <w:abstractNumId w:val="16"/>
  </w:num>
  <w:num w:numId="8">
    <w:abstractNumId w:val="3"/>
  </w:num>
  <w:num w:numId="9">
    <w:abstractNumId w:val="15"/>
  </w:num>
  <w:num w:numId="10">
    <w:abstractNumId w:val="9"/>
  </w:num>
  <w:num w:numId="11">
    <w:abstractNumId w:val="4"/>
  </w:num>
  <w:num w:numId="12">
    <w:abstractNumId w:val="7"/>
  </w:num>
  <w:num w:numId="13">
    <w:abstractNumId w:val="14"/>
  </w:num>
  <w:num w:numId="14">
    <w:abstractNumId w:val="13"/>
  </w:num>
  <w:num w:numId="15">
    <w:abstractNumId w:val="2"/>
  </w:num>
  <w:num w:numId="16">
    <w:abstractNumId w:val="8"/>
  </w:num>
  <w:num w:numId="17">
    <w:abstractNumId w:val="1"/>
  </w:num>
  <w:num w:numId="18">
    <w:abstractNumId w:val="12"/>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7773B"/>
    <w:rsid w:val="002864A9"/>
    <w:rsid w:val="002B6238"/>
    <w:rsid w:val="002C050F"/>
    <w:rsid w:val="003B4D10"/>
    <w:rsid w:val="0055105F"/>
    <w:rsid w:val="005B5A5C"/>
    <w:rsid w:val="006C7C8C"/>
    <w:rsid w:val="00777B2F"/>
    <w:rsid w:val="007A1254"/>
    <w:rsid w:val="007F00EC"/>
    <w:rsid w:val="00835865"/>
    <w:rsid w:val="00977705"/>
    <w:rsid w:val="009943B4"/>
    <w:rsid w:val="009A68E6"/>
    <w:rsid w:val="009C211F"/>
    <w:rsid w:val="00A472E1"/>
    <w:rsid w:val="00BF6801"/>
    <w:rsid w:val="00C00967"/>
    <w:rsid w:val="00DD4202"/>
    <w:rsid w:val="00E3786E"/>
    <w:rsid w:val="00E81FAD"/>
    <w:rsid w:val="00EC4C76"/>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paragraph" w:styleId="Textonotapie">
    <w:name w:val="footnote text"/>
    <w:basedOn w:val="Normal"/>
    <w:link w:val="TextonotapieCar"/>
    <w:semiHidden/>
    <w:unhideWhenUsed/>
    <w:rsid w:val="0055105F"/>
  </w:style>
  <w:style w:type="character" w:customStyle="1" w:styleId="TextonotapieCar">
    <w:name w:val="Texto nota pie Car"/>
    <w:basedOn w:val="Fuentedeprrafopredeter"/>
    <w:link w:val="Textonotapie"/>
    <w:semiHidden/>
    <w:rsid w:val="0055105F"/>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5510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3399</Words>
  <Characters>18699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2020-10-20T11:59:00Z</dcterms:created>
  <dcterms:modified xsi:type="dcterms:W3CDTF">2020-10-20T11:59:00Z</dcterms:modified>
</cp:coreProperties>
</file>