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1142FD" w:rsidRDefault="001142FD" w:rsidP="001142FD">
      <w:pPr>
        <w:jc w:val="both"/>
        <w:rPr>
          <w:b/>
          <w:sz w:val="24"/>
          <w:szCs w:val="24"/>
          <w:u w:val="single"/>
          <w:lang w:val="es-ES_tradnl"/>
        </w:rPr>
      </w:pPr>
      <w:r w:rsidRPr="0057774C">
        <w:rPr>
          <w:b/>
          <w:sz w:val="24"/>
          <w:szCs w:val="24"/>
          <w:u w:val="single"/>
          <w:lang w:val="es-ES_tradnl"/>
        </w:rPr>
        <w:t xml:space="preserve">DICTAMEN SOBRE EL PROYECTO DE DECRETO FORAL </w:t>
      </w:r>
      <w:r w:rsidR="00835865">
        <w:rPr>
          <w:b/>
          <w:sz w:val="24"/>
          <w:szCs w:val="24"/>
          <w:u w:val="single"/>
          <w:lang w:val="es-ES_tradnl"/>
        </w:rPr>
        <w:t xml:space="preserve">QUE REGULA LAS CONDICIONES Y REQUISITOS GENERALES PARA LA PRESENTACIÓN DE DECLARACIONES Y AUTOLIQUIDACIONES POR VÍA TELEMÁTICA </w:t>
      </w:r>
      <w:r w:rsidR="0027773B">
        <w:rPr>
          <w:b/>
          <w:sz w:val="24"/>
          <w:szCs w:val="24"/>
          <w:u w:val="single"/>
          <w:lang w:val="es-ES_tradnl"/>
        </w:rPr>
        <w:t>ANTE LA HACIENDA FORAL DE ÁLAVA ( sesión</w:t>
      </w:r>
      <w:r w:rsidR="00EC4C76">
        <w:rPr>
          <w:b/>
          <w:sz w:val="24"/>
          <w:szCs w:val="24"/>
          <w:u w:val="single"/>
          <w:lang w:val="es-ES_tradnl"/>
        </w:rPr>
        <w:t xml:space="preserve"> Comisión Consultiva</w:t>
      </w:r>
      <w:bookmarkStart w:id="0" w:name="_GoBack"/>
      <w:bookmarkEnd w:id="0"/>
      <w:r w:rsidR="0027773B">
        <w:rPr>
          <w:b/>
          <w:sz w:val="24"/>
          <w:szCs w:val="24"/>
          <w:u w:val="single"/>
          <w:lang w:val="es-ES_tradnl"/>
        </w:rPr>
        <w:t xml:space="preserve"> 23 sept 2020)</w:t>
      </w:r>
    </w:p>
    <w:p w:rsidR="00835865" w:rsidRDefault="00835865" w:rsidP="00835865">
      <w:pPr>
        <w:jc w:val="both"/>
        <w:rPr>
          <w:sz w:val="24"/>
          <w:szCs w:val="24"/>
        </w:rPr>
      </w:pPr>
      <w:r>
        <w:rPr>
          <w:b/>
          <w:sz w:val="24"/>
          <w:szCs w:val="24"/>
          <w:u w:val="single"/>
          <w:lang w:val="es-ES_tradnl"/>
        </w:rPr>
        <w:t xml:space="preserve"> </w:t>
      </w:r>
    </w:p>
    <w:p w:rsidR="00835865" w:rsidRPr="00835865" w:rsidRDefault="00835865" w:rsidP="001142FD">
      <w:pPr>
        <w:jc w:val="both"/>
        <w:rPr>
          <w:b/>
          <w:sz w:val="24"/>
          <w:szCs w:val="24"/>
          <w:u w:val="single"/>
        </w:rPr>
      </w:pPr>
    </w:p>
    <w:p w:rsidR="001142FD" w:rsidRPr="0057774C" w:rsidRDefault="001142FD" w:rsidP="001142FD">
      <w:pPr>
        <w:jc w:val="center"/>
        <w:rPr>
          <w:b/>
          <w:sz w:val="24"/>
          <w:szCs w:val="24"/>
          <w:lang w:val="es-ES_tradnl"/>
        </w:rPr>
      </w:pPr>
    </w:p>
    <w:p w:rsidR="00C00967" w:rsidRDefault="00C00967" w:rsidP="00C00967">
      <w:pPr>
        <w:jc w:val="both"/>
        <w:rPr>
          <w:b/>
          <w:sz w:val="24"/>
          <w:szCs w:val="24"/>
        </w:rPr>
      </w:pPr>
      <w:r>
        <w:rPr>
          <w:b/>
          <w:sz w:val="24"/>
          <w:szCs w:val="24"/>
        </w:rPr>
        <w:t>I.- ANTECEDENTES DE HECHO</w:t>
      </w:r>
    </w:p>
    <w:p w:rsidR="00C00967" w:rsidRDefault="00C00967" w:rsidP="00C00967">
      <w:pPr>
        <w:jc w:val="both"/>
        <w:rPr>
          <w:b/>
          <w:sz w:val="24"/>
          <w:szCs w:val="24"/>
        </w:rPr>
      </w:pPr>
    </w:p>
    <w:p w:rsidR="00C00967" w:rsidRDefault="00C00967" w:rsidP="00C00967">
      <w:pPr>
        <w:jc w:val="both"/>
        <w:rPr>
          <w:sz w:val="24"/>
          <w:szCs w:val="24"/>
        </w:rPr>
      </w:pPr>
      <w:r>
        <w:rPr>
          <w:sz w:val="24"/>
          <w:szCs w:val="24"/>
        </w:rPr>
        <w:t>El proyecto de Decreto Foral objeto del presente Dictamen ha sido remitido a esta Comisión Consultiva por la Diputada Foral del Departamento de Hacienda, Finanzas y Presupuestos, de conformidad con lo previsto en el apartado 1 del artículo 17 del Decreto Foral del Consejo de Diputados 40/1999, de 30 de marzo. A la petición de dictamen se acompaña una memoria con los resultados de los trámites de audiencia e información pública, un informe de impacto normativo,  un informe económico y un informe de evaluación previa de impacto del género, tal como dispone el Decreto Foral 29/2017, del Consejo de Gobierno Foral de 23 de mayo, que aprueba el procedimiento de elaboración de disposiciones de carácter general, las guías para la elaboración de los informes de impacto normativo y de impacto de género y las directrices de técnica normativa.</w:t>
      </w:r>
    </w:p>
    <w:p w:rsidR="00C00967" w:rsidRDefault="00C00967" w:rsidP="00C00967">
      <w:pPr>
        <w:jc w:val="both"/>
        <w:rPr>
          <w:sz w:val="24"/>
          <w:szCs w:val="24"/>
        </w:rPr>
      </w:pPr>
    </w:p>
    <w:p w:rsidR="00C00967" w:rsidRDefault="00C00967" w:rsidP="00C00967">
      <w:pPr>
        <w:jc w:val="both"/>
        <w:rPr>
          <w:sz w:val="24"/>
          <w:szCs w:val="24"/>
        </w:rPr>
      </w:pPr>
      <w:r>
        <w:rPr>
          <w:sz w:val="24"/>
          <w:szCs w:val="24"/>
        </w:rPr>
        <w:t>Mediante el citado proyecto de Decreto Foral se regulan las condiciones y requisitos generales para  la presentación de declaraciones y autoliquidaciones por vía telemática ante la Hacienda Foral de Álava.</w:t>
      </w:r>
    </w:p>
    <w:p w:rsidR="00C00967" w:rsidRDefault="00C00967" w:rsidP="00C00967">
      <w:pPr>
        <w:jc w:val="both"/>
        <w:rPr>
          <w:sz w:val="24"/>
          <w:szCs w:val="24"/>
        </w:rPr>
      </w:pPr>
    </w:p>
    <w:p w:rsidR="00C00967" w:rsidRDefault="00C00967" w:rsidP="00C00967">
      <w:pPr>
        <w:jc w:val="both"/>
        <w:rPr>
          <w:b/>
          <w:sz w:val="24"/>
          <w:szCs w:val="24"/>
        </w:rPr>
      </w:pPr>
      <w:r>
        <w:rPr>
          <w:b/>
          <w:sz w:val="24"/>
          <w:szCs w:val="24"/>
        </w:rPr>
        <w:t>II.-CONSIDERACIONES JURÍDICAS</w:t>
      </w:r>
    </w:p>
    <w:p w:rsidR="00C00967" w:rsidRDefault="00C00967" w:rsidP="00C00967">
      <w:pPr>
        <w:jc w:val="both"/>
        <w:rPr>
          <w:b/>
          <w:sz w:val="24"/>
          <w:szCs w:val="24"/>
        </w:rPr>
      </w:pPr>
    </w:p>
    <w:p w:rsidR="00C00967" w:rsidRDefault="00C00967" w:rsidP="00C00967">
      <w:pPr>
        <w:tabs>
          <w:tab w:val="left" w:pos="1985"/>
          <w:tab w:val="num" w:pos="2705"/>
        </w:tabs>
        <w:jc w:val="both"/>
        <w:rPr>
          <w:b/>
          <w:sz w:val="24"/>
          <w:szCs w:val="24"/>
        </w:rPr>
      </w:pPr>
      <w:r>
        <w:rPr>
          <w:b/>
          <w:sz w:val="24"/>
          <w:szCs w:val="24"/>
        </w:rPr>
        <w:t>1.- COMPETENCIA DE LA COMISIÓN CONSULTIVA PARA LA EMISION DEL DICTAMEN</w:t>
      </w:r>
    </w:p>
    <w:p w:rsidR="00C00967" w:rsidRDefault="00C00967" w:rsidP="00C00967">
      <w:pPr>
        <w:tabs>
          <w:tab w:val="left" w:pos="1985"/>
          <w:tab w:val="num" w:pos="2705"/>
        </w:tabs>
        <w:jc w:val="both"/>
        <w:rPr>
          <w:b/>
          <w:sz w:val="24"/>
          <w:szCs w:val="24"/>
        </w:rPr>
      </w:pPr>
    </w:p>
    <w:p w:rsidR="00C00967" w:rsidRDefault="00C00967" w:rsidP="00C00967">
      <w:pPr>
        <w:jc w:val="both"/>
        <w:rPr>
          <w:i/>
          <w:sz w:val="24"/>
          <w:szCs w:val="24"/>
        </w:rPr>
      </w:pPr>
      <w:r>
        <w:rPr>
          <w:sz w:val="24"/>
          <w:szCs w:val="24"/>
        </w:rPr>
        <w:t xml:space="preserve">El Decreto Foral 40/1999, del Consejo de Diputados de 30 de marzo, en su artículo 3, establece las competencias de la Comisión Consultiva de la Administración Foral de Álava, entre las cuales se encuentra emitir dictamen sobre </w:t>
      </w:r>
      <w:r>
        <w:rPr>
          <w:i/>
          <w:sz w:val="24"/>
          <w:szCs w:val="24"/>
        </w:rPr>
        <w:t>“Proyectos de disposiciones reglamentarias que se dicten en ejecución de las Normas Forales que regulen materias de la competencia exclusiva del Territorio Histórico o en ejecución de las Leyes de la Comunidad Autónoma en aquellas materias en que compete al Territorio Histórico el desarrollo reglamentario de las mismas”.</w:t>
      </w:r>
    </w:p>
    <w:p w:rsidR="00C00967" w:rsidRDefault="00C00967" w:rsidP="00C00967">
      <w:pPr>
        <w:jc w:val="both"/>
        <w:rPr>
          <w:i/>
          <w:sz w:val="24"/>
          <w:szCs w:val="24"/>
        </w:rPr>
      </w:pPr>
    </w:p>
    <w:p w:rsidR="00C00967" w:rsidRPr="005C6EB9" w:rsidRDefault="00C00967" w:rsidP="00C00967">
      <w:pPr>
        <w:jc w:val="both"/>
        <w:rPr>
          <w:b/>
          <w:i/>
          <w:sz w:val="24"/>
          <w:szCs w:val="24"/>
        </w:rPr>
      </w:pPr>
      <w:r w:rsidRPr="005C6EB9">
        <w:rPr>
          <w:sz w:val="24"/>
          <w:szCs w:val="24"/>
        </w:rPr>
        <w:t>La primera referencia sobre la competencia del Territorio Histórico en el ámbito tributario la encontramos en la Disposición Adicional Primera de la Constitución Española que establece: “</w:t>
      </w:r>
      <w:r w:rsidRPr="005C6EB9">
        <w:rPr>
          <w:i/>
          <w:sz w:val="24"/>
          <w:szCs w:val="24"/>
        </w:rPr>
        <w:t>La Constitución ampara y respeta los derechos históricos de los territorios forales. La actualización general de dicho régimen foral se llevará a cabo, en su caso, en el marco de la Constitución y de los Estatutos de Autonomía”.</w:t>
      </w:r>
    </w:p>
    <w:p w:rsidR="00C00967" w:rsidRPr="005C6EB9" w:rsidRDefault="00C00967" w:rsidP="00C00967">
      <w:pPr>
        <w:jc w:val="both"/>
        <w:rPr>
          <w:sz w:val="24"/>
          <w:szCs w:val="24"/>
        </w:rPr>
      </w:pPr>
      <w:r w:rsidRPr="005C6EB9">
        <w:rPr>
          <w:sz w:val="24"/>
          <w:szCs w:val="24"/>
        </w:rPr>
        <w:t xml:space="preserve">A su vez, el Estatuto de Autonomía del País Vasco, en su artículo 41.2.a), señala que </w:t>
      </w:r>
      <w:r w:rsidRPr="005C6EB9">
        <w:rPr>
          <w:i/>
          <w:sz w:val="24"/>
          <w:szCs w:val="24"/>
        </w:rPr>
        <w:t xml:space="preserve">“las Instituciones competentes de los Territorios Históricos podrán mantener, establecer y regular, dentro de su territorio, el régimen tributario, atendiendo a la estructura general impositiva del Estado, a las normas que para la coordinación, armonización fiscal y colaboración con el Estado se contengan en el propio Concierto, </w:t>
      </w:r>
      <w:r w:rsidRPr="005C6EB9">
        <w:rPr>
          <w:i/>
          <w:sz w:val="24"/>
          <w:szCs w:val="24"/>
        </w:rPr>
        <w:lastRenderedPageBreak/>
        <w:t>y las que dicte el Parlamento Vasco para idénticas finalidades dentro de la Comunidad Autónoma”</w:t>
      </w:r>
      <w:r w:rsidRPr="005C6EB9">
        <w:rPr>
          <w:sz w:val="24"/>
          <w:szCs w:val="24"/>
        </w:rPr>
        <w:t>.</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El Concierto Económico suscrito entre el Estado y el País Vasco, aprobado por la Ley 12/2002, de 23 de mayo, establece en su artículo 1. Uno:</w:t>
      </w:r>
    </w:p>
    <w:p w:rsidR="00C00967" w:rsidRPr="005C6EB9" w:rsidRDefault="00C00967" w:rsidP="00C00967">
      <w:pPr>
        <w:jc w:val="both"/>
        <w:rPr>
          <w:sz w:val="24"/>
          <w:szCs w:val="24"/>
        </w:rPr>
      </w:pPr>
    </w:p>
    <w:p w:rsidR="00C00967" w:rsidRPr="005C6EB9" w:rsidRDefault="00C00967" w:rsidP="00C00967">
      <w:pPr>
        <w:ind w:left="708"/>
        <w:jc w:val="both"/>
        <w:rPr>
          <w:i/>
          <w:sz w:val="24"/>
          <w:szCs w:val="24"/>
        </w:rPr>
      </w:pPr>
      <w:r w:rsidRPr="005C6EB9">
        <w:rPr>
          <w:i/>
          <w:sz w:val="24"/>
          <w:szCs w:val="24"/>
        </w:rPr>
        <w:t>“Las Instituciones competentes de los Territorios Históricos podrán mantener, establecer y regular, dentro de su territorio, su régimen tributario”</w:t>
      </w:r>
    </w:p>
    <w:p w:rsidR="00C00967" w:rsidRPr="005C6EB9" w:rsidRDefault="00C00967" w:rsidP="00C00967">
      <w:pPr>
        <w:ind w:left="708"/>
        <w:jc w:val="both"/>
        <w:rPr>
          <w:i/>
          <w:sz w:val="24"/>
          <w:szCs w:val="24"/>
        </w:rPr>
      </w:pPr>
      <w:r w:rsidRPr="005C6EB9">
        <w:rPr>
          <w:i/>
          <w:sz w:val="24"/>
          <w:szCs w:val="24"/>
        </w:rPr>
        <w:t>.</w:t>
      </w:r>
    </w:p>
    <w:p w:rsidR="00C00967" w:rsidRPr="005C6EB9" w:rsidRDefault="00C00967" w:rsidP="00C00967">
      <w:pPr>
        <w:jc w:val="both"/>
        <w:rPr>
          <w:sz w:val="24"/>
          <w:szCs w:val="24"/>
        </w:rPr>
      </w:pPr>
      <w:r w:rsidRPr="005C6EB9">
        <w:rPr>
          <w:sz w:val="24"/>
          <w:szCs w:val="24"/>
        </w:rPr>
        <w:t>Por su parte, la Ley 27/1983, de 25 de noviembre, de Relaciones entre las Instituciones Comunes de la Comunidad Autónoma y los Órganos Forales de sus Territorios Históricos, señala en su artículo 7.6, como competencia exclusiva de los Órganos Forales, “</w:t>
      </w:r>
      <w:r w:rsidRPr="005C6EB9">
        <w:rPr>
          <w:i/>
          <w:sz w:val="24"/>
          <w:szCs w:val="24"/>
        </w:rPr>
        <w:t>las establecidas en el art. 41 del Estatuto de Autonomía y, en general, todas las que tengan atribuidas por la Ley del Concierto Económico y por otras normas y disposiciones de carácter tributario</w:t>
      </w:r>
      <w:r w:rsidRPr="005C6EB9">
        <w:rPr>
          <w:sz w:val="24"/>
          <w:szCs w:val="24"/>
        </w:rPr>
        <w:t>”.</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Por último, la  Norma Foral 6/2005, de 28 de febrero, General Tributaria de Álava, que regula los principios y las normas jurídicas generales del sistema tributario del Territorio Histórico de Álava faculta, en su artículo 4,  a la Diputación Foral de Álava para dictar cuantas disposiciones  de desarrollo en materia tributaria fueran necesarias.</w:t>
      </w:r>
    </w:p>
    <w:p w:rsidR="00C00967" w:rsidRPr="005C6EB9" w:rsidRDefault="00C00967" w:rsidP="00C00967">
      <w:pPr>
        <w:jc w:val="both"/>
        <w:rPr>
          <w:sz w:val="24"/>
          <w:szCs w:val="24"/>
        </w:rPr>
      </w:pPr>
      <w:r w:rsidRPr="005C6EB9">
        <w:rPr>
          <w:sz w:val="24"/>
          <w:szCs w:val="24"/>
        </w:rPr>
        <w:t>En concreto, la obligación de presentar declaraciones y autoliquidaciones, constituida como una obligación tributaria formal, viene recogida en el artículo 29.2 c) de la citada Norma Foral 6/2005, y en el  punto 3 del mismo artículo se indica que “</w:t>
      </w:r>
      <w:r w:rsidRPr="005C6EB9">
        <w:rPr>
          <w:i/>
          <w:sz w:val="24"/>
          <w:szCs w:val="24"/>
        </w:rPr>
        <w:t>En desarrollo de lo dispuesto en este artículo, las disposiciones reglamentarias podrán regular las circunstancias relativas al cumplimiento de las obligaciones tributarias formales</w:t>
      </w:r>
      <w:r w:rsidRPr="005C6EB9">
        <w:rPr>
          <w:sz w:val="24"/>
          <w:szCs w:val="24"/>
        </w:rPr>
        <w:t>”.</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 xml:space="preserve">Asimismo,  el artículo 81 de la misma Norma Foral  establece el deber de la Diputación Foral de Álava de informar y prestar asistencia a los obligados tributarios acerca de sus derechos y obligaciones que se instrumentará, entre otras, en la asistencia  en la realización de autoliquidaciones y declaraciones, potenciando para ello  la utilización de las TICS (tecnologías de información y comunicación) en todos los procedimientos documentales con los contribuyentes. En este sentido,  las actuaciones de información previstas en el  citado artículo 81 se podrán efectuar mediante el empleo y aplicación de técnicas y medios electrónicos, informáticos y telemáticos. </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Por todo lo anteriormente expuesto,  el Decreto Foral que regula  las condiciones y requisitos generales para  la presentación de declaraciones y autoliquidaciones por vía telemática ante la Hacienda Foral de Álava, debe ser objeto del preceptivo dictamen de esta Comisión Consultiva.</w:t>
      </w:r>
    </w:p>
    <w:p w:rsidR="00C00967" w:rsidRPr="005C6EB9" w:rsidRDefault="00C00967" w:rsidP="00C00967">
      <w:pPr>
        <w:jc w:val="both"/>
        <w:rPr>
          <w:sz w:val="24"/>
          <w:szCs w:val="24"/>
        </w:rPr>
      </w:pPr>
    </w:p>
    <w:p w:rsidR="00C00967" w:rsidRDefault="00C00967" w:rsidP="00C00967">
      <w:pPr>
        <w:tabs>
          <w:tab w:val="left" w:pos="1985"/>
          <w:tab w:val="num" w:pos="2705"/>
        </w:tabs>
        <w:jc w:val="both"/>
        <w:rPr>
          <w:b/>
          <w:sz w:val="24"/>
          <w:szCs w:val="24"/>
        </w:rPr>
      </w:pPr>
      <w:r w:rsidRPr="005C6EB9">
        <w:rPr>
          <w:b/>
          <w:sz w:val="24"/>
          <w:szCs w:val="24"/>
        </w:rPr>
        <w:t>2.- COMPETENCIA ORGÁNICA Y HABILITACION NORMATIVA</w:t>
      </w:r>
    </w:p>
    <w:p w:rsidR="00C00967" w:rsidRPr="005C6EB9" w:rsidRDefault="00C00967" w:rsidP="00C00967">
      <w:pPr>
        <w:tabs>
          <w:tab w:val="left" w:pos="1985"/>
          <w:tab w:val="num" w:pos="2705"/>
        </w:tabs>
        <w:jc w:val="both"/>
        <w:rPr>
          <w:b/>
          <w:sz w:val="24"/>
          <w:szCs w:val="24"/>
        </w:rPr>
      </w:pPr>
    </w:p>
    <w:p w:rsidR="00C00967" w:rsidRDefault="00C00967" w:rsidP="00C00967">
      <w:pPr>
        <w:jc w:val="both"/>
        <w:rPr>
          <w:sz w:val="24"/>
          <w:szCs w:val="24"/>
        </w:rPr>
      </w:pPr>
      <w:r w:rsidRPr="005C6EB9">
        <w:rPr>
          <w:sz w:val="24"/>
          <w:szCs w:val="24"/>
        </w:rPr>
        <w:t xml:space="preserve">El artículo 4.1 de la Norma Foral General Tributaria de Álava atribuye a la Diputación Foral de Álava la potestad reglamentaria para el desarrollo de las normas tributarias, sin perjuicio de las facultades que corresponden a las Entidades Locales en relación con los tributos locales. </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 xml:space="preserve">Por su parte, el artículo 7.2 de la Norma Foral 52/92, de 18 de diciembre, de Organización, Funcionamiento y Régimen Jurídico de la Diputación Foral de Álava establece que, </w:t>
      </w:r>
      <w:r w:rsidRPr="005C6EB9">
        <w:rPr>
          <w:i/>
          <w:sz w:val="24"/>
          <w:szCs w:val="24"/>
        </w:rPr>
        <w:t xml:space="preserve">“En el ejercicio de la potestad reglamentaria, corresponde al Consejo de </w:t>
      </w:r>
      <w:r w:rsidRPr="005C6EB9">
        <w:rPr>
          <w:i/>
          <w:sz w:val="24"/>
          <w:szCs w:val="24"/>
        </w:rPr>
        <w:lastRenderedPageBreak/>
        <w:t>Diputados aprobar, mediante Decretos Forales, Reglamentos de ejecución y desarrollo de las Normas Forales”.</w:t>
      </w:r>
    </w:p>
    <w:p w:rsidR="00C00967" w:rsidRPr="005C6EB9" w:rsidRDefault="00C00967" w:rsidP="00C00967">
      <w:pPr>
        <w:jc w:val="both"/>
        <w:rPr>
          <w:sz w:val="24"/>
          <w:szCs w:val="24"/>
        </w:rPr>
      </w:pPr>
    </w:p>
    <w:p w:rsidR="00C00967" w:rsidRPr="005C6EB9" w:rsidRDefault="00C00967" w:rsidP="00C00967">
      <w:pPr>
        <w:ind w:left="426" w:hanging="426"/>
        <w:jc w:val="both"/>
        <w:rPr>
          <w:b/>
          <w:sz w:val="24"/>
          <w:szCs w:val="24"/>
        </w:rPr>
      </w:pPr>
      <w:r w:rsidRPr="005C6EB9">
        <w:rPr>
          <w:b/>
          <w:sz w:val="24"/>
          <w:szCs w:val="24"/>
        </w:rPr>
        <w:t xml:space="preserve">3.- PROCEDIMIENTO </w:t>
      </w:r>
    </w:p>
    <w:p w:rsidR="00C00967" w:rsidRPr="005C6EB9" w:rsidRDefault="00C00967" w:rsidP="00C00967">
      <w:pPr>
        <w:ind w:left="426" w:hanging="426"/>
        <w:jc w:val="both"/>
        <w:rPr>
          <w:b/>
          <w:sz w:val="24"/>
          <w:szCs w:val="24"/>
        </w:rPr>
      </w:pPr>
    </w:p>
    <w:p w:rsidR="00C00967" w:rsidRPr="005C6EB9" w:rsidRDefault="00C00967" w:rsidP="00C00967">
      <w:pPr>
        <w:jc w:val="both"/>
        <w:rPr>
          <w:sz w:val="24"/>
          <w:szCs w:val="24"/>
        </w:rPr>
      </w:pPr>
      <w:r w:rsidRPr="005C6EB9">
        <w:rPr>
          <w:sz w:val="24"/>
          <w:szCs w:val="24"/>
        </w:rPr>
        <w:t>La tramitación del procedimiento se ha ajustado a las normas vigentes relativas a la elaboración de disposiciones generales, en cuanto al órgano competente para formular la propuesta, la emisión de los informes de impacto normativo, de impacto económico  y de evaluación previa de impacto en función del género, la solicitud de consulta a la Comisión Consultiva y el órgano competente para su aprobación.</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En particular, en atención a lo señalado en el artículo 9 del Decreto Foral 29/2017, del Consejo de Gobierno Foral de 23 de mayo, se ha llevado a cabo la consulta pública previa y el trámite de información pública del avance del proyecto por medios telemáticos a través de la web de la Diputación Foral de Álava, constando en el expediente la memoria sobre los resultados de este trámite, de fecha 6 de agosto de 2020, en la que consta que no se han registrado propuestas u observaciones que deban ser valoradas para la redacción de la disposición normativa.</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Por otra parte, con fecha 21 de julio de 2020, el Servicio de Normativa Tributaria emite un informe de impacto de género que fue ratificado por el  Servicio de Igualdad, Cooperación e Interculturalidad  de esta Diputación Foral mediante informe de fecha 28 de agosto de 2020.</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Por último, a la vista de lo señalado en el artículo 13 del Decreto Foral 29/2017, del Consejo de Gobierno Foral de 23 de mayo, se ha llevado a cabo el trámite de audiencia  del avance del proyecto de Decreto Foral por medios telemáticos a través de la web de la Diputación Foral de Álava, constando en el expediente la memoria sobre los resultados de este trámite, de fecha 28 de agosto de 2020, en la que consta que no se han registrado propuestas u observaciones que deban ser valoradas para la redacción de la disposición normativa.</w:t>
      </w:r>
    </w:p>
    <w:p w:rsidR="00C00967" w:rsidRPr="005C6EB9" w:rsidRDefault="00C00967" w:rsidP="00C00967">
      <w:pPr>
        <w:jc w:val="both"/>
        <w:rPr>
          <w:sz w:val="24"/>
          <w:szCs w:val="24"/>
        </w:rPr>
      </w:pPr>
    </w:p>
    <w:p w:rsidR="00C00967" w:rsidRPr="005C6EB9" w:rsidRDefault="00C00967" w:rsidP="00C00967">
      <w:pPr>
        <w:jc w:val="both"/>
        <w:rPr>
          <w:b/>
          <w:sz w:val="24"/>
          <w:szCs w:val="24"/>
        </w:rPr>
      </w:pPr>
      <w:r w:rsidRPr="005C6EB9">
        <w:rPr>
          <w:b/>
          <w:sz w:val="24"/>
          <w:szCs w:val="24"/>
        </w:rPr>
        <w:t>III.- ESTRUCTURA DEL DECRETO FORAL.</w:t>
      </w:r>
    </w:p>
    <w:p w:rsidR="00C00967" w:rsidRPr="005C6EB9" w:rsidRDefault="00C00967" w:rsidP="00C00967">
      <w:pPr>
        <w:jc w:val="both"/>
        <w:rPr>
          <w:b/>
          <w:sz w:val="24"/>
          <w:szCs w:val="24"/>
        </w:rPr>
      </w:pPr>
    </w:p>
    <w:p w:rsidR="00C00967" w:rsidRPr="005C6EB9" w:rsidRDefault="00C00967" w:rsidP="00C00967">
      <w:pPr>
        <w:jc w:val="both"/>
        <w:rPr>
          <w:sz w:val="24"/>
          <w:szCs w:val="24"/>
        </w:rPr>
      </w:pPr>
      <w:r w:rsidRPr="005C6EB9">
        <w:rPr>
          <w:sz w:val="24"/>
          <w:szCs w:val="24"/>
        </w:rPr>
        <w:t>El proyecto de Decreto Foral consta de una exposición de motivos, una parte dispositiva con  ocho artículos, una disposición derogatoria  y dos disposiciones  finales.</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La proyecto de Decreto Foral, en su disposición derogatoria, deja sin efecto el Decreto Foral 110/2008, del Consejo de Diputados de 23 de diciembre, que regula las condiciones y requisitos generales para la presentación de declaraciones y autoliquidaciones por vía Telemática ante la Hacienda Foral.</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Por su parte, la disposición final primera faculta al Diputado o Diputada Foral del Departamento de Hacienda, Finanzas y Presupuestos para desarrollar el Decreto Foral objeto de dictamen.</w:t>
      </w:r>
    </w:p>
    <w:p w:rsidR="00C00967" w:rsidRPr="005C6EB9" w:rsidRDefault="00C00967" w:rsidP="00C00967">
      <w:pPr>
        <w:jc w:val="both"/>
        <w:rPr>
          <w:sz w:val="24"/>
          <w:szCs w:val="24"/>
        </w:rPr>
      </w:pPr>
      <w:r w:rsidRPr="005C6EB9">
        <w:rPr>
          <w:sz w:val="24"/>
          <w:szCs w:val="24"/>
        </w:rPr>
        <w:t xml:space="preserve">La segunda de las disposiciones finales  establece que el Decreto Foral entrará en vigor el mismo día de su publicación y afectará a las declaraciones cuyo plazo de presentación comience a partir del 1 de enero de 2021. </w:t>
      </w:r>
    </w:p>
    <w:p w:rsidR="00C00967" w:rsidRPr="005C6EB9" w:rsidRDefault="00C00967" w:rsidP="00C00967">
      <w:pPr>
        <w:jc w:val="both"/>
        <w:rPr>
          <w:b/>
          <w:sz w:val="24"/>
          <w:szCs w:val="24"/>
        </w:rPr>
      </w:pPr>
    </w:p>
    <w:p w:rsidR="00C00967" w:rsidRPr="005C6EB9" w:rsidRDefault="00C00967" w:rsidP="00C00967">
      <w:pPr>
        <w:jc w:val="both"/>
        <w:rPr>
          <w:b/>
          <w:sz w:val="24"/>
          <w:szCs w:val="24"/>
        </w:rPr>
      </w:pPr>
      <w:r w:rsidRPr="005C6EB9">
        <w:rPr>
          <w:b/>
          <w:sz w:val="24"/>
          <w:szCs w:val="24"/>
        </w:rPr>
        <w:t xml:space="preserve">IV. ANÁLISIS DE LA PROPUESTA NORMATIVA </w:t>
      </w:r>
    </w:p>
    <w:p w:rsidR="00C00967" w:rsidRPr="005C6EB9" w:rsidRDefault="00C00967" w:rsidP="00C00967">
      <w:pPr>
        <w:jc w:val="both"/>
        <w:rPr>
          <w:b/>
          <w:sz w:val="24"/>
          <w:szCs w:val="24"/>
        </w:rPr>
      </w:pPr>
    </w:p>
    <w:p w:rsidR="00C00967" w:rsidRPr="005C6EB9" w:rsidRDefault="00C00967" w:rsidP="00C00967">
      <w:pPr>
        <w:jc w:val="both"/>
        <w:rPr>
          <w:sz w:val="24"/>
          <w:szCs w:val="24"/>
        </w:rPr>
      </w:pPr>
      <w:r w:rsidRPr="005C6EB9">
        <w:rPr>
          <w:sz w:val="24"/>
          <w:szCs w:val="24"/>
        </w:rPr>
        <w:t>Transcurridos doce años desde la aprobación del Decreto Foral 110/2008, del Consejo de Diputados de 23 de diciembre,  se ha considerado oportuno actualizar las condiciones y requisitos generales para la presentación que de declaraciones y autoliquidaciones por vía Telemática ante la Hacienda Foral, a fin de adaptarlas a las herramientas informáticas implementadas por la Diputación en este periodo.</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Pasemos pues a estudiar el articulado del Decreto Foral objeto de dictamen:</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Artículo 1. Declaraciones que deben presentarse por vía telemática.</w:t>
      </w:r>
    </w:p>
    <w:p w:rsidR="00C00967" w:rsidRPr="005C6EB9" w:rsidRDefault="00C00967" w:rsidP="00C00967">
      <w:pPr>
        <w:jc w:val="both"/>
        <w:rPr>
          <w:sz w:val="24"/>
          <w:szCs w:val="24"/>
        </w:rPr>
      </w:pPr>
      <w:r w:rsidRPr="005C6EB9">
        <w:rPr>
          <w:sz w:val="24"/>
          <w:szCs w:val="24"/>
        </w:rPr>
        <w:t>No se producen novedades de relieve en cuanto al contenido de este artículo, respecto del equivalente del Decreto Foral a derogar.</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Artículo 2. Obligados tributarios que deben presentar las declaraciones por vía telemática.</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La novedad consiste en determinar que, con carácter general, deberán presentar sus declaraciones  por vía telemática  “</w:t>
      </w:r>
      <w:r w:rsidRPr="005C6EB9">
        <w:rPr>
          <w:i/>
          <w:sz w:val="24"/>
          <w:szCs w:val="24"/>
        </w:rPr>
        <w:t>los obligados tributarios que desarrollen actividades económicas, así como los contribuyentes del Impuesto sobre Sociedades</w:t>
      </w:r>
      <w:r w:rsidRPr="005C6EB9">
        <w:rPr>
          <w:sz w:val="24"/>
          <w:szCs w:val="24"/>
        </w:rPr>
        <w:t xml:space="preserve"> </w:t>
      </w:r>
      <w:proofErr w:type="gramStart"/>
      <w:r w:rsidRPr="005C6EB9">
        <w:rPr>
          <w:sz w:val="24"/>
          <w:szCs w:val="24"/>
        </w:rPr>
        <w:t>“ que</w:t>
      </w:r>
      <w:proofErr w:type="gramEnd"/>
      <w:r w:rsidRPr="005C6EB9">
        <w:rPr>
          <w:sz w:val="24"/>
          <w:szCs w:val="24"/>
        </w:rPr>
        <w:t>, de acuerdo al Concierto Económico, tengan obligación de presentar sus declaraciones ante la Diputación Foral de Álava.</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Asimismo se indica que el concepto actividad económica es el definido en el Impuesto sobre la Renta de las Personas Físicas.</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 xml:space="preserve">Desaparece la mención a los modelos de las declaraciones, en concreto en lo relativo a las instrucciones de cumplimentación en ellos recogidas. </w:t>
      </w:r>
    </w:p>
    <w:p w:rsidR="00C00967" w:rsidRPr="005C6EB9" w:rsidRDefault="00C00967" w:rsidP="00C00967">
      <w:pPr>
        <w:spacing w:before="100" w:beforeAutospacing="1" w:after="100" w:afterAutospacing="1"/>
        <w:jc w:val="both"/>
        <w:rPr>
          <w:sz w:val="24"/>
          <w:szCs w:val="24"/>
        </w:rPr>
      </w:pPr>
      <w:r w:rsidRPr="005C6EB9">
        <w:rPr>
          <w:sz w:val="24"/>
          <w:szCs w:val="24"/>
        </w:rPr>
        <w:t xml:space="preserve">Artículo 3. Requisitos generales y procedimiento general para la presentación de declaraciones por vía telemática. </w:t>
      </w:r>
    </w:p>
    <w:p w:rsidR="00C00967" w:rsidRPr="005C6EB9" w:rsidRDefault="00C00967" w:rsidP="00C00967">
      <w:pPr>
        <w:jc w:val="both"/>
        <w:rPr>
          <w:sz w:val="24"/>
          <w:szCs w:val="24"/>
        </w:rPr>
      </w:pPr>
      <w:r w:rsidRPr="005C6EB9">
        <w:rPr>
          <w:sz w:val="24"/>
          <w:szCs w:val="24"/>
        </w:rPr>
        <w:t>En este artículo las novedades introducidas son las siguientes:</w:t>
      </w:r>
    </w:p>
    <w:p w:rsidR="00C00967" w:rsidRPr="005C6EB9" w:rsidRDefault="00C00967" w:rsidP="00C00967">
      <w:pPr>
        <w:jc w:val="both"/>
        <w:rPr>
          <w:sz w:val="24"/>
          <w:szCs w:val="24"/>
        </w:rPr>
      </w:pPr>
    </w:p>
    <w:p w:rsidR="00C00967" w:rsidRPr="005C6EB9" w:rsidRDefault="00C00967" w:rsidP="00C00967">
      <w:pPr>
        <w:pStyle w:val="Prrafodelista"/>
        <w:numPr>
          <w:ilvl w:val="0"/>
          <w:numId w:val="19"/>
        </w:numPr>
        <w:spacing w:line="240" w:lineRule="auto"/>
        <w:jc w:val="both"/>
        <w:rPr>
          <w:rFonts w:ascii="Times New Roman" w:eastAsia="Times New Roman" w:hAnsi="Times New Roman"/>
          <w:sz w:val="24"/>
          <w:szCs w:val="24"/>
          <w:lang w:eastAsia="es-ES"/>
        </w:rPr>
      </w:pPr>
      <w:r w:rsidRPr="005C6EB9">
        <w:rPr>
          <w:rFonts w:ascii="Times New Roman" w:eastAsia="Times New Roman" w:hAnsi="Times New Roman"/>
          <w:sz w:val="24"/>
          <w:szCs w:val="24"/>
          <w:lang w:eastAsia="es-ES"/>
        </w:rPr>
        <w:t xml:space="preserve">Necesidad de que el obligado tributario, o en su caso su representante voluntario o el profesional autorizado, </w:t>
      </w:r>
      <w:r w:rsidRPr="005C6EB9">
        <w:rPr>
          <w:rFonts w:ascii="Times New Roman" w:hAnsi="Times New Roman"/>
          <w:sz w:val="24"/>
          <w:szCs w:val="24"/>
        </w:rPr>
        <w:t xml:space="preserve">tenga acceso como usuario de la Sede electrónica de Diputación Foral de Álava – Arabako </w:t>
      </w:r>
      <w:proofErr w:type="spellStart"/>
      <w:r w:rsidRPr="005C6EB9">
        <w:rPr>
          <w:rFonts w:ascii="Times New Roman" w:hAnsi="Times New Roman"/>
          <w:sz w:val="24"/>
          <w:szCs w:val="24"/>
        </w:rPr>
        <w:t>Foru</w:t>
      </w:r>
      <w:proofErr w:type="spellEnd"/>
      <w:r w:rsidRPr="005C6EB9">
        <w:rPr>
          <w:rFonts w:ascii="Times New Roman" w:hAnsi="Times New Roman"/>
          <w:sz w:val="24"/>
          <w:szCs w:val="24"/>
        </w:rPr>
        <w:t xml:space="preserve"> </w:t>
      </w:r>
      <w:proofErr w:type="spellStart"/>
      <w:r w:rsidRPr="005C6EB9">
        <w:rPr>
          <w:rFonts w:ascii="Times New Roman" w:hAnsi="Times New Roman"/>
          <w:sz w:val="24"/>
          <w:szCs w:val="24"/>
        </w:rPr>
        <w:t>Aldundia</w:t>
      </w:r>
      <w:proofErr w:type="spellEnd"/>
      <w:r w:rsidRPr="005C6EB9">
        <w:rPr>
          <w:rFonts w:ascii="Times New Roman" w:hAnsi="Times New Roman"/>
          <w:sz w:val="24"/>
          <w:szCs w:val="24"/>
        </w:rPr>
        <w:t xml:space="preserve">  (Diputación Digital),  regulada en el Decreto Foral 26/2011, de 5 de abril y en el Decreto Foral 74/2011, de 29 de noviembre.</w:t>
      </w:r>
    </w:p>
    <w:p w:rsidR="00C00967" w:rsidRPr="005C6EB9" w:rsidRDefault="00C00967" w:rsidP="00C00967">
      <w:pPr>
        <w:pStyle w:val="Prrafodelista"/>
        <w:spacing w:line="240" w:lineRule="auto"/>
        <w:ind w:left="360"/>
        <w:jc w:val="both"/>
        <w:rPr>
          <w:rFonts w:ascii="Times New Roman" w:hAnsi="Times New Roman"/>
          <w:sz w:val="24"/>
          <w:szCs w:val="24"/>
        </w:rPr>
      </w:pPr>
    </w:p>
    <w:p w:rsidR="00C00967" w:rsidRPr="005C6EB9" w:rsidRDefault="00C00967" w:rsidP="00C00967">
      <w:pPr>
        <w:pStyle w:val="Prrafodelista"/>
        <w:spacing w:line="240" w:lineRule="auto"/>
        <w:ind w:left="360"/>
        <w:jc w:val="both"/>
        <w:rPr>
          <w:rFonts w:ascii="Times New Roman" w:eastAsia="Times New Roman" w:hAnsi="Times New Roman"/>
          <w:sz w:val="24"/>
          <w:szCs w:val="24"/>
          <w:lang w:eastAsia="es-ES"/>
        </w:rPr>
      </w:pPr>
      <w:r w:rsidRPr="005C6EB9">
        <w:rPr>
          <w:rFonts w:ascii="Times New Roman" w:hAnsi="Times New Roman"/>
          <w:sz w:val="24"/>
          <w:szCs w:val="24"/>
        </w:rPr>
        <w:t>Se omite  la mención a los servicios de “diputación digital”, desaparecidos desde la entrada en funcionamiento de la “sede electrónica”.</w:t>
      </w:r>
    </w:p>
    <w:p w:rsidR="00C00967" w:rsidRPr="005C6EB9" w:rsidRDefault="00C00967" w:rsidP="00C00967">
      <w:pPr>
        <w:pStyle w:val="Prrafodelista"/>
        <w:spacing w:line="240" w:lineRule="auto"/>
        <w:ind w:left="360"/>
        <w:jc w:val="both"/>
        <w:rPr>
          <w:rFonts w:ascii="Times New Roman" w:eastAsia="Times New Roman" w:hAnsi="Times New Roman"/>
          <w:sz w:val="24"/>
          <w:szCs w:val="24"/>
          <w:lang w:eastAsia="es-ES"/>
        </w:rPr>
      </w:pPr>
    </w:p>
    <w:p w:rsidR="00C00967" w:rsidRPr="005C6EB9" w:rsidRDefault="00C00967" w:rsidP="00C00967">
      <w:pPr>
        <w:pStyle w:val="Prrafodelista"/>
        <w:numPr>
          <w:ilvl w:val="0"/>
          <w:numId w:val="19"/>
        </w:numPr>
        <w:spacing w:line="240" w:lineRule="auto"/>
        <w:jc w:val="both"/>
        <w:rPr>
          <w:rFonts w:ascii="Times New Roman" w:eastAsia="Times New Roman" w:hAnsi="Times New Roman"/>
          <w:sz w:val="24"/>
          <w:szCs w:val="24"/>
          <w:lang w:eastAsia="es-ES"/>
        </w:rPr>
      </w:pPr>
      <w:r w:rsidRPr="005C6EB9">
        <w:rPr>
          <w:rFonts w:ascii="Times New Roman" w:eastAsia="Times New Roman" w:hAnsi="Times New Roman"/>
          <w:sz w:val="24"/>
          <w:szCs w:val="24"/>
          <w:lang w:eastAsia="es-ES"/>
        </w:rPr>
        <w:t>Desaparece el “usuario/clave de acceso “como medio de acceso a la Sede Electrónica, sustituyéndose por “cualquier otro sistema que se habilite al efecto para acceder a la Sede electrónica”.</w:t>
      </w:r>
    </w:p>
    <w:p w:rsidR="00C00967" w:rsidRPr="005C6EB9" w:rsidRDefault="00C00967" w:rsidP="00C00967">
      <w:pPr>
        <w:pStyle w:val="Prrafodelista"/>
        <w:rPr>
          <w:rFonts w:ascii="Times New Roman" w:eastAsia="Times New Roman" w:hAnsi="Times New Roman"/>
          <w:sz w:val="24"/>
          <w:szCs w:val="24"/>
          <w:lang w:eastAsia="es-ES"/>
        </w:rPr>
      </w:pPr>
    </w:p>
    <w:p w:rsidR="00C00967" w:rsidRPr="005C6EB9" w:rsidRDefault="00C00967" w:rsidP="00C00967">
      <w:pPr>
        <w:pStyle w:val="Prrafodelista"/>
        <w:numPr>
          <w:ilvl w:val="0"/>
          <w:numId w:val="19"/>
        </w:numPr>
        <w:spacing w:line="240" w:lineRule="auto"/>
        <w:jc w:val="both"/>
        <w:rPr>
          <w:rFonts w:ascii="Times New Roman" w:eastAsia="Times New Roman" w:hAnsi="Times New Roman"/>
          <w:sz w:val="24"/>
          <w:szCs w:val="24"/>
          <w:lang w:eastAsia="es-ES"/>
        </w:rPr>
      </w:pPr>
      <w:r w:rsidRPr="005C6EB9">
        <w:rPr>
          <w:rFonts w:ascii="Times New Roman" w:eastAsia="Times New Roman" w:hAnsi="Times New Roman"/>
          <w:sz w:val="24"/>
          <w:szCs w:val="24"/>
          <w:lang w:eastAsia="es-ES"/>
        </w:rPr>
        <w:t>Se introduce la obligación de generar “</w:t>
      </w:r>
      <w:r w:rsidRPr="005C6EB9">
        <w:rPr>
          <w:rFonts w:ascii="Times New Roman" w:eastAsia="Times New Roman" w:hAnsi="Times New Roman"/>
          <w:i/>
          <w:sz w:val="24"/>
          <w:szCs w:val="24"/>
          <w:lang w:eastAsia="es-ES"/>
        </w:rPr>
        <w:t>un documento que justifique su presentación y, en su caso, los archivos o documentos adjuntados, así como la fecha y hora en que se ha producido la misma</w:t>
      </w:r>
      <w:r w:rsidRPr="005C6EB9">
        <w:rPr>
          <w:rFonts w:ascii="Times New Roman" w:eastAsia="Times New Roman" w:hAnsi="Times New Roman"/>
          <w:sz w:val="24"/>
          <w:szCs w:val="24"/>
          <w:lang w:eastAsia="es-ES"/>
        </w:rPr>
        <w:t>”, incrementando con ello las garantías para el presentador.</w:t>
      </w:r>
    </w:p>
    <w:p w:rsidR="00C00967" w:rsidRPr="005C6EB9" w:rsidRDefault="00C00967" w:rsidP="00C00967">
      <w:pPr>
        <w:pStyle w:val="Prrafodelista"/>
        <w:spacing w:line="240" w:lineRule="auto"/>
        <w:ind w:left="360"/>
        <w:jc w:val="both"/>
        <w:rPr>
          <w:rFonts w:ascii="Times New Roman" w:eastAsia="Times New Roman" w:hAnsi="Times New Roman"/>
          <w:sz w:val="24"/>
          <w:szCs w:val="24"/>
          <w:lang w:eastAsia="es-ES"/>
        </w:rPr>
      </w:pPr>
    </w:p>
    <w:p w:rsidR="00C00967" w:rsidRPr="005C6EB9" w:rsidRDefault="00C00967" w:rsidP="00C00967">
      <w:pPr>
        <w:spacing w:before="100" w:beforeAutospacing="1" w:after="100" w:afterAutospacing="1"/>
        <w:jc w:val="both"/>
        <w:rPr>
          <w:sz w:val="24"/>
          <w:szCs w:val="24"/>
        </w:rPr>
      </w:pPr>
      <w:r w:rsidRPr="005C6EB9">
        <w:rPr>
          <w:sz w:val="24"/>
          <w:szCs w:val="24"/>
        </w:rPr>
        <w:t xml:space="preserve">Artículo 4. Plazo de presentación e ingreso de las declaraciones. </w:t>
      </w:r>
    </w:p>
    <w:p w:rsidR="00C00967" w:rsidRPr="005C6EB9" w:rsidRDefault="00C00967" w:rsidP="00C00967">
      <w:pPr>
        <w:spacing w:before="100" w:beforeAutospacing="1" w:after="100" w:afterAutospacing="1"/>
        <w:jc w:val="both"/>
        <w:rPr>
          <w:sz w:val="24"/>
          <w:szCs w:val="24"/>
        </w:rPr>
      </w:pPr>
      <w:r w:rsidRPr="005C6EB9">
        <w:rPr>
          <w:sz w:val="24"/>
          <w:szCs w:val="24"/>
        </w:rPr>
        <w:t>No presenta novedad alguna respecto al Decreto Foral 110/2008</w:t>
      </w:r>
    </w:p>
    <w:p w:rsidR="00C00967" w:rsidRPr="005C6EB9" w:rsidRDefault="00C00967" w:rsidP="00C00967">
      <w:pPr>
        <w:spacing w:before="100" w:beforeAutospacing="1" w:after="100" w:afterAutospacing="1"/>
        <w:jc w:val="both"/>
        <w:rPr>
          <w:sz w:val="24"/>
          <w:szCs w:val="24"/>
        </w:rPr>
      </w:pPr>
      <w:r w:rsidRPr="005C6EB9">
        <w:rPr>
          <w:sz w:val="24"/>
          <w:szCs w:val="24"/>
        </w:rPr>
        <w:t>Artículo 5. Presentación de las declaraciones: normas generales.</w:t>
      </w:r>
    </w:p>
    <w:p w:rsidR="00C00967" w:rsidRPr="005C6EB9" w:rsidRDefault="00C00967" w:rsidP="00C00967">
      <w:pPr>
        <w:spacing w:before="100" w:beforeAutospacing="1" w:after="100" w:afterAutospacing="1"/>
        <w:jc w:val="both"/>
        <w:rPr>
          <w:sz w:val="24"/>
          <w:szCs w:val="24"/>
        </w:rPr>
      </w:pPr>
      <w:r w:rsidRPr="005C6EB9">
        <w:rPr>
          <w:sz w:val="24"/>
          <w:szCs w:val="24"/>
        </w:rPr>
        <w:t>Se elimina  por irrelevante,  la referencia a los obligados tributarios que, además de tener que presentar sus declaraciones ante la Diputación Foral de Álava deban hacerlo a otras Administraciones Tributarias, de conformidad con lo dispuesto en el Concierto Económico</w:t>
      </w:r>
    </w:p>
    <w:p w:rsidR="00C00967" w:rsidRPr="005C6EB9" w:rsidRDefault="00C00967" w:rsidP="00C00967">
      <w:pPr>
        <w:spacing w:before="100" w:beforeAutospacing="1" w:after="100" w:afterAutospacing="1"/>
        <w:jc w:val="both"/>
        <w:rPr>
          <w:sz w:val="24"/>
          <w:szCs w:val="24"/>
        </w:rPr>
      </w:pPr>
      <w:r w:rsidRPr="005C6EB9">
        <w:rPr>
          <w:sz w:val="24"/>
          <w:szCs w:val="24"/>
        </w:rPr>
        <w:t>Artículo 6. Modo de ingreso y devolución.</w:t>
      </w:r>
    </w:p>
    <w:p w:rsidR="00C00967" w:rsidRPr="005C6EB9" w:rsidRDefault="00C00967" w:rsidP="00C00967">
      <w:pPr>
        <w:jc w:val="both"/>
        <w:rPr>
          <w:sz w:val="24"/>
          <w:szCs w:val="24"/>
        </w:rPr>
      </w:pPr>
      <w:r w:rsidRPr="005C6EB9">
        <w:rPr>
          <w:sz w:val="24"/>
          <w:szCs w:val="24"/>
        </w:rPr>
        <w:t>Se sustituye  la  mención a  “el Diputado  de Hacienda, Finanzas y Presupuestos” por “la legislación vigente”, a la hora de establecer los procedimientos y plazos de efectuar los ingresos y las devoluciones correspondientes  a las declaraciones presentadas por internet.</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 xml:space="preserve"> Artículo 7 Procedimiento para presentar las declaraciones por vía telemática a través de "profesional".</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Se establece la obligación de que los ficheros obtenidos por otros desarrollos informáticos, diferentes de los programas de ayuda facilitados por el Departamento de Hacienda, Finanzas y Presupuestos deban ser validados,  esto es,  sometidos a un proceso de verificación para constatar que los modelos generados tienen el formato, características y especificaciones establecidas en la normativa. El programa validador podrá ser descargado de la página web de la Diputación Foral.</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Se introduce el matiz de que los ficheros que  no hayan superado la “validación” (en el Decreto vigente se habla de que “hayan generado error”</w:t>
      </w:r>
      <w:r w:rsidRPr="005C6EB9">
        <w:rPr>
          <w:sz w:val="24"/>
          <w:szCs w:val="24"/>
          <w:u w:val="single"/>
        </w:rPr>
        <w:t>)</w:t>
      </w:r>
      <w:r w:rsidRPr="005C6EB9">
        <w:rPr>
          <w:sz w:val="24"/>
          <w:szCs w:val="24"/>
        </w:rPr>
        <w:t xml:space="preserve">,  </w:t>
      </w:r>
      <w:r w:rsidRPr="005C6EB9">
        <w:rPr>
          <w:sz w:val="24"/>
          <w:szCs w:val="24"/>
          <w:u w:val="single"/>
        </w:rPr>
        <w:t>no serán aceptados</w:t>
      </w:r>
      <w:r w:rsidRPr="005C6EB9">
        <w:rPr>
          <w:sz w:val="24"/>
          <w:szCs w:val="24"/>
        </w:rPr>
        <w:t xml:space="preserve">   si bien, como anteriormente,  se emitirá un diagnóstico para el “profesional”  de cuáles son los motivos de no aceptación.</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Artículo 8. Procedimiento para presentar las declaraciones por el obligado tributario o su representante voluntario</w:t>
      </w:r>
    </w:p>
    <w:p w:rsidR="00C00967" w:rsidRPr="005C6EB9" w:rsidRDefault="00C00967" w:rsidP="00C00967">
      <w:pPr>
        <w:jc w:val="both"/>
        <w:rPr>
          <w:sz w:val="24"/>
          <w:szCs w:val="24"/>
        </w:rPr>
      </w:pPr>
    </w:p>
    <w:p w:rsidR="00C00967" w:rsidRPr="005C6EB9" w:rsidRDefault="00C00967" w:rsidP="00C00967">
      <w:pPr>
        <w:jc w:val="both"/>
        <w:rPr>
          <w:sz w:val="24"/>
          <w:szCs w:val="24"/>
        </w:rPr>
      </w:pPr>
      <w:r w:rsidRPr="005C6EB9">
        <w:rPr>
          <w:sz w:val="24"/>
          <w:szCs w:val="24"/>
        </w:rPr>
        <w:t>Se introducen las mismas novedades que en el artículo 7 en cuanto a la validación de ficheros, pero para el obligado tributario o su representante.</w:t>
      </w:r>
    </w:p>
    <w:p w:rsidR="00C00967" w:rsidRPr="005C6EB9" w:rsidRDefault="00C00967" w:rsidP="00C00967">
      <w:pPr>
        <w:jc w:val="both"/>
        <w:rPr>
          <w:sz w:val="24"/>
          <w:szCs w:val="24"/>
        </w:rPr>
      </w:pPr>
    </w:p>
    <w:p w:rsidR="00C00967" w:rsidRDefault="00C00967" w:rsidP="00C00967">
      <w:pPr>
        <w:jc w:val="both"/>
        <w:rPr>
          <w:sz w:val="24"/>
          <w:szCs w:val="24"/>
        </w:rPr>
      </w:pPr>
      <w:r>
        <w:rPr>
          <w:sz w:val="24"/>
          <w:szCs w:val="24"/>
        </w:rPr>
        <w:t>En el caso de declaraciones “on-line”, desaparece el “usuario/clave de acceso “como medio de acceso a la Sede Electrónica, sustituyéndose por “cualquier otro sistema que se habilite al efecto para acceder a la Sede electrónica”. Asimismo, se describe el método de acceso al servicio de generación y envío de declaraciones.</w:t>
      </w:r>
    </w:p>
    <w:p w:rsidR="00C00967" w:rsidRDefault="00C00967" w:rsidP="00C00967">
      <w:pPr>
        <w:jc w:val="both"/>
        <w:rPr>
          <w:sz w:val="24"/>
          <w:szCs w:val="24"/>
        </w:rPr>
      </w:pPr>
    </w:p>
    <w:p w:rsidR="00C00967" w:rsidRDefault="00C00967" w:rsidP="00C00967">
      <w:pPr>
        <w:jc w:val="both"/>
        <w:rPr>
          <w:sz w:val="24"/>
          <w:szCs w:val="24"/>
        </w:rPr>
      </w:pPr>
    </w:p>
    <w:p w:rsidR="00C00967" w:rsidRDefault="00C00967" w:rsidP="00C00967">
      <w:pPr>
        <w:jc w:val="both"/>
        <w:rPr>
          <w:sz w:val="24"/>
          <w:szCs w:val="24"/>
        </w:rPr>
      </w:pPr>
    </w:p>
    <w:p w:rsidR="00C00967" w:rsidRDefault="00C00967" w:rsidP="00C00967">
      <w:pPr>
        <w:jc w:val="both"/>
        <w:rPr>
          <w:sz w:val="24"/>
          <w:szCs w:val="24"/>
        </w:rPr>
      </w:pPr>
    </w:p>
    <w:p w:rsidR="00C00967" w:rsidRDefault="00C00967" w:rsidP="00C00967">
      <w:pPr>
        <w:jc w:val="both"/>
        <w:rPr>
          <w:sz w:val="24"/>
          <w:szCs w:val="24"/>
        </w:rPr>
      </w:pPr>
    </w:p>
    <w:p w:rsidR="00C00967" w:rsidRDefault="00C00967" w:rsidP="00C00967">
      <w:pPr>
        <w:jc w:val="both"/>
        <w:rPr>
          <w:sz w:val="24"/>
          <w:szCs w:val="24"/>
        </w:rPr>
      </w:pPr>
    </w:p>
    <w:p w:rsidR="00C00967" w:rsidRDefault="00C00967" w:rsidP="00C00967">
      <w:pPr>
        <w:jc w:val="both"/>
        <w:rPr>
          <w:b/>
          <w:sz w:val="24"/>
          <w:szCs w:val="24"/>
        </w:rPr>
      </w:pPr>
      <w:r>
        <w:rPr>
          <w:b/>
          <w:sz w:val="24"/>
          <w:szCs w:val="24"/>
        </w:rPr>
        <w:t>V. CONCLUSIONES</w:t>
      </w:r>
    </w:p>
    <w:p w:rsidR="00C00967" w:rsidRDefault="00C00967" w:rsidP="00C00967">
      <w:pPr>
        <w:jc w:val="both"/>
        <w:rPr>
          <w:b/>
          <w:sz w:val="24"/>
          <w:szCs w:val="24"/>
        </w:rPr>
      </w:pPr>
    </w:p>
    <w:p w:rsidR="00C00967" w:rsidRDefault="00C00967" w:rsidP="00C00967">
      <w:pPr>
        <w:jc w:val="both"/>
        <w:outlineLvl w:val="1"/>
        <w:rPr>
          <w:rFonts w:eastAsia="Calibri"/>
          <w:bCs/>
          <w:sz w:val="24"/>
          <w:szCs w:val="24"/>
        </w:rPr>
      </w:pPr>
      <w:r>
        <w:rPr>
          <w:b/>
          <w:bCs/>
          <w:sz w:val="24"/>
          <w:szCs w:val="24"/>
        </w:rPr>
        <w:t xml:space="preserve">PRIMERA.- </w:t>
      </w:r>
      <w:r>
        <w:rPr>
          <w:rFonts w:eastAsia="Calibri"/>
          <w:bCs/>
          <w:sz w:val="24"/>
          <w:szCs w:val="24"/>
        </w:rPr>
        <w:t>El Proyecto de Decreto Foral propuesto debe ser objeto de dictamen por la Comisión Consultiva de la Administración Foral de Álava, por ser materia de competencia  del Territorio Histórico de Álava.</w:t>
      </w:r>
    </w:p>
    <w:p w:rsidR="00C00967" w:rsidRDefault="00C00967" w:rsidP="00C00967">
      <w:pPr>
        <w:jc w:val="both"/>
        <w:rPr>
          <w:rFonts w:ascii="Tahoma" w:hAnsi="Tahoma" w:cs="Tahoma"/>
          <w:sz w:val="22"/>
          <w:szCs w:val="22"/>
        </w:rPr>
      </w:pPr>
      <w:r>
        <w:rPr>
          <w:b/>
          <w:bCs/>
          <w:sz w:val="24"/>
          <w:szCs w:val="24"/>
        </w:rPr>
        <w:t>SEGUNDA</w:t>
      </w:r>
      <w:r>
        <w:rPr>
          <w:bCs/>
          <w:sz w:val="24"/>
          <w:szCs w:val="24"/>
        </w:rPr>
        <w:t xml:space="preserve">.- </w:t>
      </w:r>
      <w:r>
        <w:rPr>
          <w:rFonts w:eastAsia="Calibri"/>
          <w:bCs/>
          <w:sz w:val="24"/>
          <w:szCs w:val="24"/>
        </w:rPr>
        <w:t>El Proyecto de Decreto Foral se adecúa al ordenamiento jurídico y se dicta dentro del marco competencial y de habilitación legal establecido en la normativa.</w:t>
      </w:r>
    </w:p>
    <w:p w:rsidR="00C00967" w:rsidRDefault="00C00967" w:rsidP="00C00967">
      <w:pPr>
        <w:jc w:val="both"/>
        <w:rPr>
          <w:rFonts w:ascii="Tahoma" w:hAnsi="Tahoma" w:cs="Tahoma"/>
          <w:sz w:val="22"/>
          <w:szCs w:val="22"/>
        </w:rPr>
      </w:pPr>
    </w:p>
    <w:p w:rsidR="001142FD" w:rsidRPr="00C00967" w:rsidRDefault="001142FD" w:rsidP="001142FD"/>
    <w:p w:rsidR="001142FD" w:rsidRPr="004D3706" w:rsidRDefault="001142FD" w:rsidP="001142FD">
      <w:pPr>
        <w:rPr>
          <w:lang w:val="es-ES_tradnl"/>
        </w:rPr>
      </w:pPr>
    </w:p>
    <w:p w:rsidR="001142FD" w:rsidRPr="001142FD" w:rsidRDefault="001142FD" w:rsidP="00E81FAD">
      <w:pPr>
        <w:pStyle w:val="Prrafodelista"/>
        <w:spacing w:after="0" w:line="240" w:lineRule="auto"/>
        <w:ind w:left="0"/>
        <w:contextualSpacing w:val="0"/>
        <w:jc w:val="both"/>
        <w:rPr>
          <w:rFonts w:ascii="Arial" w:hAnsi="Arial" w:cs="Arial"/>
          <w:b/>
          <w:sz w:val="24"/>
          <w:szCs w:val="24"/>
          <w:highlight w:val="yellow"/>
          <w:u w:val="single"/>
          <w:lang w:val="es-ES_tradnl"/>
        </w:rPr>
      </w:pPr>
    </w:p>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sectPr w:rsidR="001142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91E9C"/>
    <w:multiLevelType w:val="hybridMultilevel"/>
    <w:tmpl w:val="B69AC43A"/>
    <w:lvl w:ilvl="0" w:tplc="10A6F2D0">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F3E7A97"/>
    <w:multiLevelType w:val="hybridMultilevel"/>
    <w:tmpl w:val="2C60DD5C"/>
    <w:lvl w:ilvl="0" w:tplc="19541EF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16FF7869"/>
    <w:multiLevelType w:val="hybridMultilevel"/>
    <w:tmpl w:val="D8D2686A"/>
    <w:lvl w:ilvl="0" w:tplc="20DCF55E">
      <w:start w:val="7"/>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C1202FC"/>
    <w:multiLevelType w:val="hybridMultilevel"/>
    <w:tmpl w:val="8B7A600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1F901FA"/>
    <w:multiLevelType w:val="hybridMultilevel"/>
    <w:tmpl w:val="4AB0B8F2"/>
    <w:lvl w:ilvl="0" w:tplc="C1E02B3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25720C5"/>
    <w:multiLevelType w:val="hybridMultilevel"/>
    <w:tmpl w:val="84647EC0"/>
    <w:lvl w:ilvl="0" w:tplc="0C0A0017">
      <w:start w:val="1"/>
      <w:numFmt w:val="lowerLetter"/>
      <w:lvlText w:val="%1)"/>
      <w:lvlJc w:val="left"/>
      <w:pPr>
        <w:ind w:left="36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6FF47D6"/>
    <w:multiLevelType w:val="hybridMultilevel"/>
    <w:tmpl w:val="5460485E"/>
    <w:lvl w:ilvl="0" w:tplc="EAB0FCFE">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7">
    <w:nsid w:val="29554B72"/>
    <w:multiLevelType w:val="multilevel"/>
    <w:tmpl w:val="B5040D9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A99719A"/>
    <w:multiLevelType w:val="multilevel"/>
    <w:tmpl w:val="D88AB55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6981FDC"/>
    <w:multiLevelType w:val="hybridMultilevel"/>
    <w:tmpl w:val="6114A56E"/>
    <w:lvl w:ilvl="0" w:tplc="B9BE2082">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0">
    <w:nsid w:val="42F915CE"/>
    <w:multiLevelType w:val="hybridMultilevel"/>
    <w:tmpl w:val="8AC4FA0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1">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A986C10"/>
    <w:multiLevelType w:val="hybridMultilevel"/>
    <w:tmpl w:val="1130B6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D0748A4"/>
    <w:multiLevelType w:val="multilevel"/>
    <w:tmpl w:val="2422B524"/>
    <w:lvl w:ilvl="0">
      <w:start w:val="1"/>
      <w:numFmt w:val="decimal"/>
      <w:lvlText w:val="%1."/>
      <w:lvlJc w:val="left"/>
      <w:pPr>
        <w:ind w:left="720" w:hanging="360"/>
      </w:pPr>
      <w:rPr>
        <w:rFonts w:hint="default"/>
      </w:rPr>
    </w:lvl>
    <w:lvl w:ilvl="1">
      <w:start w:val="1"/>
      <w:numFmt w:val="decimal"/>
      <w:isLgl/>
      <w:lvlText w:val="%1.%2"/>
      <w:lvlJc w:val="left"/>
      <w:pPr>
        <w:ind w:left="1428" w:hanging="360"/>
      </w:pPr>
      <w:rPr>
        <w:rFonts w:hint="default"/>
        <w:i w:val="0"/>
      </w:rPr>
    </w:lvl>
    <w:lvl w:ilvl="2">
      <w:start w:val="1"/>
      <w:numFmt w:val="decimal"/>
      <w:isLgl/>
      <w:lvlText w:val="%1.%2.%3"/>
      <w:lvlJc w:val="left"/>
      <w:pPr>
        <w:ind w:left="2496" w:hanging="720"/>
      </w:pPr>
      <w:rPr>
        <w:rFonts w:hint="default"/>
        <w:i w:val="0"/>
      </w:rPr>
    </w:lvl>
    <w:lvl w:ilvl="3">
      <w:start w:val="1"/>
      <w:numFmt w:val="decimal"/>
      <w:isLgl/>
      <w:lvlText w:val="%1.%2.%3.%4"/>
      <w:lvlJc w:val="left"/>
      <w:pPr>
        <w:ind w:left="3204" w:hanging="720"/>
      </w:pPr>
      <w:rPr>
        <w:rFonts w:hint="default"/>
        <w:i w:val="0"/>
      </w:rPr>
    </w:lvl>
    <w:lvl w:ilvl="4">
      <w:start w:val="1"/>
      <w:numFmt w:val="decimal"/>
      <w:isLgl/>
      <w:lvlText w:val="%1.%2.%3.%4.%5"/>
      <w:lvlJc w:val="left"/>
      <w:pPr>
        <w:ind w:left="4272" w:hanging="1080"/>
      </w:pPr>
      <w:rPr>
        <w:rFonts w:hint="default"/>
        <w:i w:val="0"/>
      </w:rPr>
    </w:lvl>
    <w:lvl w:ilvl="5">
      <w:start w:val="1"/>
      <w:numFmt w:val="decimal"/>
      <w:isLgl/>
      <w:lvlText w:val="%1.%2.%3.%4.%5.%6"/>
      <w:lvlJc w:val="left"/>
      <w:pPr>
        <w:ind w:left="4980" w:hanging="1080"/>
      </w:pPr>
      <w:rPr>
        <w:rFonts w:hint="default"/>
        <w:i w:val="0"/>
      </w:rPr>
    </w:lvl>
    <w:lvl w:ilvl="6">
      <w:start w:val="1"/>
      <w:numFmt w:val="decimal"/>
      <w:isLgl/>
      <w:lvlText w:val="%1.%2.%3.%4.%5.%6.%7"/>
      <w:lvlJc w:val="left"/>
      <w:pPr>
        <w:ind w:left="6048" w:hanging="1440"/>
      </w:pPr>
      <w:rPr>
        <w:rFonts w:hint="default"/>
        <w:i w:val="0"/>
      </w:rPr>
    </w:lvl>
    <w:lvl w:ilvl="7">
      <w:start w:val="1"/>
      <w:numFmt w:val="decimal"/>
      <w:isLgl/>
      <w:lvlText w:val="%1.%2.%3.%4.%5.%6.%7.%8"/>
      <w:lvlJc w:val="left"/>
      <w:pPr>
        <w:ind w:left="6756" w:hanging="1440"/>
      </w:pPr>
      <w:rPr>
        <w:rFonts w:hint="default"/>
        <w:i w:val="0"/>
      </w:rPr>
    </w:lvl>
    <w:lvl w:ilvl="8">
      <w:start w:val="1"/>
      <w:numFmt w:val="decimal"/>
      <w:isLgl/>
      <w:lvlText w:val="%1.%2.%3.%4.%5.%6.%7.%8.%9"/>
      <w:lvlJc w:val="left"/>
      <w:pPr>
        <w:ind w:left="7824" w:hanging="1800"/>
      </w:pPr>
      <w:rPr>
        <w:rFonts w:hint="default"/>
        <w:i w:val="0"/>
      </w:rPr>
    </w:lvl>
  </w:abstractNum>
  <w:abstractNum w:abstractNumId="14">
    <w:nsid w:val="521E18E6"/>
    <w:multiLevelType w:val="multilevel"/>
    <w:tmpl w:val="D52EE01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539A1162"/>
    <w:multiLevelType w:val="hybridMultilevel"/>
    <w:tmpl w:val="9A1234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BC554FE"/>
    <w:multiLevelType w:val="hybridMultilevel"/>
    <w:tmpl w:val="05364B8C"/>
    <w:lvl w:ilvl="0" w:tplc="032E46BC">
      <w:numFmt w:val="bullet"/>
      <w:lvlText w:val="-"/>
      <w:lvlJc w:val="left"/>
      <w:pPr>
        <w:ind w:left="1068" w:hanging="360"/>
      </w:pPr>
      <w:rPr>
        <w:rFonts w:ascii="Times New Roman" w:eastAsia="Times New Roman" w:hAnsi="Times New Roman"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nsid w:val="6F2C3FAE"/>
    <w:multiLevelType w:val="hybridMultilevel"/>
    <w:tmpl w:val="90B621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88845AD"/>
    <w:multiLevelType w:val="hybridMultilevel"/>
    <w:tmpl w:val="7040BA24"/>
    <w:lvl w:ilvl="0" w:tplc="EAB0FCF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18"/>
  </w:num>
  <w:num w:numId="4">
    <w:abstractNumId w:val="6"/>
  </w:num>
  <w:num w:numId="5">
    <w:abstractNumId w:val="0"/>
  </w:num>
  <w:num w:numId="6">
    <w:abstractNumId w:val="5"/>
  </w:num>
  <w:num w:numId="7">
    <w:abstractNumId w:val="16"/>
  </w:num>
  <w:num w:numId="8">
    <w:abstractNumId w:val="3"/>
  </w:num>
  <w:num w:numId="9">
    <w:abstractNumId w:val="15"/>
  </w:num>
  <w:num w:numId="10">
    <w:abstractNumId w:val="9"/>
  </w:num>
  <w:num w:numId="11">
    <w:abstractNumId w:val="4"/>
  </w:num>
  <w:num w:numId="12">
    <w:abstractNumId w:val="7"/>
  </w:num>
  <w:num w:numId="13">
    <w:abstractNumId w:val="14"/>
  </w:num>
  <w:num w:numId="14">
    <w:abstractNumId w:val="13"/>
  </w:num>
  <w:num w:numId="15">
    <w:abstractNumId w:val="2"/>
  </w:num>
  <w:num w:numId="16">
    <w:abstractNumId w:val="8"/>
  </w:num>
  <w:num w:numId="17">
    <w:abstractNumId w:val="1"/>
  </w:num>
  <w:num w:numId="18">
    <w:abstractNumId w:val="1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50F"/>
    <w:rsid w:val="001142FD"/>
    <w:rsid w:val="00272CCB"/>
    <w:rsid w:val="0027773B"/>
    <w:rsid w:val="002864A9"/>
    <w:rsid w:val="002B6238"/>
    <w:rsid w:val="002C050F"/>
    <w:rsid w:val="003B4D10"/>
    <w:rsid w:val="006C7C8C"/>
    <w:rsid w:val="00777B2F"/>
    <w:rsid w:val="007A1254"/>
    <w:rsid w:val="007F00EC"/>
    <w:rsid w:val="00835865"/>
    <w:rsid w:val="00977705"/>
    <w:rsid w:val="009943B4"/>
    <w:rsid w:val="009A68E6"/>
    <w:rsid w:val="009C211F"/>
    <w:rsid w:val="00A472E1"/>
    <w:rsid w:val="00C00967"/>
    <w:rsid w:val="00DD4202"/>
    <w:rsid w:val="00E3786E"/>
    <w:rsid w:val="00E81FAD"/>
    <w:rsid w:val="00EC4C76"/>
    <w:rsid w:val="00F815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 w:type="paragraph" w:styleId="NormalWeb">
    <w:name w:val="Normal (Web)"/>
    <w:basedOn w:val="Normal"/>
    <w:uiPriority w:val="99"/>
    <w:unhideWhenUsed/>
    <w:rsid w:val="001142FD"/>
    <w:pPr>
      <w:spacing w:after="158"/>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 w:type="paragraph" w:styleId="NormalWeb">
    <w:name w:val="Normal (Web)"/>
    <w:basedOn w:val="Normal"/>
    <w:uiPriority w:val="99"/>
    <w:unhideWhenUsed/>
    <w:rsid w:val="001142FD"/>
    <w:pPr>
      <w:spacing w:after="15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2156</Words>
  <Characters>11863</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13992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6</cp:revision>
  <dcterms:created xsi:type="dcterms:W3CDTF">2020-09-24T13:39:00Z</dcterms:created>
  <dcterms:modified xsi:type="dcterms:W3CDTF">2020-09-29T12:17:00Z</dcterms:modified>
</cp:coreProperties>
</file>