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1142FD">
      <w:pPr>
        <w:jc w:val="both"/>
        <w:rPr>
          <w:b/>
          <w:sz w:val="24"/>
          <w:szCs w:val="24"/>
          <w:u w:val="single"/>
          <w:lang w:val="es-ES_tradnl"/>
        </w:rPr>
      </w:pPr>
      <w:r w:rsidRPr="0057774C">
        <w:rPr>
          <w:b/>
          <w:sz w:val="24"/>
          <w:szCs w:val="24"/>
          <w:u w:val="single"/>
          <w:lang w:val="es-ES_tradnl"/>
        </w:rPr>
        <w:t>DICTAMEN SOBRE EL PROYECTO DE DECRETO FORAL REGULADOR DEL REGISTRO VITÍCOLA DEL TERRITORIO HISTÓRICO DE ÁLAVA</w:t>
      </w:r>
    </w:p>
    <w:p w:rsidR="001142FD" w:rsidRPr="0057774C" w:rsidRDefault="001142FD" w:rsidP="001142FD">
      <w:pPr>
        <w:jc w:val="both"/>
        <w:rPr>
          <w:b/>
          <w:sz w:val="24"/>
          <w:szCs w:val="24"/>
          <w:u w:val="single"/>
          <w:lang w:val="es-ES_tradnl"/>
        </w:rPr>
      </w:pPr>
      <w:r>
        <w:rPr>
          <w:b/>
          <w:sz w:val="24"/>
          <w:szCs w:val="24"/>
          <w:u w:val="single"/>
          <w:lang w:val="es-ES_tradnl"/>
        </w:rPr>
        <w:t xml:space="preserve"> </w:t>
      </w:r>
      <w:proofErr w:type="gramStart"/>
      <w:r>
        <w:rPr>
          <w:b/>
          <w:sz w:val="24"/>
          <w:szCs w:val="24"/>
          <w:u w:val="single"/>
          <w:lang w:val="es-ES_tradnl"/>
        </w:rPr>
        <w:t>( Sesión</w:t>
      </w:r>
      <w:proofErr w:type="gramEnd"/>
      <w:r>
        <w:rPr>
          <w:b/>
          <w:sz w:val="24"/>
          <w:szCs w:val="24"/>
          <w:u w:val="single"/>
          <w:lang w:val="es-ES_tradnl"/>
        </w:rPr>
        <w:t xml:space="preserve"> Comisión consultiva 30 Julio 2020)</w:t>
      </w:r>
    </w:p>
    <w:p w:rsidR="001142FD" w:rsidRPr="0057774C" w:rsidRDefault="001142FD" w:rsidP="001142FD">
      <w:pPr>
        <w:jc w:val="center"/>
        <w:rPr>
          <w:b/>
          <w:sz w:val="24"/>
          <w:szCs w:val="24"/>
          <w:lang w:val="es-ES_tradnl"/>
        </w:rPr>
      </w:pPr>
    </w:p>
    <w:p w:rsidR="001142FD" w:rsidRDefault="001142FD" w:rsidP="001142FD">
      <w:pPr>
        <w:jc w:val="both"/>
        <w:rPr>
          <w:b/>
          <w:sz w:val="24"/>
          <w:szCs w:val="24"/>
        </w:rPr>
      </w:pPr>
      <w:r w:rsidRPr="0057774C">
        <w:rPr>
          <w:b/>
          <w:sz w:val="24"/>
          <w:szCs w:val="24"/>
        </w:rPr>
        <w:t>PETICIÓN DE DICTAMEN. ENVIO DE DOCUMENTACIÓN</w:t>
      </w:r>
    </w:p>
    <w:p w:rsidR="001142FD" w:rsidRPr="0057774C" w:rsidRDefault="001142FD" w:rsidP="001142FD">
      <w:pPr>
        <w:jc w:val="both"/>
        <w:rPr>
          <w:b/>
          <w:sz w:val="24"/>
          <w:szCs w:val="24"/>
          <w:lang w:val="es-ES_tradnl"/>
        </w:rPr>
      </w:pPr>
    </w:p>
    <w:p w:rsidR="001142FD" w:rsidRDefault="001142FD" w:rsidP="001142FD">
      <w:pPr>
        <w:jc w:val="both"/>
        <w:rPr>
          <w:sz w:val="24"/>
          <w:szCs w:val="24"/>
        </w:rPr>
      </w:pPr>
      <w:r w:rsidRPr="0057774C">
        <w:rPr>
          <w:sz w:val="24"/>
          <w:szCs w:val="24"/>
          <w:lang w:val="es-ES_tradnl"/>
        </w:rPr>
        <w:t xml:space="preserve">La Directora de Agricultura ha remitido el proyecto de Decreto Foral que establece la normativa reguladora del Registro Vitícola del Territorio Histórico de Álava, a fin de por esta Comisión Consultiva se emita el preceptivo dictamen, </w:t>
      </w:r>
      <w:r w:rsidRPr="0057774C">
        <w:rPr>
          <w:sz w:val="24"/>
          <w:szCs w:val="24"/>
        </w:rPr>
        <w:t>para lo cual aportan copia del expediente del citado contrato, y dentro del cual se encuentran los siguientes documentos:</w:t>
      </w:r>
    </w:p>
    <w:p w:rsidR="001142FD" w:rsidRPr="0057774C" w:rsidRDefault="001142FD" w:rsidP="001142FD">
      <w:pPr>
        <w:jc w:val="both"/>
        <w:rPr>
          <w:sz w:val="24"/>
          <w:szCs w:val="24"/>
        </w:rPr>
      </w:pP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Informe propuesta del Jefe del Servicio de Viticultura y Enología de aprobación del decreto foral regulador del registro Vitícola del THA</w:t>
      </w: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Orden Foral del Diputado de Agricultura núm. 54/2020, de 13 de febrero, que da inicio al procedimiento de elaboración del proyecto de decreto foral por el que se establece la normativa reguladora del Registro Vitícola del THA</w:t>
      </w: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Documentación acreditativa de publicación del trámite de consulta pública previa</w:t>
      </w: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 xml:space="preserve"> Orden Foral del Diputado de Agricultura núm. 74/2020, de 26 de febrero, por el que se aprueba previamente el proyecto de decreto foral por el que se establece la normativa reguladora del Registro Vitícola del THA</w:t>
      </w:r>
    </w:p>
    <w:p w:rsidR="001142FD" w:rsidRPr="0057774C" w:rsidRDefault="001142FD" w:rsidP="001142FD">
      <w:pPr>
        <w:pStyle w:val="Prrafodelista"/>
        <w:numPr>
          <w:ilvl w:val="0"/>
          <w:numId w:val="5"/>
        </w:numPr>
        <w:rPr>
          <w:rFonts w:ascii="Times New Roman" w:hAnsi="Times New Roman"/>
          <w:sz w:val="24"/>
          <w:szCs w:val="24"/>
        </w:rPr>
      </w:pPr>
      <w:r w:rsidRPr="0057774C">
        <w:rPr>
          <w:rFonts w:ascii="Times New Roman" w:hAnsi="Times New Roman"/>
          <w:sz w:val="24"/>
          <w:szCs w:val="24"/>
        </w:rPr>
        <w:t>Proyecto de decreto foral por el que se establece la normativa reguladora del Registro Vitícola del THA</w:t>
      </w: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Documentación acreditativa de cumplimentación del trámite de audiencia e información pública del proyecto de decreto foral</w:t>
      </w: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Memoria sobre los resultados del trámite de audiencia e información pública</w:t>
      </w: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Informe de impacto de género sobre el proyecto, elaborado por la Jefa de la Secretaría Técnica de Agricultura</w:t>
      </w: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Informe de observaciones sobre el anterior informe emitido por el Servicio de Igualdad</w:t>
      </w:r>
    </w:p>
    <w:p w:rsidR="001142FD" w:rsidRPr="0057774C" w:rsidRDefault="001142FD" w:rsidP="001142FD">
      <w:pPr>
        <w:pStyle w:val="Prrafodelista"/>
        <w:numPr>
          <w:ilvl w:val="0"/>
          <w:numId w:val="5"/>
        </w:numPr>
        <w:jc w:val="both"/>
        <w:rPr>
          <w:rFonts w:ascii="Times New Roman" w:hAnsi="Times New Roman"/>
          <w:sz w:val="24"/>
          <w:szCs w:val="24"/>
        </w:rPr>
      </w:pPr>
      <w:r w:rsidRPr="0057774C">
        <w:rPr>
          <w:rFonts w:ascii="Times New Roman" w:hAnsi="Times New Roman"/>
          <w:sz w:val="24"/>
          <w:szCs w:val="24"/>
        </w:rPr>
        <w:t>Informe de impacto normativo del proyecto de  decreto foral por el que se establece la normativa reguladora del Registro Vitícola del THA</w:t>
      </w:r>
    </w:p>
    <w:p w:rsidR="001142FD" w:rsidRPr="00E95F26" w:rsidRDefault="001142FD" w:rsidP="001142FD">
      <w:pPr>
        <w:pStyle w:val="Prrafodelista"/>
        <w:numPr>
          <w:ilvl w:val="0"/>
          <w:numId w:val="5"/>
        </w:numPr>
        <w:jc w:val="both"/>
        <w:rPr>
          <w:rFonts w:ascii="Times New Roman" w:hAnsi="Times New Roman"/>
          <w:b/>
          <w:sz w:val="24"/>
          <w:szCs w:val="24"/>
        </w:rPr>
      </w:pPr>
      <w:r w:rsidRPr="0057774C">
        <w:rPr>
          <w:rFonts w:ascii="Times New Roman" w:hAnsi="Times New Roman"/>
          <w:sz w:val="24"/>
          <w:szCs w:val="24"/>
        </w:rPr>
        <w:t>Propuesta de Decreto Foral que aprueba la normativa reguladora del Registro Vitícola del THA.</w:t>
      </w:r>
    </w:p>
    <w:p w:rsidR="001142FD" w:rsidRDefault="001142FD" w:rsidP="001142FD">
      <w:pPr>
        <w:pStyle w:val="Prrafodelista"/>
        <w:jc w:val="both"/>
        <w:rPr>
          <w:rFonts w:ascii="Times New Roman" w:hAnsi="Times New Roman"/>
          <w:sz w:val="24"/>
          <w:szCs w:val="24"/>
        </w:rPr>
      </w:pPr>
    </w:p>
    <w:p w:rsidR="001142FD" w:rsidRDefault="001142FD" w:rsidP="001142FD">
      <w:pPr>
        <w:pStyle w:val="Prrafodelista"/>
        <w:jc w:val="both"/>
        <w:rPr>
          <w:rFonts w:ascii="Times New Roman" w:hAnsi="Times New Roman"/>
          <w:sz w:val="24"/>
          <w:szCs w:val="24"/>
        </w:rPr>
      </w:pPr>
    </w:p>
    <w:p w:rsidR="001142FD" w:rsidRDefault="001142FD" w:rsidP="001142FD">
      <w:pPr>
        <w:pStyle w:val="Prrafodelista"/>
        <w:jc w:val="both"/>
        <w:rPr>
          <w:rFonts w:ascii="Times New Roman" w:hAnsi="Times New Roman"/>
          <w:sz w:val="24"/>
          <w:szCs w:val="24"/>
        </w:rPr>
      </w:pPr>
    </w:p>
    <w:p w:rsidR="001142FD" w:rsidRDefault="001142FD" w:rsidP="001142FD">
      <w:pPr>
        <w:pStyle w:val="Prrafodelista"/>
        <w:jc w:val="both"/>
        <w:rPr>
          <w:rFonts w:ascii="Times New Roman" w:hAnsi="Times New Roman"/>
          <w:b/>
          <w:sz w:val="24"/>
          <w:szCs w:val="24"/>
        </w:rPr>
      </w:pPr>
    </w:p>
    <w:p w:rsidR="001142FD" w:rsidRDefault="001142FD" w:rsidP="001142FD">
      <w:pPr>
        <w:pStyle w:val="Prrafodelista"/>
        <w:jc w:val="both"/>
        <w:rPr>
          <w:rFonts w:ascii="Times New Roman" w:hAnsi="Times New Roman"/>
          <w:b/>
          <w:sz w:val="24"/>
          <w:szCs w:val="24"/>
        </w:rPr>
      </w:pPr>
    </w:p>
    <w:p w:rsidR="001142FD" w:rsidRDefault="001142FD" w:rsidP="001142FD">
      <w:pPr>
        <w:pStyle w:val="Prrafodelista"/>
        <w:jc w:val="both"/>
        <w:rPr>
          <w:rFonts w:ascii="Times New Roman" w:hAnsi="Times New Roman"/>
          <w:b/>
          <w:sz w:val="24"/>
          <w:szCs w:val="24"/>
        </w:rPr>
      </w:pPr>
    </w:p>
    <w:p w:rsidR="001142FD" w:rsidRDefault="001142FD" w:rsidP="001142FD">
      <w:pPr>
        <w:pStyle w:val="Prrafodelista"/>
        <w:jc w:val="both"/>
        <w:rPr>
          <w:rFonts w:ascii="Times New Roman" w:hAnsi="Times New Roman"/>
          <w:b/>
          <w:sz w:val="24"/>
          <w:szCs w:val="24"/>
        </w:rPr>
      </w:pPr>
    </w:p>
    <w:p w:rsidR="001142FD" w:rsidRDefault="001142FD" w:rsidP="001142FD">
      <w:pPr>
        <w:pStyle w:val="Prrafodelista"/>
        <w:jc w:val="both"/>
        <w:rPr>
          <w:rFonts w:ascii="Times New Roman" w:hAnsi="Times New Roman"/>
          <w:b/>
          <w:sz w:val="24"/>
          <w:szCs w:val="24"/>
        </w:rPr>
      </w:pPr>
    </w:p>
    <w:p w:rsidR="001142FD" w:rsidRDefault="001142FD" w:rsidP="001142FD">
      <w:pPr>
        <w:pStyle w:val="Prrafodelista"/>
        <w:jc w:val="both"/>
        <w:rPr>
          <w:rFonts w:ascii="Times New Roman" w:hAnsi="Times New Roman"/>
          <w:b/>
          <w:sz w:val="24"/>
          <w:szCs w:val="24"/>
        </w:rPr>
      </w:pPr>
    </w:p>
    <w:p w:rsidR="001142FD" w:rsidRPr="0057774C" w:rsidRDefault="001142FD" w:rsidP="001142FD">
      <w:pPr>
        <w:pStyle w:val="Prrafodelista"/>
        <w:jc w:val="both"/>
        <w:rPr>
          <w:rFonts w:ascii="Times New Roman" w:hAnsi="Times New Roman"/>
          <w:b/>
          <w:sz w:val="24"/>
          <w:szCs w:val="24"/>
        </w:rPr>
      </w:pPr>
    </w:p>
    <w:p w:rsidR="001142FD" w:rsidRPr="0057774C" w:rsidRDefault="001142FD" w:rsidP="001142FD">
      <w:pPr>
        <w:jc w:val="both"/>
        <w:rPr>
          <w:b/>
          <w:sz w:val="24"/>
          <w:szCs w:val="24"/>
        </w:rPr>
      </w:pPr>
    </w:p>
    <w:p w:rsidR="001142FD" w:rsidRDefault="001142FD" w:rsidP="001142FD">
      <w:pPr>
        <w:jc w:val="both"/>
        <w:rPr>
          <w:b/>
          <w:sz w:val="24"/>
          <w:szCs w:val="24"/>
        </w:rPr>
      </w:pPr>
      <w:r w:rsidRPr="0057774C">
        <w:rPr>
          <w:b/>
          <w:sz w:val="24"/>
          <w:szCs w:val="24"/>
        </w:rPr>
        <w:t>CONSIDERACIONES JURÍDICAS</w:t>
      </w:r>
    </w:p>
    <w:p w:rsidR="001142FD" w:rsidRPr="0057774C" w:rsidRDefault="001142FD" w:rsidP="001142FD">
      <w:pPr>
        <w:jc w:val="both"/>
        <w:rPr>
          <w:b/>
          <w:sz w:val="24"/>
          <w:szCs w:val="24"/>
        </w:rPr>
      </w:pPr>
    </w:p>
    <w:p w:rsidR="001142FD" w:rsidRPr="0057774C" w:rsidRDefault="001142FD" w:rsidP="001142FD">
      <w:pPr>
        <w:jc w:val="both"/>
        <w:rPr>
          <w:b/>
          <w:sz w:val="24"/>
          <w:szCs w:val="24"/>
          <w:lang w:val="es-ES_tradnl"/>
        </w:rPr>
      </w:pPr>
      <w:r w:rsidRPr="0057774C">
        <w:rPr>
          <w:b/>
          <w:sz w:val="24"/>
          <w:szCs w:val="24"/>
          <w:u w:val="single"/>
          <w:lang w:val="es-ES_tradnl"/>
        </w:rPr>
        <w:t>PRIMERA.- Competencia de la Comisión Consultiva.</w:t>
      </w:r>
    </w:p>
    <w:p w:rsidR="001142FD" w:rsidRPr="0057774C" w:rsidRDefault="001142FD" w:rsidP="001142FD">
      <w:pPr>
        <w:jc w:val="both"/>
        <w:rPr>
          <w:i/>
          <w:sz w:val="24"/>
          <w:szCs w:val="24"/>
          <w:lang w:val="es-ES_tradnl"/>
        </w:rPr>
      </w:pPr>
      <w:r w:rsidRPr="0057774C">
        <w:rPr>
          <w:sz w:val="24"/>
          <w:szCs w:val="24"/>
          <w:lang w:val="es-ES_tradnl"/>
        </w:rPr>
        <w:t>La competencia de la Comisión Consultiva para emitir el presente dictamen resulta del art. 3.1.b) de su Reglamento Orgánico, aprobado por Decreto Foral 40/1999, del Consejo de Gobierno Foral de 30 marzo, que somete al dictamen preceptivo y no vinculante de esta Comisión «</w:t>
      </w:r>
      <w:r w:rsidRPr="0057774C">
        <w:rPr>
          <w:i/>
          <w:sz w:val="24"/>
          <w:szCs w:val="24"/>
          <w:lang w:val="es-ES_tradnl"/>
        </w:rPr>
        <w:t>los proyectos de disposiciones reglamentarias que se dicten en ejecución de las Normas Forales que regulen materias de la competencia exclusiva del Territorio Histórico o en ejecución de las Leyes de la Comunidad Autónoma en aquellas materias en que compete al Territorio Histórico el desarrollo reglamentario de las mismas».</w:t>
      </w:r>
    </w:p>
    <w:p w:rsidR="001142FD" w:rsidRPr="0057774C" w:rsidRDefault="001142FD" w:rsidP="001142FD">
      <w:pPr>
        <w:jc w:val="both"/>
        <w:rPr>
          <w:sz w:val="24"/>
          <w:szCs w:val="24"/>
          <w:lang w:val="es-ES_tradnl"/>
        </w:rPr>
      </w:pPr>
    </w:p>
    <w:p w:rsidR="001142FD" w:rsidRPr="0057774C" w:rsidRDefault="001142FD" w:rsidP="001142FD">
      <w:pPr>
        <w:jc w:val="both"/>
        <w:rPr>
          <w:sz w:val="24"/>
          <w:szCs w:val="24"/>
          <w:lang w:val="es-ES_tradnl"/>
        </w:rPr>
      </w:pPr>
      <w:r w:rsidRPr="0057774C">
        <w:rPr>
          <w:b/>
          <w:bCs/>
          <w:sz w:val="24"/>
          <w:szCs w:val="24"/>
          <w:u w:val="single"/>
          <w:lang w:val="es-ES_tradnl"/>
        </w:rPr>
        <w:t>SEGUNDA.- Aspectos formales de la norma en proyecto.</w:t>
      </w:r>
    </w:p>
    <w:p w:rsidR="001142FD" w:rsidRPr="0057774C" w:rsidRDefault="001142FD" w:rsidP="001142FD">
      <w:pPr>
        <w:pStyle w:val="Prrafodelista"/>
        <w:numPr>
          <w:ilvl w:val="0"/>
          <w:numId w:val="6"/>
        </w:numPr>
        <w:spacing w:before="120" w:after="240"/>
        <w:jc w:val="both"/>
        <w:rPr>
          <w:rFonts w:ascii="Times New Roman" w:eastAsia="Times New Roman" w:hAnsi="Times New Roman"/>
          <w:b/>
          <w:color w:val="000000"/>
          <w:sz w:val="24"/>
          <w:szCs w:val="24"/>
          <w:lang w:val="es-ES_tradnl" w:eastAsia="es-ES"/>
        </w:rPr>
      </w:pPr>
      <w:r w:rsidRPr="0057774C">
        <w:rPr>
          <w:rFonts w:ascii="Times New Roman" w:eastAsia="Times New Roman" w:hAnsi="Times New Roman"/>
          <w:b/>
          <w:color w:val="000000"/>
          <w:sz w:val="24"/>
          <w:szCs w:val="24"/>
          <w:lang w:val="es-ES_tradnl" w:eastAsia="es-ES"/>
        </w:rPr>
        <w:t>Competencia orgánica.</w:t>
      </w:r>
    </w:p>
    <w:p w:rsidR="001142FD" w:rsidRPr="0057774C" w:rsidRDefault="001142FD" w:rsidP="001142FD">
      <w:pPr>
        <w:pStyle w:val="Prrafodelista"/>
        <w:spacing w:before="120" w:after="240"/>
        <w:ind w:left="0"/>
        <w:jc w:val="both"/>
        <w:rPr>
          <w:rFonts w:ascii="Times New Roman" w:eastAsia="Times New Roman" w:hAnsi="Times New Roman"/>
          <w:color w:val="000000"/>
          <w:sz w:val="24"/>
          <w:szCs w:val="24"/>
          <w:lang w:eastAsia="es-ES"/>
        </w:rPr>
      </w:pPr>
      <w:r w:rsidRPr="0057774C">
        <w:rPr>
          <w:rFonts w:ascii="Times New Roman" w:eastAsia="Times New Roman" w:hAnsi="Times New Roman"/>
          <w:color w:val="000000"/>
          <w:sz w:val="24"/>
          <w:szCs w:val="24"/>
          <w:lang w:val="es-ES_tradnl" w:eastAsia="es-ES"/>
        </w:rPr>
        <w:t>El proyecto objeto del presente dictamen propone la aprobación</w:t>
      </w:r>
      <w:r w:rsidRPr="0057774C">
        <w:rPr>
          <w:rFonts w:ascii="Times New Roman" w:eastAsia="Times New Roman" w:hAnsi="Times New Roman"/>
          <w:color w:val="000000"/>
          <w:sz w:val="24"/>
          <w:szCs w:val="24"/>
          <w:lang w:eastAsia="es-ES"/>
        </w:rPr>
        <w:t>de decreto foral por el que se establece la normativa reguladora del Registro Vitícola del THA. Se trata de una disposición reglamentaria de ejecución de una Ley de la CAPV que regula el registro vitícola en el THA.</w:t>
      </w:r>
    </w:p>
    <w:p w:rsidR="001142FD" w:rsidRPr="0057774C" w:rsidRDefault="001142FD" w:rsidP="001142FD">
      <w:pPr>
        <w:tabs>
          <w:tab w:val="left" w:pos="426"/>
        </w:tabs>
        <w:spacing w:before="240" w:after="120"/>
        <w:jc w:val="both"/>
        <w:rPr>
          <w:i/>
          <w:sz w:val="24"/>
          <w:szCs w:val="24"/>
        </w:rPr>
      </w:pPr>
      <w:r w:rsidRPr="0057774C">
        <w:rPr>
          <w:sz w:val="24"/>
          <w:szCs w:val="24"/>
        </w:rPr>
        <w:t>La Ley Orgánica 3/1979, de 18 de diciembre, del Estatuto de Autonomía para el País Vasco, señala en su artículo 10.10 que "</w:t>
      </w:r>
      <w:r w:rsidRPr="0057774C">
        <w:rPr>
          <w:i/>
          <w:sz w:val="24"/>
          <w:szCs w:val="24"/>
        </w:rPr>
        <w:t>La Comunidad Autónoma del País Vasco tiene competencia exclusiva en las siguientes materias: ... 9. Agricultura y Ganadería, de acuerdo con la ordenación general de la economía".</w:t>
      </w:r>
    </w:p>
    <w:p w:rsidR="001142FD" w:rsidRPr="0057774C" w:rsidRDefault="001142FD" w:rsidP="001142FD">
      <w:pPr>
        <w:tabs>
          <w:tab w:val="left" w:pos="426"/>
        </w:tabs>
        <w:spacing w:before="240" w:after="120"/>
        <w:jc w:val="both"/>
        <w:rPr>
          <w:sz w:val="24"/>
          <w:szCs w:val="24"/>
        </w:rPr>
      </w:pPr>
      <w:r w:rsidRPr="0057774C">
        <w:rPr>
          <w:sz w:val="24"/>
          <w:szCs w:val="24"/>
        </w:rPr>
        <w:t>La Ley 27/1983, de 25 de noviembre, de relaciones entre las instituciones comunes de la Comunidad Autónoma y los órganos forales de sus territorios históricos, establece en su artículo 7.b que "</w:t>
      </w:r>
      <w:r w:rsidRPr="0057774C">
        <w:rPr>
          <w:i/>
          <w:sz w:val="24"/>
          <w:szCs w:val="24"/>
        </w:rPr>
        <w:t xml:space="preserve">Corresponde a los Territorios Históricos el desarrollo y la ejecución de las normas emanadas de las Instituciones Comunes en las siguientes materias:1.1/…/ </w:t>
      </w:r>
      <w:r w:rsidRPr="0057774C">
        <w:rPr>
          <w:b/>
          <w:i/>
          <w:sz w:val="24"/>
          <w:szCs w:val="24"/>
        </w:rPr>
        <w:t>viticultura  y enología</w:t>
      </w:r>
      <w:r w:rsidRPr="0057774C">
        <w:rPr>
          <w:i/>
          <w:sz w:val="24"/>
          <w:szCs w:val="24"/>
        </w:rPr>
        <w:t xml:space="preserve">.” </w:t>
      </w:r>
      <w:r w:rsidRPr="0057774C">
        <w:rPr>
          <w:sz w:val="24"/>
          <w:szCs w:val="24"/>
        </w:rPr>
        <w:t>Esta misma Ley atribuye a los territorios históricos, en las materias en que les corresponde el “</w:t>
      </w:r>
      <w:r w:rsidRPr="0057774C">
        <w:rPr>
          <w:i/>
          <w:sz w:val="24"/>
          <w:szCs w:val="24"/>
        </w:rPr>
        <w:t>desarrollo normativo y la ejecución</w:t>
      </w:r>
      <w:r w:rsidRPr="0057774C">
        <w:rPr>
          <w:sz w:val="24"/>
          <w:szCs w:val="24"/>
        </w:rPr>
        <w:t xml:space="preserve">”, las siguientes potestades: </w:t>
      </w:r>
    </w:p>
    <w:p w:rsidR="001142FD" w:rsidRPr="0057774C" w:rsidRDefault="001142FD" w:rsidP="001142FD">
      <w:pPr>
        <w:tabs>
          <w:tab w:val="left" w:pos="426"/>
        </w:tabs>
        <w:jc w:val="both"/>
        <w:rPr>
          <w:i/>
          <w:sz w:val="24"/>
          <w:szCs w:val="24"/>
        </w:rPr>
      </w:pPr>
      <w:r w:rsidRPr="0057774C">
        <w:rPr>
          <w:i/>
          <w:sz w:val="24"/>
          <w:szCs w:val="24"/>
        </w:rPr>
        <w:t>“a) De desarrollo normativo/…/</w:t>
      </w:r>
    </w:p>
    <w:p w:rsidR="001142FD" w:rsidRPr="0057774C" w:rsidRDefault="001142FD" w:rsidP="001142FD">
      <w:pPr>
        <w:pStyle w:val="Prrafodelista"/>
        <w:numPr>
          <w:ilvl w:val="0"/>
          <w:numId w:val="6"/>
        </w:numPr>
        <w:tabs>
          <w:tab w:val="left" w:pos="426"/>
        </w:tabs>
        <w:spacing w:after="0"/>
        <w:jc w:val="both"/>
        <w:rPr>
          <w:rFonts w:ascii="Times New Roman" w:eastAsia="Times New Roman" w:hAnsi="Times New Roman"/>
          <w:i/>
          <w:sz w:val="24"/>
          <w:szCs w:val="24"/>
          <w:lang w:eastAsia="es-ES"/>
        </w:rPr>
      </w:pPr>
      <w:r w:rsidRPr="0057774C">
        <w:rPr>
          <w:rFonts w:ascii="Times New Roman" w:eastAsia="Times New Roman" w:hAnsi="Times New Roman"/>
          <w:i/>
          <w:sz w:val="24"/>
          <w:szCs w:val="24"/>
          <w:lang w:eastAsia="es-ES"/>
        </w:rPr>
        <w:t>Reglamentaria</w:t>
      </w:r>
    </w:p>
    <w:p w:rsidR="001142FD" w:rsidRPr="0057774C" w:rsidRDefault="001142FD" w:rsidP="001142FD">
      <w:pPr>
        <w:pStyle w:val="Prrafodelista"/>
        <w:numPr>
          <w:ilvl w:val="0"/>
          <w:numId w:val="6"/>
        </w:numPr>
        <w:tabs>
          <w:tab w:val="left" w:pos="426"/>
        </w:tabs>
        <w:spacing w:after="0"/>
        <w:jc w:val="both"/>
        <w:rPr>
          <w:rFonts w:ascii="Times New Roman" w:eastAsia="Times New Roman" w:hAnsi="Times New Roman"/>
          <w:i/>
          <w:sz w:val="24"/>
          <w:szCs w:val="24"/>
          <w:lang w:eastAsia="es-ES"/>
        </w:rPr>
      </w:pPr>
      <w:r w:rsidRPr="0057774C">
        <w:rPr>
          <w:rFonts w:ascii="Times New Roman" w:eastAsia="Times New Roman" w:hAnsi="Times New Roman"/>
          <w:i/>
          <w:sz w:val="24"/>
          <w:szCs w:val="24"/>
          <w:lang w:eastAsia="es-ES"/>
        </w:rPr>
        <w:t>Administrativa, incluida la inspección.”</w:t>
      </w:r>
    </w:p>
    <w:p w:rsidR="001142FD" w:rsidRDefault="001142FD" w:rsidP="001142FD">
      <w:pPr>
        <w:tabs>
          <w:tab w:val="left" w:pos="426"/>
        </w:tabs>
        <w:jc w:val="both"/>
        <w:rPr>
          <w:sz w:val="24"/>
          <w:szCs w:val="24"/>
        </w:rPr>
      </w:pPr>
      <w:r w:rsidRPr="0057774C">
        <w:rPr>
          <w:sz w:val="24"/>
          <w:szCs w:val="24"/>
        </w:rPr>
        <w:t>En este sentido, el art. 7.2 de la NF 52/92, de 18 de diciembre, de Organización, Funcionamiento y Régimen Jurídico de la DFA, indica que “</w:t>
      </w:r>
      <w:r w:rsidRPr="0057774C">
        <w:rPr>
          <w:i/>
          <w:sz w:val="24"/>
          <w:szCs w:val="24"/>
        </w:rPr>
        <w:t xml:space="preserve">en el ejercicio de la potestad reglamentaria corresponde al Consejo de Diputados/…/ aprobar, mediante Decretos Forales, Reglamentos de ejecución y desarrollo de /…/ las Leyes del Estado y de la Comunidad Autónoma cuando no se trate de Leyes de bases o marco, o cuando la potestad reglamentaria se haya atribuido expresamente a la Diputación Foral…” </w:t>
      </w:r>
      <w:r w:rsidRPr="0057774C">
        <w:rPr>
          <w:sz w:val="24"/>
          <w:szCs w:val="24"/>
        </w:rPr>
        <w:t>Este es el caso del proyecto de decreto foral que aquí se examina y, por tanto, la competencia para su aprobación corresponde al Consejo de Gobierno de la DFA.</w:t>
      </w:r>
    </w:p>
    <w:p w:rsidR="001142FD" w:rsidRDefault="001142FD" w:rsidP="001142FD">
      <w:pPr>
        <w:tabs>
          <w:tab w:val="left" w:pos="426"/>
        </w:tabs>
        <w:jc w:val="both"/>
        <w:rPr>
          <w:sz w:val="24"/>
          <w:szCs w:val="24"/>
        </w:rPr>
      </w:pPr>
    </w:p>
    <w:p w:rsidR="001142FD" w:rsidRPr="0057774C" w:rsidRDefault="001142FD" w:rsidP="001142FD">
      <w:pPr>
        <w:tabs>
          <w:tab w:val="left" w:pos="426"/>
        </w:tabs>
        <w:jc w:val="both"/>
        <w:rPr>
          <w:sz w:val="24"/>
          <w:szCs w:val="24"/>
        </w:rPr>
      </w:pPr>
    </w:p>
    <w:p w:rsidR="001142FD" w:rsidRDefault="001142FD" w:rsidP="001142FD">
      <w:pPr>
        <w:pStyle w:val="Prrafodelista"/>
        <w:spacing w:before="120" w:after="240"/>
        <w:ind w:left="0"/>
        <w:jc w:val="both"/>
        <w:rPr>
          <w:rFonts w:ascii="Times New Roman" w:eastAsia="Times New Roman" w:hAnsi="Times New Roman"/>
          <w:color w:val="000000"/>
          <w:sz w:val="24"/>
          <w:szCs w:val="24"/>
          <w:lang w:eastAsia="es-ES"/>
        </w:rPr>
      </w:pPr>
    </w:p>
    <w:p w:rsidR="001142FD" w:rsidRDefault="001142FD" w:rsidP="001142FD">
      <w:pPr>
        <w:pStyle w:val="Prrafodelista"/>
        <w:spacing w:before="120" w:after="240"/>
        <w:ind w:left="0"/>
        <w:jc w:val="both"/>
        <w:rPr>
          <w:rFonts w:ascii="Times New Roman" w:eastAsia="Times New Roman" w:hAnsi="Times New Roman"/>
          <w:color w:val="000000"/>
          <w:sz w:val="24"/>
          <w:szCs w:val="24"/>
          <w:lang w:eastAsia="es-ES"/>
        </w:rPr>
      </w:pPr>
    </w:p>
    <w:p w:rsidR="001142FD" w:rsidRDefault="001142FD" w:rsidP="001142FD">
      <w:pPr>
        <w:pStyle w:val="Prrafodelista"/>
        <w:spacing w:before="120" w:after="240"/>
        <w:ind w:left="0"/>
        <w:jc w:val="both"/>
        <w:rPr>
          <w:rFonts w:ascii="Times New Roman" w:eastAsia="Times New Roman" w:hAnsi="Times New Roman"/>
          <w:color w:val="000000"/>
          <w:sz w:val="24"/>
          <w:szCs w:val="24"/>
          <w:lang w:eastAsia="es-ES"/>
        </w:rPr>
      </w:pPr>
    </w:p>
    <w:p w:rsidR="001142FD" w:rsidRPr="0057774C" w:rsidRDefault="001142FD" w:rsidP="001142FD">
      <w:pPr>
        <w:pStyle w:val="Prrafodelista"/>
        <w:spacing w:before="120" w:after="240"/>
        <w:ind w:left="0"/>
        <w:jc w:val="both"/>
        <w:rPr>
          <w:rFonts w:ascii="Times New Roman" w:eastAsia="Times New Roman" w:hAnsi="Times New Roman"/>
          <w:color w:val="000000"/>
          <w:sz w:val="24"/>
          <w:szCs w:val="24"/>
          <w:lang w:eastAsia="es-ES"/>
        </w:rPr>
      </w:pPr>
    </w:p>
    <w:p w:rsidR="001142FD" w:rsidRPr="0057774C" w:rsidRDefault="001142FD" w:rsidP="001142FD">
      <w:pPr>
        <w:pStyle w:val="Prrafodelista"/>
        <w:numPr>
          <w:ilvl w:val="0"/>
          <w:numId w:val="6"/>
        </w:numPr>
        <w:spacing w:before="120" w:after="240" w:line="360" w:lineRule="auto"/>
        <w:ind w:left="709" w:hanging="709"/>
        <w:jc w:val="both"/>
        <w:rPr>
          <w:rFonts w:ascii="Times New Roman" w:eastAsia="Times New Roman" w:hAnsi="Times New Roman"/>
          <w:b/>
          <w:bCs/>
          <w:color w:val="000000"/>
          <w:sz w:val="24"/>
          <w:szCs w:val="24"/>
          <w:lang w:val="es-ES_tradnl" w:eastAsia="es-ES"/>
        </w:rPr>
      </w:pPr>
      <w:r w:rsidRPr="0057774C">
        <w:rPr>
          <w:rFonts w:ascii="Times New Roman" w:eastAsia="Times New Roman" w:hAnsi="Times New Roman"/>
          <w:b/>
          <w:bCs/>
          <w:color w:val="000000"/>
          <w:sz w:val="24"/>
          <w:szCs w:val="24"/>
          <w:lang w:val="es-ES_tradnl" w:eastAsia="es-ES"/>
        </w:rPr>
        <w:t xml:space="preserve">Principios de buena regulación. </w:t>
      </w:r>
    </w:p>
    <w:p w:rsidR="001142FD" w:rsidRPr="0057774C" w:rsidRDefault="001142FD" w:rsidP="001142FD">
      <w:pPr>
        <w:pStyle w:val="Prrafodelista"/>
        <w:spacing w:before="120" w:after="240"/>
        <w:ind w:left="0"/>
        <w:jc w:val="both"/>
        <w:rPr>
          <w:rFonts w:ascii="Times New Roman" w:eastAsia="Times New Roman" w:hAnsi="Times New Roman"/>
          <w:color w:val="000000"/>
          <w:sz w:val="24"/>
          <w:szCs w:val="24"/>
          <w:lang w:val="es-ES_tradnl" w:eastAsia="es-ES"/>
        </w:rPr>
      </w:pPr>
      <w:r w:rsidRPr="0057774C">
        <w:rPr>
          <w:rFonts w:ascii="Times New Roman" w:eastAsia="Times New Roman" w:hAnsi="Times New Roman"/>
          <w:color w:val="000000"/>
          <w:sz w:val="24"/>
          <w:szCs w:val="24"/>
          <w:lang w:val="es-ES_tradnl" w:eastAsia="es-ES"/>
        </w:rPr>
        <w:t>Establece el art. 129 de la Ley 39/2015, de 1 de octubre, de Procedimiento Administrativo Común de las Administraciones Públicas (LPAC), que</w:t>
      </w:r>
    </w:p>
    <w:p w:rsidR="001142FD" w:rsidRPr="0057774C" w:rsidRDefault="001142FD" w:rsidP="001142FD">
      <w:pPr>
        <w:spacing w:before="120" w:after="240" w:line="360" w:lineRule="auto"/>
        <w:ind w:left="567"/>
        <w:jc w:val="both"/>
        <w:rPr>
          <w:color w:val="000000"/>
          <w:sz w:val="24"/>
          <w:szCs w:val="24"/>
          <w:lang w:val="es-ES_tradnl"/>
        </w:rPr>
      </w:pPr>
      <w:r w:rsidRPr="0057774C">
        <w:rPr>
          <w:i/>
          <w:color w:val="000000"/>
          <w:sz w:val="24"/>
          <w:szCs w:val="24"/>
          <w:shd w:val="clear" w:color="auto" w:fill="FFFFFF"/>
          <w:lang w:val="es-ES_tradnl"/>
        </w:rPr>
        <w:t>“En el ejercicio de la iniciativa legislativa y la potestad reglamentaria, las Administraciones Públicas actuarán de acuerdo con los principios de necesidad, eficacia, proporcionalidad, seguridad jurídica, transparencia, y eficiencia. En la exposición de motivos o en el preámbulo, según se trate, respectivamente, de anteproyectos de ley o de proyectos de reglamento, quedará suficientemente justificada su adecuación a dichos principios.”</w:t>
      </w:r>
    </w:p>
    <w:p w:rsidR="001142FD" w:rsidRPr="0057774C" w:rsidRDefault="001142FD" w:rsidP="001142FD">
      <w:pPr>
        <w:autoSpaceDE w:val="0"/>
        <w:autoSpaceDN w:val="0"/>
        <w:adjustRightInd w:val="0"/>
        <w:spacing w:before="120" w:after="240"/>
        <w:jc w:val="both"/>
        <w:rPr>
          <w:color w:val="000000"/>
          <w:sz w:val="24"/>
          <w:szCs w:val="24"/>
          <w:lang w:val="es-ES_tradnl"/>
        </w:rPr>
      </w:pPr>
      <w:r w:rsidRPr="0057774C">
        <w:rPr>
          <w:color w:val="000000"/>
          <w:sz w:val="24"/>
          <w:szCs w:val="24"/>
          <w:lang w:val="es-ES_tradnl"/>
        </w:rPr>
        <w:t xml:space="preserve">Y lo mismo resulta de lo dispuesto en el art. 3 del Anexo I del Decreto Foral 29/2017, </w:t>
      </w:r>
      <w:r w:rsidRPr="0057774C">
        <w:rPr>
          <w:bCs/>
          <w:sz w:val="24"/>
          <w:szCs w:val="24"/>
          <w:lang w:val="es-ES_tradnl"/>
        </w:rPr>
        <w:t>del Consejo de Gobierno Foral de 23 de mayo, que aprueba el procedimiento de elaboración de disposiciones de carácter general</w:t>
      </w:r>
      <w:r w:rsidRPr="0057774C">
        <w:rPr>
          <w:color w:val="000000"/>
          <w:sz w:val="24"/>
          <w:szCs w:val="24"/>
          <w:lang w:val="es-ES_tradnl"/>
        </w:rPr>
        <w:t>.</w:t>
      </w:r>
    </w:p>
    <w:p w:rsidR="001142FD" w:rsidRPr="0057774C" w:rsidRDefault="001142FD" w:rsidP="001142FD">
      <w:pPr>
        <w:autoSpaceDE w:val="0"/>
        <w:autoSpaceDN w:val="0"/>
        <w:adjustRightInd w:val="0"/>
        <w:spacing w:before="120" w:after="240"/>
        <w:jc w:val="both"/>
        <w:rPr>
          <w:color w:val="000000"/>
          <w:sz w:val="24"/>
          <w:szCs w:val="24"/>
          <w:lang w:val="es-ES_tradnl"/>
        </w:rPr>
      </w:pPr>
      <w:r w:rsidRPr="0057774C">
        <w:rPr>
          <w:color w:val="000000"/>
          <w:sz w:val="24"/>
          <w:szCs w:val="24"/>
          <w:lang w:val="es-ES_tradnl"/>
        </w:rPr>
        <w:t>Pues bien, en el preámbulo del proyecto de decreto foral no se menciona la actuación en este caso de acuerdo con los principios citados. Únicamente en la Orden Foral 54/2020, de 13 de febrero, por la que se inicia el procedimiento de elaboración del proyecto de decreto foral por el que se establece la normativa reguladora de la gestión del Registro Vitícola del THA, se menciona el objeto y finalidad del mismo (principio de necesidad) y la necesidad de adecuación de la normativa alavesa a las normativas europea y estatal en esta materia para crear un marco normativo en el THA (principio de seguridad jurídica).</w:t>
      </w:r>
    </w:p>
    <w:p w:rsidR="001142FD" w:rsidRPr="0057774C" w:rsidRDefault="001142FD" w:rsidP="001142FD">
      <w:pPr>
        <w:pStyle w:val="Prrafodelista"/>
        <w:ind w:left="0"/>
        <w:jc w:val="both"/>
        <w:rPr>
          <w:rFonts w:ascii="Times New Roman" w:eastAsia="Times New Roman" w:hAnsi="Times New Roman"/>
          <w:color w:val="000000"/>
          <w:sz w:val="24"/>
          <w:szCs w:val="24"/>
          <w:lang w:val="es-ES_tradnl" w:eastAsia="es-ES"/>
        </w:rPr>
      </w:pPr>
      <w:r w:rsidRPr="0057774C">
        <w:rPr>
          <w:rFonts w:ascii="Times New Roman" w:eastAsia="Times New Roman" w:hAnsi="Times New Roman"/>
          <w:color w:val="000000"/>
          <w:sz w:val="24"/>
          <w:szCs w:val="24"/>
          <w:lang w:val="es-ES_tradnl" w:eastAsia="es-ES"/>
        </w:rPr>
        <w:t>Por tanto, el proyecto de decreto foral carece en su preámbulo de una motivación sobre su adecuación a los principios de buena regulación antedichos, lo que supone la inobservancia de lo dispuesto en el art. 129.1 LPAC y en el art. 3 del Anexo I del Decreto Foral 29/2017.</w:t>
      </w:r>
    </w:p>
    <w:p w:rsidR="001142FD" w:rsidRPr="0057774C" w:rsidRDefault="001142FD" w:rsidP="001142FD">
      <w:pPr>
        <w:pStyle w:val="Prrafodelista"/>
        <w:ind w:left="0"/>
        <w:jc w:val="both"/>
        <w:rPr>
          <w:rFonts w:ascii="Times New Roman" w:eastAsia="Times New Roman" w:hAnsi="Times New Roman"/>
          <w:color w:val="000000"/>
          <w:sz w:val="24"/>
          <w:szCs w:val="24"/>
          <w:lang w:val="es-ES_tradnl" w:eastAsia="es-ES"/>
        </w:rPr>
      </w:pPr>
    </w:p>
    <w:p w:rsidR="001142FD" w:rsidRPr="0057774C" w:rsidRDefault="001142FD" w:rsidP="001142FD">
      <w:pPr>
        <w:pStyle w:val="Prrafodelista"/>
        <w:ind w:left="0"/>
        <w:jc w:val="both"/>
        <w:rPr>
          <w:rFonts w:ascii="Times New Roman" w:eastAsia="Times New Roman" w:hAnsi="Times New Roman"/>
          <w:color w:val="000000"/>
          <w:sz w:val="24"/>
          <w:szCs w:val="24"/>
          <w:lang w:val="es-ES_tradnl" w:eastAsia="es-ES"/>
        </w:rPr>
      </w:pPr>
      <w:r w:rsidRPr="0057774C">
        <w:rPr>
          <w:rFonts w:ascii="Times New Roman" w:eastAsia="Times New Roman" w:hAnsi="Times New Roman"/>
          <w:color w:val="000000"/>
          <w:sz w:val="24"/>
          <w:szCs w:val="24"/>
          <w:lang w:val="es-ES_tradnl" w:eastAsia="es-ES"/>
        </w:rPr>
        <w:t>Por ello, entendemos que deberá integrarse el preámbulo del proyecto de manera que el mismo justifique, de manera suficiente y separada y en la forma establecida en el art. 129 LPAC y en el art. 3 del Decreto Foral 29/2017, el cumplimiento de los principios de buena regulación.</w:t>
      </w:r>
    </w:p>
    <w:p w:rsidR="001142FD" w:rsidRPr="0057774C" w:rsidRDefault="001142FD" w:rsidP="001142FD">
      <w:pPr>
        <w:spacing w:after="240" w:line="360" w:lineRule="auto"/>
        <w:jc w:val="both"/>
        <w:rPr>
          <w:b/>
          <w:color w:val="000000"/>
          <w:sz w:val="24"/>
          <w:szCs w:val="24"/>
          <w:lang w:val="es-ES_tradnl"/>
        </w:rPr>
      </w:pPr>
      <w:r w:rsidRPr="0057774C">
        <w:rPr>
          <w:b/>
          <w:color w:val="000000"/>
          <w:sz w:val="24"/>
          <w:szCs w:val="24"/>
          <w:lang w:val="es-ES_tradnl"/>
        </w:rPr>
        <w:t>c) Procedimiento.</w:t>
      </w:r>
    </w:p>
    <w:p w:rsidR="001142FD" w:rsidRPr="0057774C" w:rsidRDefault="001142FD" w:rsidP="001142FD">
      <w:pPr>
        <w:jc w:val="both"/>
        <w:rPr>
          <w:color w:val="000000"/>
          <w:sz w:val="24"/>
          <w:szCs w:val="24"/>
          <w:lang w:val="es-ES_tradnl"/>
        </w:rPr>
      </w:pPr>
      <w:r w:rsidRPr="0057774C">
        <w:rPr>
          <w:color w:val="000000"/>
          <w:sz w:val="24"/>
          <w:szCs w:val="24"/>
          <w:lang w:val="es-ES_tradnl"/>
        </w:rPr>
        <w:t>i) Plan Anual Normativo.</w:t>
      </w:r>
    </w:p>
    <w:p w:rsidR="001142FD" w:rsidRDefault="001142FD" w:rsidP="001142FD">
      <w:pPr>
        <w:spacing w:after="240"/>
        <w:jc w:val="both"/>
        <w:rPr>
          <w:color w:val="000000"/>
          <w:sz w:val="24"/>
          <w:szCs w:val="24"/>
          <w:lang w:val="es-ES_tradnl"/>
        </w:rPr>
      </w:pPr>
      <w:r w:rsidRPr="0057774C">
        <w:rPr>
          <w:color w:val="000000"/>
          <w:sz w:val="24"/>
          <w:szCs w:val="24"/>
          <w:lang w:val="es-ES_tradnl"/>
        </w:rPr>
        <w:t>El proyecto de decreto foral está contemplado en el plan Anual Normativo de la DFA correspondiente al ejercicio 2020 aprobado por Decreto Foral 824/2019, de 27 de diciembre.</w:t>
      </w:r>
    </w:p>
    <w:p w:rsidR="001142FD" w:rsidRDefault="001142FD" w:rsidP="001142FD">
      <w:pPr>
        <w:spacing w:after="240"/>
        <w:jc w:val="both"/>
        <w:rPr>
          <w:color w:val="000000"/>
          <w:sz w:val="24"/>
          <w:szCs w:val="24"/>
          <w:lang w:val="es-ES_tradnl"/>
        </w:rPr>
      </w:pPr>
    </w:p>
    <w:p w:rsidR="001142FD" w:rsidRPr="0057774C" w:rsidRDefault="001142FD" w:rsidP="001142FD">
      <w:pPr>
        <w:spacing w:after="240"/>
        <w:jc w:val="both"/>
        <w:rPr>
          <w:color w:val="000000"/>
          <w:sz w:val="24"/>
          <w:szCs w:val="24"/>
          <w:lang w:val="es-ES_tradnl"/>
        </w:rPr>
      </w:pPr>
    </w:p>
    <w:p w:rsidR="001142FD" w:rsidRPr="0057774C" w:rsidRDefault="001142FD" w:rsidP="001142FD">
      <w:pPr>
        <w:autoSpaceDE w:val="0"/>
        <w:autoSpaceDN w:val="0"/>
        <w:adjustRightInd w:val="0"/>
        <w:spacing w:line="360" w:lineRule="auto"/>
        <w:jc w:val="both"/>
        <w:rPr>
          <w:sz w:val="24"/>
          <w:szCs w:val="24"/>
          <w:lang w:val="es-ES_tradnl"/>
        </w:rPr>
      </w:pPr>
      <w:r w:rsidRPr="0057774C">
        <w:rPr>
          <w:sz w:val="24"/>
          <w:szCs w:val="24"/>
          <w:lang w:val="es-ES_tradnl"/>
        </w:rPr>
        <w:t>ii) Consulta pública previa.</w:t>
      </w:r>
    </w:p>
    <w:p w:rsidR="001142FD" w:rsidRPr="0057774C" w:rsidRDefault="001142FD" w:rsidP="001142FD">
      <w:pPr>
        <w:autoSpaceDE w:val="0"/>
        <w:autoSpaceDN w:val="0"/>
        <w:adjustRightInd w:val="0"/>
        <w:jc w:val="both"/>
        <w:rPr>
          <w:sz w:val="24"/>
          <w:szCs w:val="24"/>
          <w:lang w:val="es-ES_tradnl"/>
        </w:rPr>
      </w:pPr>
      <w:r w:rsidRPr="0057774C">
        <w:rPr>
          <w:sz w:val="24"/>
          <w:szCs w:val="24"/>
          <w:lang w:val="es-ES_tradnl"/>
        </w:rPr>
        <w:t>Se ha celebrado consulta pública previa por plazo de ocho días de acuerdo con lo establecido en el art. 9 del Anexo I del Decreto Foral 29/2017.</w:t>
      </w:r>
    </w:p>
    <w:p w:rsidR="001142FD" w:rsidRPr="0057774C" w:rsidRDefault="001142FD" w:rsidP="001142FD">
      <w:pPr>
        <w:autoSpaceDE w:val="0"/>
        <w:autoSpaceDN w:val="0"/>
        <w:adjustRightInd w:val="0"/>
        <w:jc w:val="both"/>
        <w:rPr>
          <w:sz w:val="24"/>
          <w:szCs w:val="24"/>
          <w:lang w:val="es-ES_tradnl"/>
        </w:rPr>
      </w:pPr>
    </w:p>
    <w:p w:rsidR="001142FD" w:rsidRPr="0057774C" w:rsidRDefault="001142FD" w:rsidP="001142FD">
      <w:pPr>
        <w:spacing w:before="120" w:line="360" w:lineRule="auto"/>
        <w:jc w:val="both"/>
        <w:rPr>
          <w:color w:val="000000"/>
          <w:sz w:val="24"/>
          <w:szCs w:val="24"/>
          <w:lang w:val="es-ES_tradnl"/>
        </w:rPr>
      </w:pPr>
      <w:r w:rsidRPr="0057774C">
        <w:rPr>
          <w:color w:val="000000"/>
          <w:sz w:val="24"/>
          <w:szCs w:val="24"/>
          <w:lang w:val="es-ES_tradnl"/>
        </w:rPr>
        <w:t>iii) Audiencia e información pública.</w:t>
      </w:r>
    </w:p>
    <w:p w:rsidR="001142FD" w:rsidRPr="0057774C" w:rsidRDefault="001142FD" w:rsidP="001142FD">
      <w:pPr>
        <w:spacing w:before="120" w:after="240"/>
        <w:jc w:val="both"/>
        <w:rPr>
          <w:color w:val="000000"/>
          <w:sz w:val="24"/>
          <w:szCs w:val="24"/>
          <w:lang w:val="es-ES_tradnl"/>
        </w:rPr>
      </w:pPr>
      <w:r w:rsidRPr="0057774C">
        <w:rPr>
          <w:color w:val="000000"/>
          <w:sz w:val="24"/>
          <w:szCs w:val="24"/>
          <w:lang w:val="es-ES_tradnl"/>
        </w:rPr>
        <w:t xml:space="preserve">Se ha realizado el trámite de audiencia e información pública, si bien el cómputo de los plazos, a consecuencia de la suspensión de plazos como consecuencia de la declaración del estado de alarma no es </w:t>
      </w:r>
      <w:proofErr w:type="gramStart"/>
      <w:r w:rsidRPr="0057774C">
        <w:rPr>
          <w:color w:val="000000"/>
          <w:sz w:val="24"/>
          <w:szCs w:val="24"/>
          <w:lang w:val="es-ES_tradnl"/>
        </w:rPr>
        <w:t>correcta</w:t>
      </w:r>
      <w:proofErr w:type="gramEnd"/>
      <w:r w:rsidRPr="0057774C">
        <w:rPr>
          <w:color w:val="000000"/>
          <w:sz w:val="24"/>
          <w:szCs w:val="24"/>
          <w:lang w:val="es-ES_tradnl"/>
        </w:rPr>
        <w:t>, como se explica a continuación.</w:t>
      </w:r>
    </w:p>
    <w:p w:rsidR="001142FD" w:rsidRPr="0057774C" w:rsidRDefault="001142FD" w:rsidP="001142FD">
      <w:pPr>
        <w:spacing w:before="120" w:after="240" w:line="360" w:lineRule="auto"/>
        <w:jc w:val="both"/>
        <w:rPr>
          <w:color w:val="000000"/>
          <w:sz w:val="24"/>
          <w:szCs w:val="24"/>
          <w:lang w:val="es-ES_tradnl"/>
        </w:rPr>
      </w:pPr>
      <w:r w:rsidRPr="0057774C">
        <w:rPr>
          <w:color w:val="000000"/>
          <w:sz w:val="24"/>
          <w:szCs w:val="24"/>
          <w:lang w:val="es-ES_tradnl"/>
        </w:rPr>
        <w:t>iv) Suspensión de plazos.</w:t>
      </w:r>
    </w:p>
    <w:p w:rsidR="001142FD" w:rsidRPr="0057774C" w:rsidRDefault="001142FD" w:rsidP="001142FD">
      <w:pPr>
        <w:spacing w:before="120" w:after="240"/>
        <w:jc w:val="both"/>
        <w:rPr>
          <w:color w:val="000000"/>
          <w:sz w:val="24"/>
          <w:szCs w:val="24"/>
          <w:lang w:val="es-ES_tradnl"/>
        </w:rPr>
      </w:pPr>
      <w:r w:rsidRPr="0057774C">
        <w:rPr>
          <w:color w:val="000000"/>
          <w:sz w:val="24"/>
          <w:szCs w:val="24"/>
          <w:lang w:val="es-ES_tradnl"/>
        </w:rPr>
        <w:t>Durante la tramitación de esta procedimiento se ha producido una declaración del estado de alarma a través del Real Decreto 463/2020, de 14 de marzo, mediante el que (Disposición Adicional Tercera) se suspendieron términos y se interrumpieron los plazos  de los procedimientos administrativos a partir del 14 de marzo de 2020.</w:t>
      </w:r>
    </w:p>
    <w:p w:rsidR="001142FD" w:rsidRPr="0057774C" w:rsidRDefault="001142FD" w:rsidP="001142FD">
      <w:pPr>
        <w:spacing w:before="120" w:after="240"/>
        <w:jc w:val="both"/>
        <w:rPr>
          <w:color w:val="000000"/>
          <w:sz w:val="24"/>
          <w:szCs w:val="24"/>
          <w:lang w:val="es-ES_tradnl"/>
        </w:rPr>
      </w:pPr>
      <w:r w:rsidRPr="0057774C">
        <w:rPr>
          <w:color w:val="000000"/>
          <w:sz w:val="24"/>
          <w:szCs w:val="24"/>
          <w:lang w:val="es-ES_tradnl"/>
        </w:rPr>
        <w:t>Esto ha afectado al trámite de audiencia e información pública de esta procedimiento: este trámite fue publicado por vez primera en la página web de la DFA (</w:t>
      </w:r>
      <w:proofErr w:type="spellStart"/>
      <w:r w:rsidRPr="0057774C">
        <w:rPr>
          <w:color w:val="000000"/>
          <w:sz w:val="24"/>
          <w:szCs w:val="24"/>
          <w:lang w:val="es-ES_tradnl"/>
        </w:rPr>
        <w:t>Irekia</w:t>
      </w:r>
      <w:proofErr w:type="spellEnd"/>
      <w:r w:rsidRPr="0057774C">
        <w:rPr>
          <w:color w:val="000000"/>
          <w:sz w:val="24"/>
          <w:szCs w:val="24"/>
          <w:lang w:val="es-ES_tradnl"/>
        </w:rPr>
        <w:t>) con fecha 11 de marzo para la  exposición del proyecto de decreto foral por un plazo de quince días naturales. En virtud de dicho RD 463/2020, con fecha de 14 de marzo quedó el plazo suspendido, habiendo transcurrido, por tanto, sólo 2 días de este trámite. Reanudado el cómputo de los plazos desde el día 1 de junio (en virtud de los establecido en el art. 9 del Real Decreto 537/2020, de 22 de mayo), el plazo restante que le quedaría por cumplir sería de 13 días. Según consta en el expediente se reanudó el plazo de exposición únicamente por 7 días.</w:t>
      </w:r>
    </w:p>
    <w:p w:rsidR="001142FD" w:rsidRPr="0057774C" w:rsidRDefault="001142FD" w:rsidP="001142FD">
      <w:pPr>
        <w:spacing w:before="120" w:after="240"/>
        <w:jc w:val="both"/>
        <w:rPr>
          <w:color w:val="000000"/>
          <w:sz w:val="24"/>
          <w:szCs w:val="24"/>
          <w:lang w:val="es-ES_tradnl"/>
        </w:rPr>
      </w:pPr>
      <w:r w:rsidRPr="0057774C">
        <w:rPr>
          <w:color w:val="000000"/>
          <w:sz w:val="24"/>
          <w:szCs w:val="24"/>
          <w:lang w:val="es-ES_tradnl"/>
        </w:rPr>
        <w:t>v) Otros trámites.</w:t>
      </w:r>
    </w:p>
    <w:p w:rsidR="001142FD" w:rsidRPr="0057774C" w:rsidRDefault="001142FD" w:rsidP="001142FD">
      <w:pPr>
        <w:spacing w:after="240"/>
        <w:jc w:val="both"/>
        <w:rPr>
          <w:color w:val="000000"/>
          <w:sz w:val="24"/>
          <w:szCs w:val="24"/>
          <w:lang w:val="es-ES_tradnl"/>
        </w:rPr>
      </w:pPr>
      <w:r w:rsidRPr="0057774C">
        <w:rPr>
          <w:color w:val="000000"/>
          <w:sz w:val="24"/>
          <w:szCs w:val="24"/>
          <w:lang w:val="es-ES_tradnl"/>
        </w:rPr>
        <w:t>Figuran en el expediente los informes de impacto normativo y de evaluación previa del impacto en función del género, respectivamente de 9 de junio y de 2 de marzo de 2020, de la Secretaría Técnica de Agricultura, y las observaciones del Servicio de Igualdad, de 16 de marzo de 2020, documentos todos ellos previstos en el art. 14 del Decreto Foral 29/2017.</w:t>
      </w:r>
    </w:p>
    <w:p w:rsidR="001142FD" w:rsidRPr="0057774C" w:rsidRDefault="001142FD" w:rsidP="001142FD">
      <w:pPr>
        <w:spacing w:before="120" w:after="240" w:line="360" w:lineRule="auto"/>
        <w:jc w:val="both"/>
        <w:rPr>
          <w:sz w:val="24"/>
          <w:szCs w:val="24"/>
        </w:rPr>
      </w:pPr>
      <w:r w:rsidRPr="0057774C">
        <w:rPr>
          <w:b/>
          <w:sz w:val="24"/>
          <w:szCs w:val="24"/>
          <w:u w:val="single"/>
          <w:lang w:val="es-ES_tradnl"/>
        </w:rPr>
        <w:t>TERCERA.- Títulos competenciales actuados por la norma reglamentaria en el  proyecto.</w:t>
      </w:r>
    </w:p>
    <w:p w:rsidR="001142FD" w:rsidRDefault="001142FD" w:rsidP="001142FD">
      <w:pPr>
        <w:tabs>
          <w:tab w:val="left" w:pos="426"/>
        </w:tabs>
        <w:spacing w:before="120" w:after="120"/>
        <w:jc w:val="both"/>
        <w:rPr>
          <w:i/>
          <w:sz w:val="24"/>
          <w:szCs w:val="24"/>
        </w:rPr>
      </w:pPr>
      <w:r w:rsidRPr="0057774C">
        <w:rPr>
          <w:sz w:val="24"/>
          <w:szCs w:val="24"/>
        </w:rPr>
        <w:t>La Ley Orgánica 3/1979, de 18 de diciembre, del Estatuto de Autonomía para el País Vasco, señala en su artículo 10.10 que "</w:t>
      </w:r>
      <w:r w:rsidRPr="0057774C">
        <w:rPr>
          <w:i/>
          <w:sz w:val="24"/>
          <w:szCs w:val="24"/>
        </w:rPr>
        <w:t>La Comunidad Autónoma del País Vasco tiene competencia exclusiva en las siguientes materias: ... 9. Agricultura y Ganadería, de acuerdo con la ordenación general de la economía".</w:t>
      </w:r>
    </w:p>
    <w:p w:rsidR="001142FD" w:rsidRDefault="001142FD" w:rsidP="001142FD">
      <w:pPr>
        <w:tabs>
          <w:tab w:val="left" w:pos="426"/>
        </w:tabs>
        <w:spacing w:before="120" w:after="120"/>
        <w:jc w:val="both"/>
        <w:rPr>
          <w:i/>
          <w:sz w:val="24"/>
          <w:szCs w:val="24"/>
        </w:rPr>
      </w:pPr>
    </w:p>
    <w:p w:rsidR="001142FD" w:rsidRDefault="001142FD" w:rsidP="001142FD">
      <w:pPr>
        <w:tabs>
          <w:tab w:val="left" w:pos="426"/>
        </w:tabs>
        <w:spacing w:before="120" w:after="120"/>
        <w:jc w:val="both"/>
        <w:rPr>
          <w:i/>
          <w:sz w:val="24"/>
          <w:szCs w:val="24"/>
        </w:rPr>
      </w:pPr>
    </w:p>
    <w:p w:rsidR="001142FD" w:rsidRDefault="001142FD" w:rsidP="001142FD">
      <w:pPr>
        <w:tabs>
          <w:tab w:val="left" w:pos="426"/>
        </w:tabs>
        <w:spacing w:before="120" w:after="120"/>
        <w:jc w:val="both"/>
        <w:rPr>
          <w:i/>
          <w:sz w:val="24"/>
          <w:szCs w:val="24"/>
        </w:rPr>
      </w:pPr>
    </w:p>
    <w:p w:rsidR="001142FD" w:rsidRDefault="001142FD" w:rsidP="001142FD">
      <w:pPr>
        <w:tabs>
          <w:tab w:val="left" w:pos="426"/>
        </w:tabs>
        <w:spacing w:before="120" w:after="120"/>
        <w:jc w:val="both"/>
        <w:rPr>
          <w:i/>
          <w:sz w:val="24"/>
          <w:szCs w:val="24"/>
        </w:rPr>
      </w:pPr>
    </w:p>
    <w:p w:rsidR="001142FD" w:rsidRPr="0057774C" w:rsidRDefault="001142FD" w:rsidP="001142FD">
      <w:pPr>
        <w:tabs>
          <w:tab w:val="left" w:pos="426"/>
        </w:tabs>
        <w:spacing w:before="120" w:after="120"/>
        <w:jc w:val="both"/>
        <w:rPr>
          <w:sz w:val="24"/>
          <w:szCs w:val="24"/>
        </w:rPr>
      </w:pPr>
    </w:p>
    <w:p w:rsidR="001142FD" w:rsidRPr="0057774C" w:rsidRDefault="001142FD" w:rsidP="001142FD">
      <w:pPr>
        <w:tabs>
          <w:tab w:val="left" w:pos="426"/>
        </w:tabs>
        <w:spacing w:before="120" w:after="120"/>
        <w:jc w:val="both"/>
        <w:rPr>
          <w:i/>
          <w:sz w:val="24"/>
          <w:szCs w:val="24"/>
        </w:rPr>
      </w:pPr>
      <w:r w:rsidRPr="0057774C">
        <w:rPr>
          <w:sz w:val="24"/>
          <w:szCs w:val="24"/>
        </w:rPr>
        <w:t>La Ley 27/1983, de 25 de noviembre, de relaciones entre las instituciones comunes de la Comunidad Autónoma y los órganos forales de sus territorios históricos, establece en su artículo 7.b que "</w:t>
      </w:r>
      <w:r w:rsidRPr="0057774C">
        <w:rPr>
          <w:i/>
          <w:sz w:val="24"/>
          <w:szCs w:val="24"/>
        </w:rPr>
        <w:t>Corresponde a los Territorios Históricos el desarrollo y la ejecución de las normas emanadas de las Instituciones Comunes en las siguientes materias</w:t>
      </w:r>
      <w:proofErr w:type="gramStart"/>
      <w:r w:rsidRPr="0057774C">
        <w:rPr>
          <w:i/>
          <w:sz w:val="24"/>
          <w:szCs w:val="24"/>
        </w:rPr>
        <w:t>:/</w:t>
      </w:r>
      <w:proofErr w:type="gramEnd"/>
      <w:r w:rsidRPr="0057774C">
        <w:rPr>
          <w:i/>
          <w:sz w:val="24"/>
          <w:szCs w:val="24"/>
        </w:rPr>
        <w:t>…/ viticultura  y enología.”</w:t>
      </w:r>
    </w:p>
    <w:p w:rsidR="001142FD" w:rsidRPr="0057774C" w:rsidRDefault="001142FD" w:rsidP="001142FD">
      <w:pPr>
        <w:tabs>
          <w:tab w:val="left" w:pos="426"/>
        </w:tabs>
        <w:spacing w:before="120" w:after="120"/>
        <w:jc w:val="both"/>
        <w:rPr>
          <w:i/>
          <w:sz w:val="24"/>
          <w:szCs w:val="24"/>
        </w:rPr>
      </w:pPr>
      <w:r w:rsidRPr="0057774C">
        <w:rPr>
          <w:sz w:val="24"/>
          <w:szCs w:val="24"/>
        </w:rPr>
        <w:t>El art. 8.2 de la misma Ley 27/1983, dispone que “</w:t>
      </w:r>
      <w:r w:rsidRPr="0057774C">
        <w:rPr>
          <w:i/>
          <w:sz w:val="24"/>
          <w:szCs w:val="24"/>
        </w:rPr>
        <w:t xml:space="preserve">En las materias en que corresponde a los Territorios Históricos el desarrollo normativo y la ejecución, tienen las siguientes potestades: </w:t>
      </w:r>
    </w:p>
    <w:p w:rsidR="001142FD" w:rsidRPr="0057774C" w:rsidRDefault="001142FD" w:rsidP="001142FD">
      <w:pPr>
        <w:tabs>
          <w:tab w:val="left" w:pos="426"/>
        </w:tabs>
        <w:spacing w:before="120" w:after="120"/>
        <w:jc w:val="both"/>
        <w:rPr>
          <w:i/>
          <w:sz w:val="24"/>
          <w:szCs w:val="24"/>
        </w:rPr>
      </w:pPr>
      <w:r w:rsidRPr="0057774C">
        <w:rPr>
          <w:i/>
          <w:sz w:val="24"/>
          <w:szCs w:val="24"/>
        </w:rPr>
        <w:t>a) De desarrollo normativo de las normas emanadas de las Instituciones Comunes /…/</w:t>
      </w:r>
    </w:p>
    <w:p w:rsidR="001142FD" w:rsidRPr="0057774C" w:rsidRDefault="001142FD" w:rsidP="001142FD">
      <w:pPr>
        <w:tabs>
          <w:tab w:val="left" w:pos="426"/>
        </w:tabs>
        <w:spacing w:before="120" w:after="120"/>
        <w:jc w:val="both"/>
        <w:rPr>
          <w:i/>
          <w:sz w:val="24"/>
          <w:szCs w:val="24"/>
        </w:rPr>
      </w:pPr>
      <w:r w:rsidRPr="0057774C">
        <w:rPr>
          <w:i/>
          <w:sz w:val="24"/>
          <w:szCs w:val="24"/>
        </w:rPr>
        <w:t>b) Reglamentaria</w:t>
      </w:r>
    </w:p>
    <w:p w:rsidR="001142FD" w:rsidRPr="0057774C" w:rsidRDefault="001142FD" w:rsidP="001142FD">
      <w:pPr>
        <w:tabs>
          <w:tab w:val="left" w:pos="426"/>
        </w:tabs>
        <w:jc w:val="both"/>
        <w:rPr>
          <w:i/>
          <w:sz w:val="24"/>
          <w:szCs w:val="24"/>
        </w:rPr>
      </w:pPr>
      <w:r w:rsidRPr="0057774C">
        <w:rPr>
          <w:i/>
          <w:sz w:val="24"/>
          <w:szCs w:val="24"/>
        </w:rPr>
        <w:t>c) Administrativa, incluida la inspección.”</w:t>
      </w:r>
    </w:p>
    <w:p w:rsidR="001142FD" w:rsidRPr="0057774C" w:rsidRDefault="001142FD" w:rsidP="001142FD">
      <w:pPr>
        <w:tabs>
          <w:tab w:val="left" w:pos="426"/>
        </w:tabs>
        <w:spacing w:before="120" w:after="120"/>
        <w:jc w:val="both"/>
        <w:rPr>
          <w:sz w:val="24"/>
          <w:szCs w:val="24"/>
        </w:rPr>
      </w:pPr>
      <w:r w:rsidRPr="0057774C">
        <w:rPr>
          <w:sz w:val="24"/>
          <w:szCs w:val="24"/>
        </w:rPr>
        <w:t xml:space="preserve">Los Decretos del Gobierno Vasco 34/1985 y de la Diputación Foral de Álava número 884/1985, ambos de 5 de marzo, aprobaron la transferencia al THA de la competencia para el desarrollo normativo en materia de </w:t>
      </w:r>
      <w:r w:rsidRPr="0057774C">
        <w:rPr>
          <w:b/>
          <w:sz w:val="24"/>
          <w:szCs w:val="24"/>
        </w:rPr>
        <w:t>Viticultura y Enología</w:t>
      </w:r>
      <w:r w:rsidRPr="0057774C">
        <w:rPr>
          <w:sz w:val="24"/>
          <w:szCs w:val="24"/>
        </w:rPr>
        <w:t>.</w:t>
      </w:r>
    </w:p>
    <w:p w:rsidR="001142FD" w:rsidRPr="0057774C" w:rsidRDefault="001142FD" w:rsidP="001142FD">
      <w:pPr>
        <w:tabs>
          <w:tab w:val="left" w:pos="426"/>
        </w:tabs>
        <w:spacing w:before="120" w:after="120"/>
        <w:jc w:val="both"/>
        <w:rPr>
          <w:sz w:val="24"/>
          <w:szCs w:val="24"/>
        </w:rPr>
      </w:pPr>
      <w:r w:rsidRPr="0057774C">
        <w:rPr>
          <w:sz w:val="24"/>
          <w:szCs w:val="24"/>
        </w:rPr>
        <w:t>Así, en el Territorio Histórico de Álava  el Registro Vitícola fue regulado en los Decretos  Forales 109/1998, del  Consejo de Diputados de 15 de diciembre y 51/2002,  del Consejo de Diputados de 8 de octubre.</w:t>
      </w:r>
    </w:p>
    <w:p w:rsidR="001142FD" w:rsidRPr="0057774C" w:rsidRDefault="001142FD" w:rsidP="001142FD">
      <w:pPr>
        <w:tabs>
          <w:tab w:val="left" w:pos="426"/>
        </w:tabs>
        <w:spacing w:before="120" w:after="120"/>
        <w:jc w:val="both"/>
        <w:rPr>
          <w:sz w:val="24"/>
          <w:szCs w:val="24"/>
        </w:rPr>
      </w:pPr>
      <w:r w:rsidRPr="0057774C">
        <w:rPr>
          <w:sz w:val="24"/>
          <w:szCs w:val="24"/>
        </w:rPr>
        <w:t>Por su parte, el Parlamento Vasco, mediante Ley 5/2004, de 7 de mayo, de Ordenación Vinícola, reguló para la Comunidad Autónoma este ámbito y, en concreto, en su art. 13constituía el Registro Vitícola, concibiéndolo como “</w:t>
      </w:r>
      <w:r w:rsidRPr="0057774C">
        <w:rPr>
          <w:i/>
          <w:sz w:val="24"/>
          <w:szCs w:val="24"/>
        </w:rPr>
        <w:t>los registros vitícolas de cada uno de los territorios históricos</w:t>
      </w:r>
      <w:r w:rsidRPr="0057774C">
        <w:rPr>
          <w:sz w:val="24"/>
          <w:szCs w:val="24"/>
        </w:rPr>
        <w:t xml:space="preserve">”. Asimismo establecía que </w:t>
      </w:r>
      <w:r w:rsidRPr="0057774C">
        <w:rPr>
          <w:i/>
          <w:sz w:val="24"/>
          <w:szCs w:val="24"/>
        </w:rPr>
        <w:t>“las diputaciones forales gestionarán y mantendrán actualizado el registro vitícola correspondiente a su territorio histórico…”</w:t>
      </w:r>
      <w:r w:rsidRPr="0057774C">
        <w:rPr>
          <w:sz w:val="24"/>
          <w:szCs w:val="24"/>
        </w:rPr>
        <w:t>Además, en su Disposición final primera, salvaguarda las “</w:t>
      </w:r>
      <w:r w:rsidRPr="0057774C">
        <w:rPr>
          <w:i/>
          <w:sz w:val="24"/>
          <w:szCs w:val="24"/>
        </w:rPr>
        <w:t>facultades de desarrollo normativo, reglamentario y administrativo que en materia de viticultura corresponden a los territorios históricos”.</w:t>
      </w:r>
    </w:p>
    <w:p w:rsidR="001142FD" w:rsidRPr="0057774C" w:rsidRDefault="001142FD" w:rsidP="001142FD">
      <w:pPr>
        <w:tabs>
          <w:tab w:val="left" w:pos="426"/>
        </w:tabs>
        <w:spacing w:before="120" w:after="120"/>
        <w:jc w:val="both"/>
        <w:rPr>
          <w:sz w:val="24"/>
          <w:szCs w:val="24"/>
          <w:lang w:val="es-ES_tradnl"/>
        </w:rPr>
      </w:pPr>
    </w:p>
    <w:p w:rsidR="001142FD" w:rsidRPr="0057774C" w:rsidRDefault="001142FD" w:rsidP="001142FD">
      <w:pPr>
        <w:spacing w:before="120" w:after="240" w:line="360" w:lineRule="auto"/>
        <w:jc w:val="both"/>
        <w:rPr>
          <w:b/>
          <w:sz w:val="24"/>
          <w:szCs w:val="24"/>
          <w:u w:val="single"/>
          <w:lang w:val="es-ES_tradnl"/>
        </w:rPr>
      </w:pPr>
      <w:r w:rsidRPr="0057774C">
        <w:rPr>
          <w:b/>
          <w:sz w:val="24"/>
          <w:szCs w:val="24"/>
          <w:u w:val="single"/>
          <w:lang w:val="es-ES_tradnl"/>
        </w:rPr>
        <w:t>CUARTA.- Contenido del proyecto.</w:t>
      </w:r>
    </w:p>
    <w:p w:rsidR="001142FD" w:rsidRPr="0057774C" w:rsidRDefault="001142FD" w:rsidP="001142FD">
      <w:pPr>
        <w:spacing w:before="120" w:after="240"/>
        <w:jc w:val="both"/>
        <w:rPr>
          <w:sz w:val="24"/>
          <w:szCs w:val="24"/>
          <w:lang w:val="es-ES_tradnl"/>
        </w:rPr>
      </w:pPr>
      <w:r w:rsidRPr="0057774C">
        <w:rPr>
          <w:sz w:val="24"/>
          <w:szCs w:val="24"/>
          <w:lang w:val="es-ES_tradnl"/>
        </w:rPr>
        <w:t xml:space="preserve">El Decreto Foral proyectado  consta de una parte expositiva en la que se recoge la normativa europea y estatal a la que debe ajustarse la normativa que regule el potencial de producción vitícola y la gestión del registro de viñedos  en el Territorio Histórico de Álava  y cuatro apartados en su parte dispositiva.  </w:t>
      </w:r>
    </w:p>
    <w:p w:rsidR="001142FD" w:rsidRPr="0057774C" w:rsidRDefault="001142FD" w:rsidP="001142FD">
      <w:pPr>
        <w:spacing w:before="120" w:after="240"/>
        <w:jc w:val="both"/>
        <w:rPr>
          <w:sz w:val="24"/>
          <w:szCs w:val="24"/>
          <w:lang w:val="es-ES_tradnl"/>
        </w:rPr>
      </w:pPr>
      <w:r w:rsidRPr="0057774C">
        <w:rPr>
          <w:sz w:val="24"/>
          <w:szCs w:val="24"/>
          <w:lang w:val="es-ES_tradnl"/>
        </w:rPr>
        <w:t>En el apartado primero se aprueba el anexo que, en trece artículos, establece la normativa que regulará  el Registro Vitícola del Territorio Histórico de Álava y  que sucintamente se refieren a:</w:t>
      </w:r>
    </w:p>
    <w:p w:rsidR="001142FD" w:rsidRPr="0057774C"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En los artículos 1 y 2 se establece el objeto, la naturaleza y el régimen jurídico aplicable.</w:t>
      </w:r>
    </w:p>
    <w:p w:rsidR="001142FD"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En los artículos3 y 4 se establecen el contenido mínimo del Registro Vitícola del Territorio Histórico de Álava  así como la obligación de mantener actualizada la información y la forma de hacerlo.</w:t>
      </w:r>
    </w:p>
    <w:p w:rsidR="001142FD" w:rsidRPr="0057774C" w:rsidRDefault="001142FD" w:rsidP="001142FD">
      <w:pPr>
        <w:spacing w:before="120" w:after="240" w:line="276" w:lineRule="auto"/>
        <w:ind w:left="1068"/>
        <w:jc w:val="both"/>
        <w:rPr>
          <w:sz w:val="24"/>
          <w:szCs w:val="24"/>
          <w:lang w:val="es-ES_tradnl"/>
        </w:rPr>
      </w:pPr>
    </w:p>
    <w:p w:rsidR="001142FD" w:rsidRPr="0057774C"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El artículo 5 establece los requisitos que debe reunir un recinto para que pueda ser plantado  y la obligación del titular del permiso de plantación de cumplir con toda la normativa aplicable en cada caso.</w:t>
      </w:r>
    </w:p>
    <w:p w:rsidR="001142FD" w:rsidRPr="0057774C"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Los artículos 6 y 7 regulan  los  trámites y requisitos necesarios  para obtener la autorización de arranque de viñedo y el contenido de la resolución de dicha autorización.</w:t>
      </w:r>
    </w:p>
    <w:p w:rsidR="001142FD" w:rsidRPr="0057774C"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Los artículos 8 y 9 regulan los requisitos para la replantación de viñedo así como para llevar a cabo una replantación  anticipada y el importe de garantía por hectárea que debe depositar.</w:t>
      </w:r>
    </w:p>
    <w:p w:rsidR="001142FD" w:rsidRPr="0057774C"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 xml:space="preserve">El artículo 10 regula las nuevas plantaciones de viñedo, </w:t>
      </w:r>
    </w:p>
    <w:p w:rsidR="001142FD" w:rsidRPr="0057774C"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 xml:space="preserve">El artículo 11 establece las normas técnicas de plantación de viñedo, que se aplican tanto a la replantación como a la nueva plantación </w:t>
      </w:r>
    </w:p>
    <w:p w:rsidR="001142FD" w:rsidRPr="0057774C"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 xml:space="preserve">Los artículos 12 y 13 regulan la inscripción  de plantaciones en el  Registro Vitícola, la forma de medir las parcelas y la modificación de los datos ya inscritos. </w:t>
      </w:r>
    </w:p>
    <w:p w:rsidR="001142FD" w:rsidRPr="0057774C" w:rsidRDefault="001142FD" w:rsidP="001142FD">
      <w:pPr>
        <w:numPr>
          <w:ilvl w:val="0"/>
          <w:numId w:val="7"/>
        </w:numPr>
        <w:spacing w:before="120" w:after="240" w:line="276" w:lineRule="auto"/>
        <w:jc w:val="both"/>
        <w:rPr>
          <w:sz w:val="24"/>
          <w:szCs w:val="24"/>
          <w:lang w:val="es-ES_tradnl"/>
        </w:rPr>
      </w:pPr>
      <w:r w:rsidRPr="0057774C">
        <w:rPr>
          <w:sz w:val="24"/>
          <w:szCs w:val="24"/>
          <w:lang w:val="es-ES_tradnl"/>
        </w:rPr>
        <w:t xml:space="preserve">El artículo14 faculta al  Servicio de Viticultura y Enología para realizar cuantas acciones de control sean  precisas para verificar el cumplimento de lo establecido en el Decreto Foral </w:t>
      </w:r>
    </w:p>
    <w:p w:rsidR="001142FD" w:rsidRPr="0057774C" w:rsidRDefault="001142FD" w:rsidP="001142FD">
      <w:pPr>
        <w:numPr>
          <w:ilvl w:val="0"/>
          <w:numId w:val="7"/>
        </w:numPr>
        <w:spacing w:before="120" w:after="240" w:line="360" w:lineRule="auto"/>
        <w:jc w:val="both"/>
        <w:rPr>
          <w:sz w:val="24"/>
          <w:szCs w:val="24"/>
          <w:lang w:val="es-ES_tradnl"/>
        </w:rPr>
      </w:pPr>
      <w:r w:rsidRPr="0057774C">
        <w:rPr>
          <w:sz w:val="24"/>
          <w:szCs w:val="24"/>
          <w:lang w:val="es-ES_tradnl"/>
        </w:rPr>
        <w:t>El artículo 15 establece el régimen de infracciones y sanciones aplicables.</w:t>
      </w:r>
    </w:p>
    <w:p w:rsidR="001142FD" w:rsidRPr="0057774C" w:rsidRDefault="001142FD" w:rsidP="001142FD">
      <w:pPr>
        <w:spacing w:before="240"/>
        <w:jc w:val="both"/>
        <w:rPr>
          <w:sz w:val="24"/>
          <w:szCs w:val="24"/>
          <w:lang w:val="es-ES_tradnl"/>
        </w:rPr>
      </w:pPr>
      <w:r w:rsidRPr="0057774C">
        <w:rPr>
          <w:sz w:val="24"/>
          <w:szCs w:val="24"/>
          <w:lang w:val="es-ES_tradnl"/>
        </w:rPr>
        <w:t>En el apartado segundo se establece una disposición transitoria (aunque no lo denomina así).</w:t>
      </w:r>
    </w:p>
    <w:p w:rsidR="001142FD" w:rsidRDefault="001142FD" w:rsidP="001142FD">
      <w:pPr>
        <w:jc w:val="both"/>
        <w:rPr>
          <w:sz w:val="24"/>
          <w:szCs w:val="24"/>
          <w:lang w:val="es-ES_tradnl"/>
        </w:rPr>
      </w:pPr>
      <w:r w:rsidRPr="0057774C">
        <w:rPr>
          <w:sz w:val="24"/>
          <w:szCs w:val="24"/>
          <w:lang w:val="es-ES_tradnl"/>
        </w:rPr>
        <w:t>Hay una disposición derogatoria de los  DF 109/1998, de 15 de diciembre y DF 51/2002, de 8 de octubre, que regulaban el Registro  Vitícola del THA.</w:t>
      </w:r>
    </w:p>
    <w:p w:rsidR="001142FD" w:rsidRPr="0057774C" w:rsidRDefault="001142FD" w:rsidP="001142FD">
      <w:pPr>
        <w:jc w:val="both"/>
        <w:rPr>
          <w:sz w:val="24"/>
          <w:szCs w:val="24"/>
          <w:lang w:val="es-ES_tradnl"/>
        </w:rPr>
      </w:pPr>
    </w:p>
    <w:p w:rsidR="001142FD" w:rsidRPr="0057774C" w:rsidRDefault="001142FD" w:rsidP="001142FD">
      <w:pPr>
        <w:jc w:val="both"/>
        <w:rPr>
          <w:sz w:val="24"/>
          <w:szCs w:val="24"/>
          <w:lang w:val="es-ES_tradnl"/>
        </w:rPr>
      </w:pPr>
      <w:r w:rsidRPr="0057774C">
        <w:rPr>
          <w:sz w:val="24"/>
          <w:szCs w:val="24"/>
          <w:lang w:val="es-ES_tradnl"/>
        </w:rPr>
        <w:t>Por último, una disposición final establece el momento de entrada en vigor del decreto en el día siguiente al de su publicación en el BOTHA.</w:t>
      </w:r>
    </w:p>
    <w:p w:rsidR="001142FD" w:rsidRPr="0057774C" w:rsidRDefault="001142FD" w:rsidP="001142FD">
      <w:pPr>
        <w:jc w:val="both"/>
        <w:rPr>
          <w:sz w:val="24"/>
          <w:szCs w:val="24"/>
          <w:lang w:val="es-ES_tradnl"/>
        </w:rPr>
      </w:pPr>
    </w:p>
    <w:p w:rsidR="001142FD" w:rsidRPr="0057774C" w:rsidRDefault="001142FD" w:rsidP="001142FD">
      <w:pPr>
        <w:spacing w:before="120" w:after="240" w:line="360" w:lineRule="auto"/>
        <w:jc w:val="both"/>
        <w:rPr>
          <w:b/>
          <w:sz w:val="24"/>
          <w:szCs w:val="24"/>
          <w:u w:val="single"/>
          <w:lang w:val="es-ES_tradnl"/>
        </w:rPr>
      </w:pPr>
      <w:r w:rsidRPr="0057774C">
        <w:rPr>
          <w:b/>
          <w:sz w:val="24"/>
          <w:szCs w:val="24"/>
          <w:u w:val="single"/>
          <w:lang w:val="es-ES_tradnl"/>
        </w:rPr>
        <w:t>QUINTA.- Análisis del proyecto.</w:t>
      </w:r>
    </w:p>
    <w:p w:rsidR="001142FD" w:rsidRPr="0057774C" w:rsidRDefault="001142FD" w:rsidP="001142FD">
      <w:pPr>
        <w:spacing w:before="120" w:after="240"/>
        <w:jc w:val="both"/>
        <w:rPr>
          <w:sz w:val="24"/>
          <w:szCs w:val="24"/>
          <w:lang w:val="es-ES_tradnl"/>
        </w:rPr>
      </w:pPr>
      <w:r w:rsidRPr="0057774C">
        <w:rPr>
          <w:sz w:val="24"/>
          <w:szCs w:val="24"/>
          <w:lang w:val="es-ES_tradnl"/>
        </w:rPr>
        <w:t>La adecuación del presente proyecto al ordenamiento jurídico debe analizarse desde una triple perspectiva:</w:t>
      </w:r>
    </w:p>
    <w:p w:rsidR="001142FD" w:rsidRPr="0057774C" w:rsidRDefault="001142FD" w:rsidP="001142FD">
      <w:pPr>
        <w:pStyle w:val="Prrafodelista"/>
        <w:numPr>
          <w:ilvl w:val="0"/>
          <w:numId w:val="8"/>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Normativa autonómica</w:t>
      </w:r>
    </w:p>
    <w:p w:rsidR="001142FD" w:rsidRPr="0057774C" w:rsidRDefault="001142FD" w:rsidP="001142FD">
      <w:pPr>
        <w:pStyle w:val="Prrafodelista"/>
        <w:numPr>
          <w:ilvl w:val="0"/>
          <w:numId w:val="8"/>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Normativa europea</w:t>
      </w:r>
    </w:p>
    <w:p w:rsidR="001142FD" w:rsidRDefault="001142FD" w:rsidP="001142FD">
      <w:pPr>
        <w:pStyle w:val="Prrafodelista"/>
        <w:numPr>
          <w:ilvl w:val="0"/>
          <w:numId w:val="8"/>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Normativa estatal</w:t>
      </w:r>
    </w:p>
    <w:p w:rsidR="001142FD" w:rsidRDefault="001142FD" w:rsidP="001142FD">
      <w:pPr>
        <w:spacing w:before="120" w:after="240"/>
        <w:jc w:val="both"/>
        <w:rPr>
          <w:sz w:val="24"/>
          <w:szCs w:val="24"/>
          <w:lang w:val="es-ES_tradnl"/>
        </w:rPr>
      </w:pPr>
    </w:p>
    <w:p w:rsidR="001142FD" w:rsidRPr="00C442AA" w:rsidRDefault="001142FD" w:rsidP="001142FD">
      <w:pPr>
        <w:spacing w:before="120" w:after="240"/>
        <w:jc w:val="both"/>
        <w:rPr>
          <w:sz w:val="24"/>
          <w:szCs w:val="24"/>
          <w:lang w:val="es-ES_tradnl"/>
        </w:rPr>
      </w:pPr>
    </w:p>
    <w:p w:rsidR="001142FD" w:rsidRPr="0057774C" w:rsidRDefault="001142FD" w:rsidP="001142FD">
      <w:pPr>
        <w:pStyle w:val="Prrafodelista"/>
        <w:spacing w:before="120" w:after="240"/>
        <w:jc w:val="both"/>
        <w:rPr>
          <w:rFonts w:ascii="Times New Roman" w:eastAsia="Times New Roman" w:hAnsi="Times New Roman"/>
          <w:sz w:val="24"/>
          <w:szCs w:val="24"/>
          <w:lang w:val="es-ES_tradnl" w:eastAsia="es-ES"/>
        </w:rPr>
      </w:pPr>
    </w:p>
    <w:p w:rsidR="001142FD" w:rsidRPr="0057774C" w:rsidRDefault="001142FD" w:rsidP="001142FD">
      <w:pPr>
        <w:pStyle w:val="Prrafodelista"/>
        <w:numPr>
          <w:ilvl w:val="0"/>
          <w:numId w:val="9"/>
        </w:numPr>
        <w:spacing w:before="120" w:after="240"/>
        <w:jc w:val="both"/>
        <w:rPr>
          <w:rFonts w:ascii="Times New Roman" w:eastAsia="Times New Roman" w:hAnsi="Times New Roman"/>
          <w:b/>
          <w:sz w:val="24"/>
          <w:szCs w:val="24"/>
          <w:lang w:val="es-ES_tradnl" w:eastAsia="es-ES"/>
        </w:rPr>
      </w:pPr>
      <w:r w:rsidRPr="0057774C">
        <w:rPr>
          <w:rFonts w:ascii="Times New Roman" w:eastAsia="Times New Roman" w:hAnsi="Times New Roman"/>
          <w:b/>
          <w:sz w:val="24"/>
          <w:szCs w:val="24"/>
          <w:lang w:val="es-ES_tradnl" w:eastAsia="es-ES"/>
        </w:rPr>
        <w:t>Normativa de la Comunidad Autónoma del País Vasco (CAPV)</w:t>
      </w:r>
    </w:p>
    <w:p w:rsidR="001142FD" w:rsidRPr="0057774C" w:rsidRDefault="001142FD" w:rsidP="001142FD">
      <w:pPr>
        <w:spacing w:before="120" w:after="240"/>
        <w:jc w:val="both"/>
        <w:rPr>
          <w:sz w:val="24"/>
          <w:szCs w:val="24"/>
          <w:lang w:val="es-ES_tradnl"/>
        </w:rPr>
      </w:pPr>
      <w:r w:rsidRPr="0057774C">
        <w:rPr>
          <w:sz w:val="24"/>
          <w:szCs w:val="24"/>
          <w:lang w:val="es-ES_tradnl"/>
        </w:rPr>
        <w:t xml:space="preserve">En aplicación de la competencia que le corresponde en función de lo establecido en el art. 10.10 del Estatuto de Autonomía, el Parlamento Vasco aprobó la </w:t>
      </w:r>
      <w:r w:rsidRPr="0057774C">
        <w:rPr>
          <w:sz w:val="24"/>
          <w:szCs w:val="24"/>
        </w:rPr>
        <w:t>Ley 5/2004, de 7 de mayo, de Ordenación Vitivinícola. Así, según lo establecido en dicho Estatuto y en la denominada Ley de Territorios Históricos (Ley 27/1983), a los Territorio Históricos (y, consecuentemente, al THA) les corresponde en materia de “</w:t>
      </w:r>
      <w:r w:rsidRPr="0057774C">
        <w:rPr>
          <w:i/>
          <w:sz w:val="24"/>
          <w:szCs w:val="24"/>
        </w:rPr>
        <w:t>viticultura y enología</w:t>
      </w:r>
      <w:r w:rsidRPr="0057774C">
        <w:rPr>
          <w:sz w:val="24"/>
          <w:szCs w:val="24"/>
        </w:rPr>
        <w:t xml:space="preserve">” el desarrollo y ejecución de las normas emanadas de las Instituciones Comunes de la CAPV. En el presente caso, la norma emanada de estas instituciones es la citada al principio del párrafo, esto es, la </w:t>
      </w:r>
      <w:r w:rsidRPr="0057774C">
        <w:rPr>
          <w:b/>
          <w:sz w:val="24"/>
          <w:szCs w:val="24"/>
        </w:rPr>
        <w:t>Ley 5/2004, de 7 de mayo, de Ordenación Vitivinícola</w:t>
      </w:r>
      <w:r w:rsidRPr="0057774C">
        <w:rPr>
          <w:sz w:val="24"/>
          <w:szCs w:val="24"/>
        </w:rPr>
        <w:t>.</w:t>
      </w:r>
    </w:p>
    <w:p w:rsidR="001142FD" w:rsidRPr="0057774C" w:rsidRDefault="001142FD" w:rsidP="001142FD">
      <w:pPr>
        <w:spacing w:before="120" w:after="240"/>
        <w:jc w:val="both"/>
        <w:rPr>
          <w:sz w:val="24"/>
          <w:szCs w:val="24"/>
        </w:rPr>
      </w:pPr>
      <w:r w:rsidRPr="0057774C">
        <w:rPr>
          <w:sz w:val="24"/>
          <w:szCs w:val="24"/>
        </w:rPr>
        <w:t>Esta Ley regula en un único artículo, el 13</w:t>
      </w:r>
      <w:proofErr w:type="gramStart"/>
      <w:r w:rsidRPr="0057774C">
        <w:rPr>
          <w:sz w:val="24"/>
          <w:szCs w:val="24"/>
        </w:rPr>
        <w:t>,el</w:t>
      </w:r>
      <w:proofErr w:type="gramEnd"/>
      <w:r w:rsidRPr="0057774C">
        <w:rPr>
          <w:sz w:val="24"/>
          <w:szCs w:val="24"/>
        </w:rPr>
        <w:t xml:space="preserve"> registro vitícola. En él concibe el registro vitícola de la CAPV “</w:t>
      </w:r>
      <w:r w:rsidRPr="0057774C">
        <w:rPr>
          <w:i/>
          <w:sz w:val="24"/>
          <w:szCs w:val="24"/>
        </w:rPr>
        <w:t xml:space="preserve">constituido por los registros vitícolas de cada uno de los territorios históricos”. </w:t>
      </w:r>
      <w:r w:rsidRPr="0057774C">
        <w:rPr>
          <w:sz w:val="24"/>
          <w:szCs w:val="24"/>
        </w:rPr>
        <w:t>Estos registros territoriales respectivos serán gestionados y mantenidos actualizados por las diputaciones forales. Para ello regula el contenido que, de forma individual para cada parcela, deben tener estos registros territoriales y que es el siguiente:</w:t>
      </w:r>
    </w:p>
    <w:p w:rsidR="001142FD" w:rsidRPr="0057774C" w:rsidRDefault="001142FD" w:rsidP="001142FD">
      <w:pPr>
        <w:pStyle w:val="Prrafodelista"/>
        <w:numPr>
          <w:ilvl w:val="0"/>
          <w:numId w:val="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eastAsia="es-ES"/>
        </w:rPr>
        <w:t>superficie y localización de la parcela</w:t>
      </w:r>
    </w:p>
    <w:p w:rsidR="001142FD" w:rsidRPr="0057774C" w:rsidRDefault="001142FD" w:rsidP="001142FD">
      <w:pPr>
        <w:pStyle w:val="Prrafodelista"/>
        <w:numPr>
          <w:ilvl w:val="0"/>
          <w:numId w:val="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eastAsia="es-ES"/>
        </w:rPr>
        <w:t>indicación de la variedad plantada</w:t>
      </w:r>
    </w:p>
    <w:p w:rsidR="001142FD" w:rsidRPr="0057774C" w:rsidRDefault="001142FD" w:rsidP="001142FD">
      <w:pPr>
        <w:pStyle w:val="Prrafodelista"/>
        <w:numPr>
          <w:ilvl w:val="0"/>
          <w:numId w:val="7"/>
        </w:numPr>
        <w:spacing w:before="120" w:after="240"/>
        <w:jc w:val="both"/>
        <w:rPr>
          <w:rFonts w:ascii="Times New Roman" w:eastAsia="Times New Roman" w:hAnsi="Times New Roman"/>
          <w:sz w:val="24"/>
          <w:szCs w:val="24"/>
          <w:lang w:val="es-ES_tradnl" w:eastAsia="es-ES"/>
        </w:rPr>
      </w:pPr>
      <w:proofErr w:type="spellStart"/>
      <w:r w:rsidRPr="0057774C">
        <w:rPr>
          <w:rFonts w:ascii="Times New Roman" w:eastAsia="Times New Roman" w:hAnsi="Times New Roman"/>
          <w:sz w:val="24"/>
          <w:szCs w:val="24"/>
          <w:lang w:eastAsia="es-ES"/>
        </w:rPr>
        <w:t>portainjertos</w:t>
      </w:r>
      <w:proofErr w:type="spellEnd"/>
      <w:r w:rsidRPr="0057774C">
        <w:rPr>
          <w:rFonts w:ascii="Times New Roman" w:eastAsia="Times New Roman" w:hAnsi="Times New Roman"/>
          <w:sz w:val="24"/>
          <w:szCs w:val="24"/>
          <w:lang w:eastAsia="es-ES"/>
        </w:rPr>
        <w:t xml:space="preserve"> utilizado</w:t>
      </w:r>
    </w:p>
    <w:p w:rsidR="001142FD" w:rsidRPr="0057774C" w:rsidRDefault="001142FD" w:rsidP="001142FD">
      <w:pPr>
        <w:pStyle w:val="Prrafodelista"/>
        <w:numPr>
          <w:ilvl w:val="0"/>
          <w:numId w:val="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eastAsia="es-ES"/>
        </w:rPr>
        <w:t>inscripción en un vino de calidad, en su caso.</w:t>
      </w:r>
    </w:p>
    <w:p w:rsidR="001142FD" w:rsidRPr="0057774C" w:rsidRDefault="001142FD" w:rsidP="001142FD">
      <w:pPr>
        <w:spacing w:before="120" w:after="240"/>
        <w:jc w:val="both"/>
        <w:rPr>
          <w:i/>
          <w:sz w:val="24"/>
          <w:szCs w:val="24"/>
          <w:lang w:val="es-ES_tradnl"/>
        </w:rPr>
      </w:pPr>
      <w:r w:rsidRPr="0057774C">
        <w:rPr>
          <w:sz w:val="24"/>
          <w:szCs w:val="24"/>
          <w:lang w:val="es-ES_tradnl"/>
        </w:rPr>
        <w:t>También establece que los registros vitícolas de cada uno de los territorios históricos “</w:t>
      </w:r>
      <w:r w:rsidRPr="0057774C">
        <w:rPr>
          <w:i/>
          <w:sz w:val="24"/>
          <w:szCs w:val="24"/>
          <w:lang w:val="es-ES_tradnl"/>
        </w:rPr>
        <w:t>serán integrados en una misma base de datos”.</w:t>
      </w:r>
    </w:p>
    <w:p w:rsidR="001142FD" w:rsidRPr="0057774C" w:rsidRDefault="001142FD" w:rsidP="001142FD">
      <w:pPr>
        <w:spacing w:before="120" w:after="240"/>
        <w:jc w:val="both"/>
        <w:rPr>
          <w:sz w:val="24"/>
          <w:szCs w:val="24"/>
          <w:lang w:val="es-ES_tradnl"/>
        </w:rPr>
      </w:pPr>
      <w:r w:rsidRPr="0057774C">
        <w:rPr>
          <w:sz w:val="24"/>
          <w:szCs w:val="24"/>
          <w:lang w:val="es-ES_tradnl"/>
        </w:rPr>
        <w:t>Asimismo establece la obligación para las diputaciones forales de comunicar al Departamento de Agricultura y Pesca del Gobierno Vasco cualquier modificación que se produjese en el contenido de su registro vitícola correspondiente.</w:t>
      </w:r>
    </w:p>
    <w:p w:rsidR="001142FD" w:rsidRPr="0057774C" w:rsidRDefault="001142FD" w:rsidP="001142FD">
      <w:pPr>
        <w:spacing w:before="120" w:after="240"/>
        <w:jc w:val="both"/>
        <w:rPr>
          <w:sz w:val="24"/>
          <w:szCs w:val="24"/>
          <w:lang w:val="es-ES_tradnl"/>
        </w:rPr>
      </w:pPr>
      <w:r w:rsidRPr="0057774C">
        <w:rPr>
          <w:sz w:val="24"/>
          <w:szCs w:val="24"/>
          <w:lang w:val="es-ES_tradnl"/>
        </w:rPr>
        <w:t>Por último, este artículo establece la obligación de referenciar las superficies vitícolas de acuerdo con el sistema de identificación de parcelas agrícolas que se desarrolle sobre las bases establecidas por el Reglamento (CE) 1593/2000.</w:t>
      </w:r>
    </w:p>
    <w:p w:rsidR="001142FD" w:rsidRDefault="001142FD" w:rsidP="001142FD">
      <w:pPr>
        <w:widowControl w:val="0"/>
        <w:autoSpaceDE w:val="0"/>
        <w:autoSpaceDN w:val="0"/>
        <w:adjustRightInd w:val="0"/>
        <w:jc w:val="both"/>
        <w:rPr>
          <w:i/>
          <w:sz w:val="24"/>
          <w:szCs w:val="24"/>
          <w:u w:val="single"/>
        </w:rPr>
      </w:pPr>
      <w:r w:rsidRPr="0057774C">
        <w:rPr>
          <w:sz w:val="24"/>
          <w:szCs w:val="24"/>
          <w:lang w:val="es-ES_tradnl"/>
        </w:rPr>
        <w:t xml:space="preserve">Pues bien, </w:t>
      </w:r>
      <w:proofErr w:type="spellStart"/>
      <w:r w:rsidRPr="0057774C">
        <w:rPr>
          <w:sz w:val="24"/>
          <w:szCs w:val="24"/>
          <w:lang w:val="es-ES_tradnl"/>
        </w:rPr>
        <w:t>aún</w:t>
      </w:r>
      <w:proofErr w:type="spellEnd"/>
      <w:r w:rsidRPr="0057774C">
        <w:rPr>
          <w:sz w:val="24"/>
          <w:szCs w:val="24"/>
          <w:lang w:val="es-ES_tradnl"/>
        </w:rPr>
        <w:t xml:space="preserve"> siendo esta la norma básica de la que, en su caso, debe hacerse “el desarrollo y ejecución”, en el proyecto de decreto foral examinado no se menciona siquiera esta Ley. Tampoco en el resto de documentos del expediente de aprobación de esta normativa. Únicamente se hace referencia muy genérica en el art. 2 del Decreto Foral (naturaleza jurídica y régimen jurídico aplicable), al decir que “</w:t>
      </w:r>
      <w:r w:rsidRPr="0057774C">
        <w:rPr>
          <w:i/>
          <w:sz w:val="24"/>
          <w:szCs w:val="24"/>
          <w:lang w:val="es-ES_tradnl"/>
        </w:rPr>
        <w:t xml:space="preserve">El Registro Vitícola del TH de Álava </w:t>
      </w:r>
      <w:r w:rsidRPr="0057774C">
        <w:rPr>
          <w:i/>
          <w:sz w:val="24"/>
          <w:szCs w:val="24"/>
        </w:rPr>
        <w:t xml:space="preserve">se regirá por el régimen jurídico que regula esta materia en la normativa de la UE, así como en la normativa estatal básica y </w:t>
      </w:r>
      <w:r w:rsidRPr="0057774C">
        <w:rPr>
          <w:i/>
          <w:sz w:val="24"/>
          <w:szCs w:val="24"/>
          <w:u w:val="single"/>
        </w:rPr>
        <w:t>la autonómica que sean de aplicación.”</w:t>
      </w:r>
    </w:p>
    <w:p w:rsidR="001142FD" w:rsidRDefault="001142FD" w:rsidP="001142FD">
      <w:pPr>
        <w:widowControl w:val="0"/>
        <w:autoSpaceDE w:val="0"/>
        <w:autoSpaceDN w:val="0"/>
        <w:adjustRightInd w:val="0"/>
        <w:jc w:val="both"/>
        <w:rPr>
          <w:i/>
          <w:sz w:val="24"/>
          <w:szCs w:val="24"/>
          <w:u w:val="single"/>
        </w:rPr>
      </w:pPr>
    </w:p>
    <w:p w:rsidR="001142FD" w:rsidRDefault="001142FD" w:rsidP="001142FD">
      <w:pPr>
        <w:widowControl w:val="0"/>
        <w:autoSpaceDE w:val="0"/>
        <w:autoSpaceDN w:val="0"/>
        <w:adjustRightInd w:val="0"/>
        <w:jc w:val="both"/>
        <w:rPr>
          <w:i/>
          <w:sz w:val="24"/>
          <w:szCs w:val="24"/>
          <w:u w:val="single"/>
        </w:rPr>
      </w:pPr>
    </w:p>
    <w:p w:rsidR="001142FD" w:rsidRDefault="001142FD" w:rsidP="001142FD">
      <w:pPr>
        <w:widowControl w:val="0"/>
        <w:autoSpaceDE w:val="0"/>
        <w:autoSpaceDN w:val="0"/>
        <w:adjustRightInd w:val="0"/>
        <w:jc w:val="both"/>
        <w:rPr>
          <w:i/>
          <w:sz w:val="24"/>
          <w:szCs w:val="24"/>
          <w:u w:val="single"/>
        </w:rPr>
      </w:pPr>
    </w:p>
    <w:p w:rsidR="001142FD" w:rsidRDefault="001142FD" w:rsidP="001142FD">
      <w:pPr>
        <w:widowControl w:val="0"/>
        <w:autoSpaceDE w:val="0"/>
        <w:autoSpaceDN w:val="0"/>
        <w:adjustRightInd w:val="0"/>
        <w:jc w:val="both"/>
        <w:rPr>
          <w:i/>
          <w:sz w:val="24"/>
          <w:szCs w:val="24"/>
          <w:u w:val="single"/>
        </w:rPr>
      </w:pPr>
    </w:p>
    <w:p w:rsidR="001142FD" w:rsidRPr="0057774C" w:rsidRDefault="001142FD" w:rsidP="001142FD">
      <w:pPr>
        <w:widowControl w:val="0"/>
        <w:autoSpaceDE w:val="0"/>
        <w:autoSpaceDN w:val="0"/>
        <w:adjustRightInd w:val="0"/>
        <w:jc w:val="both"/>
        <w:rPr>
          <w:i/>
          <w:sz w:val="24"/>
          <w:szCs w:val="24"/>
          <w:u w:val="single"/>
        </w:rPr>
      </w:pPr>
    </w:p>
    <w:p w:rsidR="001142FD" w:rsidRPr="0057774C" w:rsidRDefault="001142FD" w:rsidP="001142FD">
      <w:pPr>
        <w:spacing w:before="120" w:after="240"/>
        <w:jc w:val="both"/>
        <w:rPr>
          <w:sz w:val="24"/>
          <w:szCs w:val="24"/>
        </w:rPr>
      </w:pPr>
      <w:r w:rsidRPr="0057774C">
        <w:rPr>
          <w:sz w:val="24"/>
          <w:szCs w:val="24"/>
          <w:lang w:val="es-ES_tradnl"/>
        </w:rPr>
        <w:t xml:space="preserve">No obstante, a esta Ley debe someterse la normativa que se apruebe en </w:t>
      </w:r>
      <w:r w:rsidRPr="0057774C">
        <w:rPr>
          <w:sz w:val="24"/>
          <w:szCs w:val="24"/>
        </w:rPr>
        <w:t>“</w:t>
      </w:r>
      <w:r w:rsidRPr="0057774C">
        <w:rPr>
          <w:i/>
          <w:sz w:val="24"/>
          <w:szCs w:val="24"/>
        </w:rPr>
        <w:t>desarrollo y  ejecución</w:t>
      </w:r>
      <w:r w:rsidRPr="0057774C">
        <w:rPr>
          <w:sz w:val="24"/>
          <w:szCs w:val="24"/>
        </w:rPr>
        <w:t>” de la misma ya que</w:t>
      </w:r>
      <w:r w:rsidRPr="0057774C">
        <w:rPr>
          <w:sz w:val="24"/>
          <w:szCs w:val="24"/>
          <w:lang w:val="es-ES_tradnl"/>
        </w:rPr>
        <w:t xml:space="preserve">de acuerdo con lo establecido en </w:t>
      </w:r>
      <w:r w:rsidRPr="0057774C">
        <w:rPr>
          <w:sz w:val="24"/>
          <w:szCs w:val="24"/>
        </w:rPr>
        <w:t>el art. 8.2.a) de la Ley 27/1983 (LTH) las normas aprobadas por los órganos forales de los territorios históricos en desarrollo de las normas emanadas de las Instituciones Comunes no podrán “</w:t>
      </w:r>
      <w:r w:rsidRPr="0057774C">
        <w:rPr>
          <w:i/>
          <w:sz w:val="24"/>
          <w:szCs w:val="24"/>
        </w:rPr>
        <w:t>ir en contra de los dispuesto en las mismas”.</w:t>
      </w:r>
      <w:r w:rsidRPr="0057774C">
        <w:rPr>
          <w:sz w:val="24"/>
          <w:szCs w:val="24"/>
        </w:rPr>
        <w:t xml:space="preserve"> Por ello, pasamos a continuación a examinar su adecuación a la misma.</w:t>
      </w:r>
    </w:p>
    <w:p w:rsidR="001142FD" w:rsidRPr="0057774C" w:rsidRDefault="001142FD" w:rsidP="001142FD">
      <w:pPr>
        <w:widowControl w:val="0"/>
        <w:autoSpaceDE w:val="0"/>
        <w:autoSpaceDN w:val="0"/>
        <w:adjustRightInd w:val="0"/>
        <w:spacing w:after="240"/>
        <w:jc w:val="both"/>
        <w:rPr>
          <w:i/>
          <w:sz w:val="24"/>
          <w:szCs w:val="24"/>
        </w:rPr>
      </w:pPr>
      <w:r w:rsidRPr="0057774C">
        <w:rPr>
          <w:sz w:val="24"/>
          <w:szCs w:val="24"/>
        </w:rPr>
        <w:t xml:space="preserve">Anteriormente hemos señalado el contenido que, según la Ley 5/2004, debe contener este decreto foral. Pues bien, a este respecto, hay que señalar que el artículo 3.2 del proyecto de decreto señala el contenido mínimo del Registro, recogiéndose, en relación con los de la Ley, la superficie de las parcelas, la indicación de la variedad plantada y el </w:t>
      </w:r>
      <w:proofErr w:type="spellStart"/>
      <w:r w:rsidRPr="0057774C">
        <w:rPr>
          <w:sz w:val="24"/>
          <w:szCs w:val="24"/>
        </w:rPr>
        <w:t>portainjertos</w:t>
      </w:r>
      <w:proofErr w:type="spellEnd"/>
      <w:r w:rsidRPr="0057774C">
        <w:rPr>
          <w:sz w:val="24"/>
          <w:szCs w:val="24"/>
        </w:rPr>
        <w:t xml:space="preserve"> utilizado. No ocurre así con la localización de la parcela, ni la posibilidad de inscripción en un vino de calidad, que no se mencionan. No obstante, en el art. 3.3 del Decreto se complementa lo anterior diciendo que “</w:t>
      </w:r>
      <w:r w:rsidRPr="0057774C">
        <w:rPr>
          <w:i/>
          <w:sz w:val="24"/>
          <w:szCs w:val="24"/>
        </w:rPr>
        <w:t xml:space="preserve">Sin perjuicio de lo establecido en el artículo 3.2 anterior </w:t>
      </w:r>
      <w:r w:rsidRPr="0057774C">
        <w:rPr>
          <w:i/>
          <w:sz w:val="24"/>
          <w:szCs w:val="24"/>
          <w:u w:val="single"/>
        </w:rPr>
        <w:t>el Registro Vitícola deberá contener las informaciones obligatorias de conformidad con</w:t>
      </w:r>
      <w:r w:rsidRPr="0057774C">
        <w:rPr>
          <w:i/>
          <w:sz w:val="24"/>
          <w:szCs w:val="24"/>
        </w:rPr>
        <w:t xml:space="preserve"> el </w:t>
      </w:r>
      <w:r w:rsidRPr="0057774C">
        <w:rPr>
          <w:bCs/>
          <w:i/>
          <w:sz w:val="24"/>
          <w:szCs w:val="24"/>
        </w:rPr>
        <w:t>Reglamento (CE) N</w:t>
      </w:r>
      <w:r w:rsidRPr="0057774C">
        <w:rPr>
          <w:bCs/>
          <w:i/>
          <w:sz w:val="24"/>
          <w:szCs w:val="24"/>
          <w:vertAlign w:val="superscript"/>
        </w:rPr>
        <w:t>o</w:t>
      </w:r>
      <w:r w:rsidRPr="0057774C">
        <w:rPr>
          <w:bCs/>
          <w:i/>
          <w:sz w:val="24"/>
          <w:szCs w:val="24"/>
        </w:rPr>
        <w:t xml:space="preserve"> 436/2009 de la Comisión de 26 de mayo de 2009  </w:t>
      </w:r>
      <w:r w:rsidRPr="0057774C">
        <w:rPr>
          <w:i/>
          <w:sz w:val="24"/>
          <w:szCs w:val="24"/>
        </w:rPr>
        <w:t xml:space="preserve">y </w:t>
      </w:r>
      <w:r w:rsidRPr="0057774C">
        <w:rPr>
          <w:i/>
          <w:sz w:val="24"/>
          <w:szCs w:val="24"/>
          <w:u w:val="single"/>
        </w:rPr>
        <w:t>el resto de normas, estatales o autonómicas que sean de aplicación</w:t>
      </w:r>
      <w:r w:rsidRPr="0057774C">
        <w:rPr>
          <w:i/>
          <w:sz w:val="24"/>
          <w:szCs w:val="24"/>
        </w:rPr>
        <w:t xml:space="preserve"> o que lo sustituyan.” </w:t>
      </w:r>
    </w:p>
    <w:p w:rsidR="001142FD" w:rsidRPr="0057774C" w:rsidRDefault="001142FD" w:rsidP="001142FD">
      <w:pPr>
        <w:widowControl w:val="0"/>
        <w:autoSpaceDE w:val="0"/>
        <w:autoSpaceDN w:val="0"/>
        <w:adjustRightInd w:val="0"/>
        <w:spacing w:after="240"/>
        <w:jc w:val="both"/>
        <w:rPr>
          <w:sz w:val="24"/>
          <w:szCs w:val="24"/>
        </w:rPr>
      </w:pPr>
      <w:r w:rsidRPr="0057774C">
        <w:rPr>
          <w:sz w:val="24"/>
          <w:szCs w:val="24"/>
        </w:rPr>
        <w:t>Por otro lado, tampoco se hace referencia a otras previsiones de la Ley, tales como la obligación de integrarse (los registros de los territorios) en una misma Base de Datos y la obligación de comunicación al Dpto. de Agricultura y Pesca del Gobierno Vasco cualquier modificación en el contenido del registro vitícola. Bien es cierto que estas obligaciones no tienen por qué figurar en el decreto regulador, sino que lo que deben es ser cumplidas.</w:t>
      </w:r>
    </w:p>
    <w:p w:rsidR="001142FD" w:rsidRPr="0057774C" w:rsidRDefault="001142FD" w:rsidP="001142FD">
      <w:pPr>
        <w:pStyle w:val="NormalWeb"/>
        <w:spacing w:after="128" w:line="276" w:lineRule="auto"/>
        <w:jc w:val="both"/>
        <w:rPr>
          <w:color w:val="000000"/>
        </w:rPr>
      </w:pPr>
      <w:r w:rsidRPr="0057774C">
        <w:t xml:space="preserve">Por último, en la Ley se remite a un sistema de identificación de parcelas agrícolas cuyas bases están establecidas en el Reglamento (CE) 1593/2000. Este Reglamento </w:t>
      </w:r>
      <w:r w:rsidRPr="0057774C">
        <w:rPr>
          <w:color w:val="000000"/>
        </w:rPr>
        <w:t xml:space="preserve">obliga a la </w:t>
      </w:r>
      <w:r w:rsidRPr="0057774C">
        <w:rPr>
          <w:color w:val="444444"/>
          <w:shd w:val="clear" w:color="auto" w:fill="FFFFFF"/>
        </w:rPr>
        <w:t xml:space="preserve">implantación de un sistema </w:t>
      </w:r>
      <w:proofErr w:type="spellStart"/>
      <w:r w:rsidRPr="0057774C">
        <w:rPr>
          <w:color w:val="444444"/>
          <w:shd w:val="clear" w:color="auto" w:fill="FFFFFF"/>
        </w:rPr>
        <w:t>computerizado</w:t>
      </w:r>
      <w:proofErr w:type="spellEnd"/>
      <w:r w:rsidRPr="0057774C">
        <w:rPr>
          <w:color w:val="444444"/>
          <w:shd w:val="clear" w:color="auto" w:fill="FFFFFF"/>
        </w:rPr>
        <w:t xml:space="preserve"> de información geográfica para la identificación de parcelas agrícolas</w:t>
      </w:r>
      <w:r w:rsidRPr="0057774C">
        <w:rPr>
          <w:color w:val="000000"/>
        </w:rPr>
        <w:t xml:space="preserve">, utilizando las técnicas informáticas de información geográfica, recomendando además, la utilización de </w:t>
      </w:r>
      <w:proofErr w:type="spellStart"/>
      <w:r w:rsidRPr="0057774C">
        <w:rPr>
          <w:color w:val="000000"/>
        </w:rPr>
        <w:t>ortoimágenes</w:t>
      </w:r>
      <w:proofErr w:type="spellEnd"/>
      <w:r w:rsidRPr="0057774C">
        <w:rPr>
          <w:color w:val="000000"/>
        </w:rPr>
        <w:t xml:space="preserve"> aéreas o espaciales. Dicho reglamento, también establece que, a 1 de enero de 2005, cada Estado miembro debe disponer de una base de datos gráfica de todas las parcelas de cultivo digitalizadas, con una precisión equivalente, al menos, a una cartografía a escala 1:10.000.</w:t>
      </w:r>
    </w:p>
    <w:p w:rsidR="001142FD" w:rsidRPr="0057774C" w:rsidRDefault="001142FD" w:rsidP="001142FD">
      <w:pPr>
        <w:pStyle w:val="NormalWeb"/>
        <w:spacing w:after="128" w:line="276" w:lineRule="auto"/>
        <w:jc w:val="both"/>
        <w:rPr>
          <w:color w:val="000000"/>
        </w:rPr>
      </w:pPr>
      <w:r w:rsidRPr="0057774C">
        <w:rPr>
          <w:color w:val="000000"/>
        </w:rPr>
        <w:t xml:space="preserve">El Reglamento (CE) nº 1593/2000 del Consejo de 17 de julio de 2000, modifica el Reglamento (CEE) nº 3508/92, de 27 de noviembre de 1992, que establecía un sistema integrado de gestión y control de determinados regímenes de ayuda comunitarios, entre los que se incluía un sistema de identificación de las parcelas agrícolas. El Reglamento (CE) n° 1782/2003 del Consejo, de 29 de septiembre de 2003, deroga expresamente el Reglamento (CEE) n° 3508/92, al que sustituye,  y por tanto  implícitamente también el Reglamento 1593/2000, que modifica el 3508/92. Este Reglamento 1782/2003 es derogado por el Reglamento (CE) nº 73/2009 del Consejo, de 19 de enero de 2009.No obstante, en ambos Reglamentos se mantienen las mismas obligaciones en relación con el sistema de identificación de parcelas rústicas. Este último, a su vez, es derogado por </w:t>
      </w:r>
    </w:p>
    <w:p w:rsidR="001142FD" w:rsidRPr="0057774C" w:rsidRDefault="001142FD" w:rsidP="001142FD">
      <w:pPr>
        <w:pStyle w:val="NormalWeb"/>
        <w:spacing w:after="128" w:line="276" w:lineRule="auto"/>
        <w:jc w:val="both"/>
        <w:rPr>
          <w:color w:val="000000"/>
        </w:rPr>
      </w:pPr>
    </w:p>
    <w:p w:rsidR="001142FD" w:rsidRPr="0057774C" w:rsidRDefault="001142FD" w:rsidP="001142FD">
      <w:pPr>
        <w:pStyle w:val="NormalWeb"/>
        <w:spacing w:after="128" w:line="276" w:lineRule="auto"/>
        <w:jc w:val="both"/>
      </w:pPr>
      <w:proofErr w:type="gramStart"/>
      <w:r w:rsidRPr="0057774C">
        <w:rPr>
          <w:color w:val="000000"/>
        </w:rPr>
        <w:lastRenderedPageBreak/>
        <w:t>el</w:t>
      </w:r>
      <w:proofErr w:type="gramEnd"/>
      <w:r w:rsidRPr="0057774C">
        <w:rPr>
          <w:color w:val="000000"/>
        </w:rPr>
        <w:t xml:space="preserve"> Reglamento (UE) nº 1307/2013 del Parlamento Europeo y del Consejo, de 17 de diciembre de 2013, actualmente vigente, pero que no establece ningún sistema de identificación de las parcelas agrarias. Sí que lo establece el Reglamento (UE) nº 1306/2013 del Parlamento Europeo y del Consejo, de 17 de diciembre de 2013, el cual  en su art. 70 describe los requisitos relativos  al Sistema Integrado de Gestión y Control, incluido el Sistema de Identificación de Parcelas Agrícolas. Este último Reglamento se encuentra actualmente vigente. Por tanto, la referencia que hace la Ley al Reglamento 1593/2000 hay que entenderla hecha a este último Reglamento.</w:t>
      </w:r>
    </w:p>
    <w:p w:rsidR="001142FD" w:rsidRPr="0057774C" w:rsidRDefault="001142FD" w:rsidP="001142FD">
      <w:pPr>
        <w:pStyle w:val="NormalWeb"/>
        <w:spacing w:after="128" w:line="276" w:lineRule="auto"/>
        <w:jc w:val="both"/>
      </w:pPr>
      <w:r w:rsidRPr="0057774C">
        <w:t>En el proyecto de decreto foral del Dpto. de Agricultura (art. 3.5) se refieren para ello al sistema SIGPAC (Sistema de Información Geográfica de Parcelas Agrícolas).</w:t>
      </w:r>
    </w:p>
    <w:p w:rsidR="001142FD" w:rsidRPr="0057774C" w:rsidRDefault="001142FD" w:rsidP="001142FD">
      <w:pPr>
        <w:pStyle w:val="NormalWeb"/>
        <w:spacing w:after="128" w:line="276" w:lineRule="auto"/>
        <w:jc w:val="both"/>
      </w:pPr>
      <w:r w:rsidRPr="0057774C">
        <w:t>El sistema SIGPAC fue creado por medio de RD 2128/2004, de 29 de octubre, con el fin de establecer un “</w:t>
      </w:r>
      <w:r w:rsidRPr="0057774C">
        <w:rPr>
          <w:i/>
        </w:rPr>
        <w:t>sistema de información geográfica de parcelas agrícolas, como herramienta de obligada utilización en la gestión de las ayudas comunitarias, siendo la base identificativa de cualquier tipo de ayuda relacionada con la superficie</w:t>
      </w:r>
      <w:r w:rsidRPr="0057774C">
        <w:t>”. En su art. 2.1 establece que “</w:t>
      </w:r>
      <w:r w:rsidRPr="0057774C">
        <w:rPr>
          <w:i/>
        </w:rPr>
        <w:t>El SIGPAC será, a partir de 1 de enero de 2005, el sistema de identificación de parcelas agrarias previsto en el art. 20 del Reglamento (CE) n</w:t>
      </w:r>
      <w:proofErr w:type="gramStart"/>
      <w:r w:rsidRPr="0057774C">
        <w:rPr>
          <w:i/>
        </w:rPr>
        <w:t>.º</w:t>
      </w:r>
      <w:proofErr w:type="gramEnd"/>
      <w:r w:rsidRPr="0057774C">
        <w:rPr>
          <w:i/>
        </w:rPr>
        <w:t xml:space="preserve"> 1782/2003 del Consejo, de 29 de septiembre de 2003.” </w:t>
      </w:r>
      <w:r w:rsidRPr="0057774C">
        <w:t>Este Reglamento 1782/2003, como ya hemos dicho, deroga expresamente el Reglamento (CEE) n° 3508/92, al que sustituye,  e  implícitamente el Reglamento 1593/2000. Ha sido derogado y sustituido por el Reglamento 1306/2013.</w:t>
      </w:r>
    </w:p>
    <w:p w:rsidR="001142FD" w:rsidRPr="0057774C" w:rsidRDefault="001142FD" w:rsidP="001142FD">
      <w:pPr>
        <w:pStyle w:val="NormalWeb"/>
        <w:spacing w:after="128" w:line="276" w:lineRule="auto"/>
        <w:jc w:val="both"/>
        <w:rPr>
          <w:color w:val="000000"/>
        </w:rPr>
      </w:pPr>
      <w:r w:rsidRPr="0057774C">
        <w:rPr>
          <w:color w:val="000000"/>
        </w:rPr>
        <w:t>Con posterioridad, esta regulación del  SIGPAC fue sustituida por el RD 1077/2014, de 19 de diciembre, que también establece</w:t>
      </w:r>
      <w:r w:rsidRPr="0057774C">
        <w:t xml:space="preserve"> su utilización como instrumento de gestión en el marco del sistema integrado de gestión y control y resto de regímenes de ayuda relacionados con la superficie de la política agrícola común. Es, por tanto, “</w:t>
      </w:r>
      <w:r w:rsidRPr="0057774C">
        <w:rPr>
          <w:i/>
        </w:rPr>
        <w:t>la única base de referencia para la identificación de las parcelas agrícolas en el marco de la política agrícola común</w:t>
      </w:r>
      <w:r w:rsidRPr="0057774C">
        <w:t xml:space="preserve">”, tal como proclama en su art. 2. </w:t>
      </w:r>
    </w:p>
    <w:p w:rsidR="001142FD" w:rsidRPr="0057774C" w:rsidRDefault="001142FD" w:rsidP="001142FD">
      <w:pPr>
        <w:widowControl w:val="0"/>
        <w:autoSpaceDE w:val="0"/>
        <w:autoSpaceDN w:val="0"/>
        <w:adjustRightInd w:val="0"/>
        <w:jc w:val="both"/>
        <w:rPr>
          <w:sz w:val="24"/>
          <w:szCs w:val="24"/>
        </w:rPr>
      </w:pPr>
      <w:r w:rsidRPr="0057774C">
        <w:rPr>
          <w:sz w:val="24"/>
          <w:szCs w:val="24"/>
        </w:rPr>
        <w:t>Por todo ello, esta Comisión entiende en este apartado lo siguiente:</w:t>
      </w:r>
    </w:p>
    <w:p w:rsidR="001142FD" w:rsidRPr="0057774C" w:rsidRDefault="001142FD" w:rsidP="001142FD">
      <w:pPr>
        <w:pStyle w:val="Prrafodelista"/>
        <w:widowControl w:val="0"/>
        <w:numPr>
          <w:ilvl w:val="0"/>
          <w:numId w:val="7"/>
        </w:numPr>
        <w:autoSpaceDE w:val="0"/>
        <w:autoSpaceDN w:val="0"/>
        <w:adjustRightInd w:val="0"/>
        <w:spacing w:after="0"/>
        <w:jc w:val="both"/>
        <w:rPr>
          <w:rFonts w:ascii="Times New Roman" w:hAnsi="Times New Roman"/>
          <w:sz w:val="24"/>
          <w:szCs w:val="24"/>
        </w:rPr>
      </w:pPr>
      <w:r w:rsidRPr="0057774C">
        <w:rPr>
          <w:rFonts w:ascii="Times New Roman" w:hAnsi="Times New Roman"/>
          <w:sz w:val="24"/>
          <w:szCs w:val="24"/>
        </w:rPr>
        <w:t>En el decreto foral a aprobar debiera hacerse referencia a la Ley 5/2004, a la cual desarrolla.</w:t>
      </w:r>
    </w:p>
    <w:p w:rsidR="001142FD" w:rsidRPr="0057774C" w:rsidRDefault="001142FD" w:rsidP="001142FD">
      <w:pPr>
        <w:pStyle w:val="Prrafodelista"/>
        <w:widowControl w:val="0"/>
        <w:numPr>
          <w:ilvl w:val="0"/>
          <w:numId w:val="7"/>
        </w:numPr>
        <w:autoSpaceDE w:val="0"/>
        <w:autoSpaceDN w:val="0"/>
        <w:adjustRightInd w:val="0"/>
        <w:spacing w:after="240"/>
        <w:jc w:val="both"/>
        <w:rPr>
          <w:rFonts w:ascii="Times New Roman" w:hAnsi="Times New Roman"/>
          <w:sz w:val="24"/>
          <w:szCs w:val="24"/>
        </w:rPr>
      </w:pPr>
      <w:r w:rsidRPr="0057774C">
        <w:rPr>
          <w:rFonts w:ascii="Times New Roman" w:hAnsi="Times New Roman"/>
          <w:sz w:val="24"/>
          <w:szCs w:val="24"/>
        </w:rPr>
        <w:t>En cuanto a la adecuación de la normativa del Decreto a la Ley 5/2004 y en concreto al contenido mínimo que establece la Ley, no todos los contenidos se contemplan expresamente en el decreto y la cláusula de “recogida” que establece el decreto foral del resto de informaciones obligatorias por otras normativas es absolutamente insuficiente. Además, el Reglamento 436/2009 que citan está derogado por Reglamento Delegado (UE) 2018/273 de la Comisión, como más adelante se verá.</w:t>
      </w:r>
    </w:p>
    <w:p w:rsidR="001142FD" w:rsidRPr="00C442AA" w:rsidRDefault="001142FD" w:rsidP="001142FD">
      <w:pPr>
        <w:pStyle w:val="Prrafodelista"/>
        <w:widowControl w:val="0"/>
        <w:numPr>
          <w:ilvl w:val="0"/>
          <w:numId w:val="7"/>
        </w:numPr>
        <w:autoSpaceDE w:val="0"/>
        <w:autoSpaceDN w:val="0"/>
        <w:adjustRightInd w:val="0"/>
        <w:spacing w:before="120" w:after="240"/>
        <w:jc w:val="both"/>
        <w:rPr>
          <w:rFonts w:ascii="Times New Roman" w:eastAsia="Times New Roman" w:hAnsi="Times New Roman"/>
          <w:sz w:val="24"/>
          <w:szCs w:val="24"/>
          <w:lang w:eastAsia="es-ES"/>
        </w:rPr>
      </w:pPr>
      <w:r w:rsidRPr="0057774C">
        <w:rPr>
          <w:rFonts w:ascii="Times New Roman" w:hAnsi="Times New Roman"/>
          <w:sz w:val="24"/>
          <w:szCs w:val="24"/>
        </w:rPr>
        <w:t>El Decreto cumple los requerimientos sobre los sistemas de identificación de parcelas agrícolas que establecen la Ley 5/2004, aunque ya no sea a través del Reglamento (CE) 1593/2000</w:t>
      </w:r>
      <w:proofErr w:type="gramStart"/>
      <w:r w:rsidRPr="0057774C">
        <w:rPr>
          <w:rFonts w:ascii="Times New Roman" w:hAnsi="Times New Roman"/>
          <w:sz w:val="24"/>
          <w:szCs w:val="24"/>
        </w:rPr>
        <w:t>,sino</w:t>
      </w:r>
      <w:proofErr w:type="gramEnd"/>
      <w:r w:rsidRPr="0057774C">
        <w:rPr>
          <w:rFonts w:ascii="Times New Roman" w:hAnsi="Times New Roman"/>
          <w:sz w:val="24"/>
          <w:szCs w:val="24"/>
        </w:rPr>
        <w:t xml:space="preserve"> del Reglamento (UE) nº 1306/2013, que le sustituye en virtud de las derogaciones anteriormente descritas.</w:t>
      </w:r>
    </w:p>
    <w:p w:rsidR="001142FD" w:rsidRDefault="001142FD" w:rsidP="001142FD">
      <w:pPr>
        <w:widowControl w:val="0"/>
        <w:autoSpaceDE w:val="0"/>
        <w:autoSpaceDN w:val="0"/>
        <w:adjustRightInd w:val="0"/>
        <w:spacing w:before="120" w:after="240"/>
        <w:jc w:val="both"/>
        <w:rPr>
          <w:sz w:val="24"/>
          <w:szCs w:val="24"/>
        </w:rPr>
      </w:pPr>
    </w:p>
    <w:p w:rsidR="001142FD" w:rsidRPr="00C442AA" w:rsidRDefault="001142FD" w:rsidP="001142FD">
      <w:pPr>
        <w:widowControl w:val="0"/>
        <w:autoSpaceDE w:val="0"/>
        <w:autoSpaceDN w:val="0"/>
        <w:adjustRightInd w:val="0"/>
        <w:spacing w:before="120" w:after="240"/>
        <w:jc w:val="both"/>
        <w:rPr>
          <w:sz w:val="24"/>
          <w:szCs w:val="24"/>
        </w:rPr>
      </w:pPr>
    </w:p>
    <w:p w:rsidR="001142FD" w:rsidRPr="0057774C" w:rsidRDefault="001142FD" w:rsidP="001142FD">
      <w:pPr>
        <w:pStyle w:val="Prrafodelista"/>
        <w:widowControl w:val="0"/>
        <w:autoSpaceDE w:val="0"/>
        <w:autoSpaceDN w:val="0"/>
        <w:adjustRightInd w:val="0"/>
        <w:spacing w:before="120" w:after="240"/>
        <w:ind w:left="1068"/>
        <w:jc w:val="both"/>
        <w:rPr>
          <w:rFonts w:ascii="Times New Roman" w:eastAsia="Times New Roman" w:hAnsi="Times New Roman"/>
          <w:sz w:val="24"/>
          <w:szCs w:val="24"/>
          <w:lang w:eastAsia="es-ES"/>
        </w:rPr>
      </w:pPr>
    </w:p>
    <w:p w:rsidR="001142FD" w:rsidRPr="0057774C" w:rsidRDefault="001142FD" w:rsidP="001142FD">
      <w:pPr>
        <w:pStyle w:val="Prrafodelista"/>
        <w:numPr>
          <w:ilvl w:val="0"/>
          <w:numId w:val="9"/>
        </w:numPr>
        <w:spacing w:before="120" w:after="240"/>
        <w:jc w:val="both"/>
        <w:rPr>
          <w:rFonts w:ascii="Times New Roman" w:eastAsia="Times New Roman" w:hAnsi="Times New Roman"/>
          <w:b/>
          <w:sz w:val="24"/>
          <w:szCs w:val="24"/>
          <w:lang w:val="es-ES_tradnl" w:eastAsia="es-ES"/>
        </w:rPr>
      </w:pPr>
      <w:r w:rsidRPr="0057774C">
        <w:rPr>
          <w:rFonts w:ascii="Times New Roman" w:eastAsia="Times New Roman" w:hAnsi="Times New Roman"/>
          <w:b/>
          <w:sz w:val="24"/>
          <w:szCs w:val="24"/>
          <w:lang w:val="es-ES_tradnl" w:eastAsia="es-ES"/>
        </w:rPr>
        <w:t>Normativa de la Unión Europea</w:t>
      </w:r>
    </w:p>
    <w:p w:rsidR="001142FD" w:rsidRPr="0057774C" w:rsidRDefault="001142FD" w:rsidP="001142FD">
      <w:pPr>
        <w:spacing w:before="120" w:after="240"/>
        <w:jc w:val="both"/>
        <w:rPr>
          <w:sz w:val="24"/>
          <w:szCs w:val="24"/>
          <w:lang w:val="es-ES_tradnl"/>
        </w:rPr>
      </w:pPr>
      <w:r w:rsidRPr="0057774C">
        <w:rPr>
          <w:sz w:val="24"/>
          <w:szCs w:val="24"/>
          <w:lang w:val="es-ES_tradnl"/>
        </w:rPr>
        <w:t>El motivo de establecer esta nueva regulación del Registro Vitícola, según viene explicitado en la parte expositiva del proyecto de decreto foral que aprueba la normativa reguladora del Registro Vitícola y en la del propio decreto foral regulador, consiste en la aprobación en pasados años de diferentes normativas de rango comunitario que han modificado el sector vitícola, concretamente al establecer un nuevo sistema para la gestión de plantaciones de viñedo en el ámbito de la Unión Europea basado en autorizaciones, y que son las siguientes:</w:t>
      </w:r>
    </w:p>
    <w:p w:rsidR="001142FD" w:rsidRPr="0057774C" w:rsidRDefault="001142FD" w:rsidP="001142FD">
      <w:pPr>
        <w:pStyle w:val="Prrafodelista"/>
        <w:numPr>
          <w:ilvl w:val="0"/>
          <w:numId w:val="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eastAsia="es-ES"/>
        </w:rPr>
        <w:t>El Reglamento (UE) nº 1308/2013, del Parlamento Europeo y del Consejo, de 17 de diciembre, por el que se crea la organización común de mercados de los productos agrarios, que establece un nuevo sistema para la gestión de plantaciones de viñedo en el ámbito de la Unión Europea basado en autorizaciones.</w:t>
      </w:r>
    </w:p>
    <w:p w:rsidR="001142FD" w:rsidRPr="0057774C" w:rsidRDefault="001142FD" w:rsidP="001142FD">
      <w:pPr>
        <w:pStyle w:val="Prrafodelista"/>
        <w:numPr>
          <w:ilvl w:val="0"/>
          <w:numId w:val="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eastAsia="es-ES"/>
        </w:rPr>
        <w:t>El Reglamento de Ejecución (UE) nº 2015/561 de la Comisión, de 7 de abril de 2015, por el que se establecen disposiciones de aplicación del Reglamento (UE) nº 1308/2013 del Parlamento Europeo y del Consejo en lo que respecta al régimen de autorizaciones para plantaciones de vid.</w:t>
      </w:r>
    </w:p>
    <w:p w:rsidR="001142FD" w:rsidRPr="0057774C" w:rsidRDefault="001142FD" w:rsidP="001142FD">
      <w:pPr>
        <w:pStyle w:val="Prrafodelista"/>
        <w:numPr>
          <w:ilvl w:val="0"/>
          <w:numId w:val="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eastAsia="es-ES"/>
        </w:rPr>
        <w:t>El Reglamento Delegado (UE) nº 2015/560 de la Comisión, de 15 de diciembre, por el que se completa el Reglamento (UE) nº 1308/2013 del Parlamento Europeo y del Consejo en lo que respecta al régimen de autorizaciones para plantaciones de vid.</w:t>
      </w:r>
    </w:p>
    <w:p w:rsidR="001142FD" w:rsidRPr="0057774C" w:rsidRDefault="001142FD" w:rsidP="001142FD">
      <w:pPr>
        <w:pStyle w:val="Prrafodelista"/>
        <w:numPr>
          <w:ilvl w:val="0"/>
          <w:numId w:val="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El Reglamento (CE) nº 436/2009 de la Comisión, de 26 de mayo, en lo que respecta a la información que debe contener el Registro Vitícola.</w:t>
      </w:r>
    </w:p>
    <w:p w:rsidR="001142FD" w:rsidRPr="0057774C" w:rsidRDefault="001142FD" w:rsidP="001142FD">
      <w:pPr>
        <w:jc w:val="both"/>
        <w:rPr>
          <w:color w:val="404040"/>
          <w:sz w:val="24"/>
          <w:szCs w:val="24"/>
          <w:shd w:val="clear" w:color="auto" w:fill="FFFFFF"/>
        </w:rPr>
      </w:pPr>
      <w:r w:rsidRPr="0057774C">
        <w:rPr>
          <w:sz w:val="24"/>
          <w:szCs w:val="24"/>
          <w:lang w:val="es-ES_tradnl"/>
        </w:rPr>
        <w:t xml:space="preserve">Los Reglamentos aprobados por las diferentes instituciones de la Unión Europea </w:t>
      </w:r>
      <w:r w:rsidRPr="0057774C">
        <w:rPr>
          <w:color w:val="222222"/>
          <w:sz w:val="24"/>
          <w:szCs w:val="24"/>
          <w:shd w:val="clear" w:color="auto" w:fill="FFFFFF"/>
        </w:rPr>
        <w:t xml:space="preserve">son actos jurídicos que se aplican de manera automática y uniforme en todos los países de la UE desde su entrada en vigor, sin necesidad de incorporación al Derecho de cada Estado. Son, por tanto, obligatorios, en todos sus elementos, en los Estados miembros. </w:t>
      </w:r>
      <w:r w:rsidRPr="0057774C">
        <w:rPr>
          <w:color w:val="404040"/>
          <w:sz w:val="24"/>
          <w:szCs w:val="24"/>
          <w:shd w:val="clear" w:color="auto" w:fill="FFFFFF"/>
        </w:rPr>
        <w:t>Los Reglamentos son, en consecuencia, actos legislativos vinculantes y deben aplicarse en su integridad en toda la UE. Por ello, en este dictamen es preciso analizar también la adecuación de la normativa que el Departamento de Agricultura pretende aprobar a esta normativa emanada de la UE.</w:t>
      </w:r>
    </w:p>
    <w:p w:rsidR="001142FD" w:rsidRPr="0057774C" w:rsidRDefault="001142FD" w:rsidP="001142FD">
      <w:pPr>
        <w:pStyle w:val="NormalWeb"/>
        <w:shd w:val="clear" w:color="auto" w:fill="FFFFFF"/>
        <w:spacing w:line="276" w:lineRule="auto"/>
        <w:jc w:val="both"/>
        <w:rPr>
          <w:color w:val="272727"/>
        </w:rPr>
      </w:pPr>
      <w:r w:rsidRPr="0057774C">
        <w:rPr>
          <w:color w:val="404040"/>
          <w:shd w:val="clear" w:color="auto" w:fill="FFFFFF"/>
        </w:rPr>
        <w:t xml:space="preserve">En este punto, resulta necesario analizar la coincidencia de normativas, de una parte la estatal/autonómica y por otra la comunitaria/europea y por ello establecer la supremacía de normas a aplicar. Resulta ya como absolutamente consolidada la prevalencia del derecho comunitario frente al estatal, especialmente a partir de la </w:t>
      </w:r>
      <w:r w:rsidRPr="0057774C">
        <w:rPr>
          <w:color w:val="272727"/>
        </w:rPr>
        <w:t xml:space="preserve">Sentencia del TJCE, </w:t>
      </w:r>
      <w:proofErr w:type="spellStart"/>
      <w:r w:rsidRPr="0057774C">
        <w:rPr>
          <w:color w:val="272727"/>
        </w:rPr>
        <w:t>Simmenthal</w:t>
      </w:r>
      <w:proofErr w:type="spellEnd"/>
      <w:r w:rsidRPr="0057774C">
        <w:rPr>
          <w:color w:val="272727"/>
        </w:rPr>
        <w:t xml:space="preserve">, de 9 de marzo de 1978,que marca el precedente a partir del cual se construyen los efectos del principio de primacía </w:t>
      </w:r>
      <w:r w:rsidRPr="0057774C">
        <w:rPr>
          <w:color w:val="404040"/>
          <w:shd w:val="clear" w:color="auto" w:fill="FFFFFF"/>
        </w:rPr>
        <w:t>del derecho comunitario. Así, c</w:t>
      </w:r>
      <w:r w:rsidRPr="0057774C">
        <w:rPr>
          <w:color w:val="272727"/>
        </w:rPr>
        <w:t>uando una norma interna de fecha anterior a una norma de la UE resulta incompatible, la primera resulta absolutamente inaplicable, entendiéndose tácitamente derogada </w:t>
      </w:r>
      <w:r w:rsidRPr="0057774C">
        <w:rPr>
          <w:rStyle w:val="nfasis"/>
          <w:color w:val="272727"/>
        </w:rPr>
        <w:t>(</w:t>
      </w:r>
      <w:proofErr w:type="spellStart"/>
      <w:r w:rsidRPr="0057774C">
        <w:rPr>
          <w:rStyle w:val="nfasis"/>
          <w:color w:val="272727"/>
        </w:rPr>
        <w:t>lex</w:t>
      </w:r>
      <w:proofErr w:type="spellEnd"/>
      <w:r w:rsidRPr="0057774C">
        <w:rPr>
          <w:rStyle w:val="nfasis"/>
          <w:color w:val="272727"/>
        </w:rPr>
        <w:t xml:space="preserve"> posterior </w:t>
      </w:r>
      <w:proofErr w:type="spellStart"/>
      <w:r w:rsidRPr="0057774C">
        <w:rPr>
          <w:rStyle w:val="nfasis"/>
          <w:color w:val="272727"/>
        </w:rPr>
        <w:t>derogat</w:t>
      </w:r>
      <w:proofErr w:type="spellEnd"/>
      <w:r w:rsidRPr="0057774C">
        <w:rPr>
          <w:rStyle w:val="nfasis"/>
          <w:color w:val="272727"/>
        </w:rPr>
        <w:t xml:space="preserve"> </w:t>
      </w:r>
      <w:proofErr w:type="spellStart"/>
      <w:r w:rsidRPr="0057774C">
        <w:rPr>
          <w:rStyle w:val="nfasis"/>
          <w:color w:val="272727"/>
        </w:rPr>
        <w:t>lex</w:t>
      </w:r>
      <w:proofErr w:type="spellEnd"/>
      <w:r w:rsidRPr="0057774C">
        <w:rPr>
          <w:rStyle w:val="nfasis"/>
          <w:color w:val="272727"/>
        </w:rPr>
        <w:t xml:space="preserve"> anterior)</w:t>
      </w:r>
      <w:r w:rsidRPr="0057774C">
        <w:rPr>
          <w:color w:val="272727"/>
        </w:rPr>
        <w:t>.</w:t>
      </w:r>
    </w:p>
    <w:p w:rsidR="001142FD" w:rsidRPr="0057774C" w:rsidRDefault="001142FD" w:rsidP="001142FD">
      <w:pPr>
        <w:pStyle w:val="NormalWeb"/>
        <w:shd w:val="clear" w:color="auto" w:fill="FFFFFF"/>
        <w:spacing w:line="276" w:lineRule="auto"/>
        <w:jc w:val="both"/>
      </w:pPr>
      <w:r w:rsidRPr="0057774C">
        <w:rPr>
          <w:color w:val="272727"/>
        </w:rPr>
        <w:lastRenderedPageBreak/>
        <w:t xml:space="preserve">En el presente caso se podría plantear un posible conflicto entre el contenido que la </w:t>
      </w:r>
      <w:r w:rsidRPr="0057774C">
        <w:t>Ley 5/2004 dedica al registro vitícola y los Reglamentos de la UE que regulan la misma materia, que se enuncian a continuación, y que son todos ellos de fecha posterior a la citada Ley.  Pues bien, examinadas ambas legislaciones, y reconociendo la jerarquía normativa expresada anteriormente, se encuentra que, no al no existir contradicciones o regulaciones expresamente diferentes, ambas normativas pueden ser compatibles.</w:t>
      </w:r>
    </w:p>
    <w:p w:rsidR="001142FD" w:rsidRDefault="001142FD" w:rsidP="001142FD">
      <w:pPr>
        <w:jc w:val="both"/>
        <w:rPr>
          <w:sz w:val="24"/>
          <w:szCs w:val="24"/>
        </w:rPr>
      </w:pPr>
      <w:r w:rsidRPr="0057774C">
        <w:rPr>
          <w:sz w:val="24"/>
          <w:szCs w:val="24"/>
          <w:lang w:val="es-ES_tradnl"/>
        </w:rPr>
        <w:t>Pues bien, y volviendo a la normativa europea citada en el proyecto, de los anteriormente relacionados cuatro reglamentos, tres de ellos se encuentran actualmente derogados por otras normas de la UE. Así, e</w:t>
      </w:r>
      <w:r w:rsidRPr="0057774C">
        <w:rPr>
          <w:sz w:val="24"/>
          <w:szCs w:val="24"/>
        </w:rPr>
        <w:t>l Reglamento de Ejecución (UE) nº 2015/561 de la Comisión, de 7 de abril de 2015, se encuentra derogado expresamente por el Reglamento de Ejecución (UE) 2018/274, de la Comisión, de 11 de diciembre de 2017.Por su parte, el Reglamento Delegado (UE) nº 2015/560 de la Comisión, de 15 de diciembre se encuentra también derogado expresamente por Reglamento Delegado (UE) 2018/273, de la Comisión, de 11 de diciembre de 2017.Por último, e</w:t>
      </w:r>
      <w:r w:rsidRPr="0057774C">
        <w:rPr>
          <w:sz w:val="24"/>
          <w:szCs w:val="24"/>
          <w:lang w:val="es-ES_tradnl"/>
        </w:rPr>
        <w:t>l Reglamento (CE) nº 436/2009 de la Comisión, de 26 de mayo de 2009, se encuentra también derogado por</w:t>
      </w:r>
      <w:r w:rsidRPr="0057774C">
        <w:rPr>
          <w:sz w:val="24"/>
          <w:szCs w:val="24"/>
          <w:shd w:val="clear" w:color="auto" w:fill="FFFFFF"/>
        </w:rPr>
        <w:t xml:space="preserve">Reglamento Delegado (UE) 2018/273 de la Comisión, de 11 de diciembre de 2017. </w:t>
      </w:r>
      <w:r w:rsidRPr="0057774C">
        <w:rPr>
          <w:sz w:val="24"/>
          <w:szCs w:val="24"/>
        </w:rPr>
        <w:t>El único que se encuentra en vigor actualmente es el Reglamento (UE) nº 1308/2013, del Parlamento Europeo y del Consejo, de 17 de diciembre.</w:t>
      </w:r>
    </w:p>
    <w:p w:rsidR="001142FD" w:rsidRPr="0057774C" w:rsidRDefault="001142FD" w:rsidP="001142FD">
      <w:pPr>
        <w:jc w:val="both"/>
        <w:rPr>
          <w:sz w:val="24"/>
          <w:szCs w:val="24"/>
        </w:rPr>
      </w:pPr>
    </w:p>
    <w:p w:rsidR="001142FD" w:rsidRDefault="001142FD" w:rsidP="001142FD">
      <w:pPr>
        <w:jc w:val="both"/>
        <w:rPr>
          <w:sz w:val="24"/>
          <w:szCs w:val="24"/>
        </w:rPr>
      </w:pPr>
      <w:r w:rsidRPr="0057774C">
        <w:rPr>
          <w:sz w:val="24"/>
          <w:szCs w:val="24"/>
        </w:rPr>
        <w:t>A continuación pasamos a examinar la  adecuación del proyecto a la normativa europea citada.</w:t>
      </w:r>
    </w:p>
    <w:p w:rsidR="001142FD" w:rsidRPr="0057774C" w:rsidRDefault="001142FD" w:rsidP="001142FD">
      <w:pPr>
        <w:jc w:val="both"/>
        <w:rPr>
          <w:sz w:val="24"/>
          <w:szCs w:val="24"/>
        </w:rPr>
      </w:pPr>
    </w:p>
    <w:p w:rsidR="001142FD" w:rsidRDefault="001142FD" w:rsidP="001142FD">
      <w:pPr>
        <w:jc w:val="both"/>
        <w:rPr>
          <w:sz w:val="24"/>
          <w:szCs w:val="24"/>
        </w:rPr>
      </w:pPr>
      <w:r w:rsidRPr="0057774C">
        <w:rPr>
          <w:sz w:val="24"/>
          <w:szCs w:val="24"/>
        </w:rPr>
        <w:t xml:space="preserve">El </w:t>
      </w:r>
      <w:r w:rsidRPr="0057774C">
        <w:rPr>
          <w:b/>
          <w:sz w:val="24"/>
          <w:szCs w:val="24"/>
        </w:rPr>
        <w:t>Reglamento (UE) nº 1308/2013</w:t>
      </w:r>
      <w:r w:rsidRPr="0057774C">
        <w:rPr>
          <w:sz w:val="24"/>
          <w:szCs w:val="24"/>
        </w:rPr>
        <w:t xml:space="preserve">, del Parlamento Europeo y del Consejo, de 17 de diciembre de 2013, por el que se crea la organización común de mercados de los productos agrarios y por el que se derogan los Reglamentos (CEE) 922/72, (CEE) 234/79, (CE) 1037/2001 y (CE) 1234/2007, regula el </w:t>
      </w:r>
      <w:r w:rsidRPr="0057774C">
        <w:rPr>
          <w:b/>
          <w:sz w:val="24"/>
          <w:szCs w:val="24"/>
          <w:u w:val="single"/>
        </w:rPr>
        <w:t>registro vitícola</w:t>
      </w:r>
      <w:r w:rsidRPr="0057774C">
        <w:rPr>
          <w:sz w:val="24"/>
          <w:szCs w:val="24"/>
        </w:rPr>
        <w:t xml:space="preserve"> en su </w:t>
      </w:r>
      <w:r w:rsidRPr="0057774C">
        <w:rPr>
          <w:b/>
          <w:sz w:val="24"/>
          <w:szCs w:val="24"/>
          <w:u w:val="single"/>
        </w:rPr>
        <w:t>art. 145</w:t>
      </w:r>
      <w:r w:rsidRPr="0057774C">
        <w:rPr>
          <w:sz w:val="24"/>
          <w:szCs w:val="24"/>
        </w:rPr>
        <w:t>, de la forma siguiente:</w:t>
      </w:r>
    </w:p>
    <w:p w:rsidR="001142FD" w:rsidRPr="0057774C" w:rsidRDefault="001142FD" w:rsidP="001142FD">
      <w:pPr>
        <w:jc w:val="both"/>
        <w:rPr>
          <w:sz w:val="24"/>
          <w:szCs w:val="24"/>
        </w:rPr>
      </w:pPr>
    </w:p>
    <w:p w:rsidR="001142FD" w:rsidRDefault="001142FD" w:rsidP="001142FD">
      <w:pPr>
        <w:jc w:val="both"/>
        <w:rPr>
          <w:i/>
          <w:sz w:val="24"/>
          <w:szCs w:val="24"/>
        </w:rPr>
      </w:pPr>
      <w:r w:rsidRPr="0057774C">
        <w:rPr>
          <w:sz w:val="24"/>
          <w:szCs w:val="24"/>
        </w:rPr>
        <w:t>“</w:t>
      </w:r>
      <w:r w:rsidRPr="0057774C">
        <w:rPr>
          <w:i/>
          <w:sz w:val="24"/>
          <w:szCs w:val="24"/>
        </w:rPr>
        <w:t>1. Los Estados miembros llevarán un registro vitícola con información actualizada del potencial productivo. A partir del 1 de enero de 2016, esta obligación será aplicable cuando los Estados miembros apliquen el régimen de autorizaciones para la plantación de viñas a que se refiere el capítulo III del título I o un programa nacional de ayuda.</w:t>
      </w:r>
    </w:p>
    <w:p w:rsidR="001142FD" w:rsidRPr="0057774C" w:rsidRDefault="001142FD" w:rsidP="001142FD">
      <w:pPr>
        <w:jc w:val="both"/>
        <w:rPr>
          <w:i/>
          <w:sz w:val="24"/>
          <w:szCs w:val="24"/>
        </w:rPr>
      </w:pPr>
    </w:p>
    <w:p w:rsidR="001142FD" w:rsidRDefault="001142FD" w:rsidP="001142FD">
      <w:pPr>
        <w:jc w:val="both"/>
        <w:rPr>
          <w:i/>
          <w:sz w:val="24"/>
          <w:szCs w:val="24"/>
        </w:rPr>
      </w:pPr>
      <w:r w:rsidRPr="0057774C">
        <w:rPr>
          <w:i/>
          <w:sz w:val="24"/>
          <w:szCs w:val="24"/>
        </w:rPr>
        <w:t>/…/</w:t>
      </w:r>
    </w:p>
    <w:p w:rsidR="001142FD" w:rsidRPr="0057774C" w:rsidRDefault="001142FD" w:rsidP="001142FD">
      <w:pPr>
        <w:jc w:val="both"/>
        <w:rPr>
          <w:i/>
          <w:sz w:val="24"/>
          <w:szCs w:val="24"/>
        </w:rPr>
      </w:pPr>
    </w:p>
    <w:p w:rsidR="001142FD" w:rsidRDefault="001142FD" w:rsidP="001142FD">
      <w:pPr>
        <w:jc w:val="both"/>
        <w:rPr>
          <w:i/>
          <w:sz w:val="24"/>
          <w:szCs w:val="24"/>
        </w:rPr>
      </w:pPr>
      <w:r w:rsidRPr="0057774C">
        <w:rPr>
          <w:i/>
          <w:sz w:val="24"/>
          <w:szCs w:val="24"/>
        </w:rPr>
        <w:t>3. A fin de facilitar el seguimiento y la verificación del potencial productivo por parte de los Estados miembros, se otorgan a la Comisión los poderes para adoptar actos delegados con arreglo al art. 227 por los que se establezcan las disposiciones sobre el contenido del registro vitícola y las excepciones.”</w:t>
      </w:r>
    </w:p>
    <w:p w:rsidR="001142FD" w:rsidRDefault="001142FD" w:rsidP="001142FD">
      <w:pPr>
        <w:jc w:val="both"/>
        <w:rPr>
          <w:i/>
          <w:sz w:val="24"/>
          <w:szCs w:val="24"/>
        </w:rPr>
      </w:pPr>
    </w:p>
    <w:p w:rsidR="001142FD" w:rsidRPr="0057774C" w:rsidRDefault="001142FD" w:rsidP="001142FD">
      <w:pPr>
        <w:jc w:val="both"/>
        <w:rPr>
          <w:i/>
          <w:sz w:val="24"/>
          <w:szCs w:val="24"/>
        </w:rPr>
      </w:pPr>
    </w:p>
    <w:p w:rsidR="001142FD" w:rsidRDefault="001142FD" w:rsidP="001142FD">
      <w:pPr>
        <w:jc w:val="both"/>
        <w:rPr>
          <w:sz w:val="24"/>
          <w:szCs w:val="24"/>
        </w:rPr>
      </w:pPr>
      <w:r w:rsidRPr="0057774C">
        <w:rPr>
          <w:sz w:val="24"/>
          <w:szCs w:val="24"/>
        </w:rPr>
        <w:t xml:space="preserve">En ejecución de este apartado 3 del art. 145 del Reglamento 1308/2013, la Comisión Europea aprobó el </w:t>
      </w:r>
      <w:r w:rsidRPr="0057774C">
        <w:rPr>
          <w:b/>
          <w:sz w:val="24"/>
          <w:szCs w:val="24"/>
        </w:rPr>
        <w:t>Reglamento Delegado (UE) 2018/273</w:t>
      </w:r>
      <w:r w:rsidRPr="0057774C">
        <w:rPr>
          <w:sz w:val="24"/>
          <w:szCs w:val="24"/>
        </w:rPr>
        <w:t xml:space="preserve">, de 11 de diciembre de 2017, que en su </w:t>
      </w:r>
      <w:r w:rsidRPr="0057774C">
        <w:rPr>
          <w:b/>
          <w:sz w:val="24"/>
          <w:szCs w:val="24"/>
          <w:u w:val="single"/>
        </w:rPr>
        <w:t>art. 7</w:t>
      </w:r>
      <w:r w:rsidRPr="0057774C">
        <w:rPr>
          <w:sz w:val="24"/>
          <w:szCs w:val="24"/>
        </w:rPr>
        <w:t xml:space="preserve"> regula las </w:t>
      </w:r>
      <w:r w:rsidRPr="0057774C">
        <w:rPr>
          <w:b/>
          <w:sz w:val="24"/>
          <w:szCs w:val="24"/>
          <w:u w:val="single"/>
        </w:rPr>
        <w:t>informaciones mínimas que debe contener el registro vitícola</w:t>
      </w:r>
      <w:r w:rsidRPr="0057774C">
        <w:rPr>
          <w:sz w:val="24"/>
          <w:szCs w:val="24"/>
        </w:rPr>
        <w:t xml:space="preserve">. A este respecto establece que, para los Estados miembros que apliquen el régimen de autorizaciones para plantaciones de vid, la información actualizada contenida en el registro vitícola incluirá, al menos, los detalles y especificaciones establecidos en los anexos III y IV del presente reglamento, en relación con cada </w:t>
      </w:r>
      <w:r w:rsidRPr="0057774C">
        <w:rPr>
          <w:sz w:val="24"/>
          <w:szCs w:val="24"/>
        </w:rPr>
        <w:lastRenderedPageBreak/>
        <w:t>viticultor. Estos detalles/informaciones y especificaciones que deben incluirse en el registro vitícola son los siguientes:</w:t>
      </w:r>
    </w:p>
    <w:p w:rsidR="001142FD" w:rsidRPr="0057774C" w:rsidRDefault="001142FD" w:rsidP="001142FD">
      <w:pPr>
        <w:jc w:val="both"/>
        <w:rPr>
          <w:sz w:val="24"/>
          <w:szCs w:val="24"/>
        </w:rPr>
      </w:pPr>
    </w:p>
    <w:p w:rsidR="001142FD" w:rsidRPr="0057774C" w:rsidRDefault="001142FD" w:rsidP="001142FD">
      <w:pPr>
        <w:pStyle w:val="Prrafodelista"/>
        <w:numPr>
          <w:ilvl w:val="0"/>
          <w:numId w:val="11"/>
        </w:numPr>
        <w:jc w:val="both"/>
        <w:rPr>
          <w:rFonts w:ascii="Times New Roman" w:eastAsia="Times New Roman" w:hAnsi="Times New Roman"/>
          <w:sz w:val="24"/>
          <w:szCs w:val="24"/>
          <w:u w:val="single"/>
          <w:lang w:eastAsia="es-ES"/>
        </w:rPr>
      </w:pPr>
      <w:r w:rsidRPr="0057774C">
        <w:rPr>
          <w:rFonts w:ascii="Times New Roman" w:eastAsia="Times New Roman" w:hAnsi="Times New Roman"/>
          <w:b/>
          <w:sz w:val="24"/>
          <w:szCs w:val="24"/>
          <w:u w:val="single"/>
          <w:lang w:eastAsia="es-ES"/>
        </w:rPr>
        <w:t>Anexo III</w:t>
      </w:r>
      <w:r w:rsidRPr="0057774C">
        <w:rPr>
          <w:rFonts w:ascii="Times New Roman" w:eastAsia="Times New Roman" w:hAnsi="Times New Roman"/>
          <w:sz w:val="24"/>
          <w:szCs w:val="24"/>
          <w:lang w:eastAsia="es-ES"/>
        </w:rPr>
        <w:t xml:space="preserve"> (Información mínima)</w:t>
      </w:r>
    </w:p>
    <w:p w:rsidR="001142FD" w:rsidRPr="0057774C" w:rsidRDefault="001142FD" w:rsidP="001142FD">
      <w:pPr>
        <w:pStyle w:val="Prrafodelista"/>
        <w:numPr>
          <w:ilvl w:val="0"/>
          <w:numId w:val="12"/>
        </w:numPr>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Expediente de explotación</w:t>
      </w:r>
    </w:p>
    <w:p w:rsidR="001142FD" w:rsidRPr="0057774C" w:rsidRDefault="001142FD" w:rsidP="001142FD">
      <w:pPr>
        <w:pStyle w:val="Prrafodelista"/>
        <w:numPr>
          <w:ilvl w:val="1"/>
          <w:numId w:val="13"/>
        </w:numPr>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Identificación del viticultor.</w:t>
      </w:r>
    </w:p>
    <w:p w:rsidR="001142FD" w:rsidRPr="0057774C" w:rsidRDefault="001142FD" w:rsidP="001142FD">
      <w:pPr>
        <w:pStyle w:val="Prrafodelista"/>
        <w:numPr>
          <w:ilvl w:val="1"/>
          <w:numId w:val="13"/>
        </w:numPr>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Lista y localización de todas las parcelas vitícolas que no se considera que incluyen únicamente superficies vitícolas abandonadas.</w:t>
      </w:r>
    </w:p>
    <w:p w:rsidR="001142FD" w:rsidRPr="0057774C" w:rsidRDefault="001142FD" w:rsidP="001142FD">
      <w:pPr>
        <w:pStyle w:val="Prrafodelista"/>
        <w:numPr>
          <w:ilvl w:val="1"/>
          <w:numId w:val="13"/>
        </w:numPr>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Características de la(s) superficie(s) plantada(s) de vid en la parcela vitícola:</w:t>
      </w:r>
    </w:p>
    <w:p w:rsidR="001142FD" w:rsidRPr="0057774C" w:rsidRDefault="001142FD" w:rsidP="001142FD">
      <w:pPr>
        <w:ind w:left="1068"/>
        <w:jc w:val="both"/>
        <w:rPr>
          <w:sz w:val="24"/>
          <w:szCs w:val="24"/>
        </w:rPr>
      </w:pPr>
      <w:r w:rsidRPr="0057774C">
        <w:rPr>
          <w:sz w:val="24"/>
          <w:szCs w:val="24"/>
        </w:rPr>
        <w:t>1.3.1 identificación de la parcela vitícola. Se establecen las características del sistema de identificación de las parcelas vitícolas;</w:t>
      </w:r>
    </w:p>
    <w:p w:rsidR="001142FD" w:rsidRPr="0057774C" w:rsidRDefault="001142FD" w:rsidP="001142FD">
      <w:pPr>
        <w:pStyle w:val="Prrafodelista"/>
        <w:spacing w:after="0"/>
        <w:ind w:left="1068"/>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1.3.2 superficie de la parcela vitícola. En caso de que esté asociada con otros cultivos: superficie total y superficie plantada de vid convertida en cultivo puro;</w:t>
      </w:r>
    </w:p>
    <w:p w:rsidR="001142FD" w:rsidRPr="0057774C" w:rsidRDefault="001142FD" w:rsidP="001142FD">
      <w:pPr>
        <w:pStyle w:val="Prrafodelista"/>
        <w:spacing w:after="0"/>
        <w:ind w:left="1068"/>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1.3.3 desglose de superficies total y convertida en cultivo puro relativas a superficies plantadas de vid para la producción de vino con Denominación de Origen (DOP</w:t>
      </w:r>
      <w:proofErr w:type="gramStart"/>
      <w:r w:rsidRPr="0057774C">
        <w:rPr>
          <w:rFonts w:ascii="Times New Roman" w:eastAsia="Times New Roman" w:hAnsi="Times New Roman"/>
          <w:sz w:val="24"/>
          <w:szCs w:val="24"/>
          <w:lang w:eastAsia="es-ES"/>
        </w:rPr>
        <w:t>)o</w:t>
      </w:r>
      <w:proofErr w:type="gramEnd"/>
      <w:r w:rsidRPr="0057774C">
        <w:rPr>
          <w:rFonts w:ascii="Times New Roman" w:eastAsia="Times New Roman" w:hAnsi="Times New Roman"/>
          <w:sz w:val="24"/>
          <w:szCs w:val="24"/>
          <w:lang w:eastAsia="es-ES"/>
        </w:rPr>
        <w:t xml:space="preserve"> con IGP o con otro destino;</w:t>
      </w:r>
    </w:p>
    <w:p w:rsidR="001142FD" w:rsidRPr="0057774C" w:rsidRDefault="001142FD" w:rsidP="001142FD">
      <w:pPr>
        <w:pStyle w:val="Prrafodelista"/>
        <w:ind w:left="1068"/>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1.3.4 variedades de uva, con sus superficies respectivas y color de la uva,</w:t>
      </w:r>
    </w:p>
    <w:p w:rsidR="001142FD" w:rsidRPr="0057774C" w:rsidRDefault="001142FD" w:rsidP="001142FD">
      <w:pPr>
        <w:pStyle w:val="Prrafodelista"/>
        <w:ind w:left="1068"/>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1.3.5 año de plantación o edad estimada de la parcela vitícola;</w:t>
      </w:r>
    </w:p>
    <w:p w:rsidR="001142FD" w:rsidRPr="0057774C" w:rsidRDefault="001142FD" w:rsidP="001142FD">
      <w:pPr>
        <w:pStyle w:val="Prrafodelista"/>
        <w:ind w:left="1068"/>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1.3.6 superficie plantada de vid que ha sido objeto de reestructuración o reconversión (art. 46 Reglamento 1308/2013);</w:t>
      </w:r>
    </w:p>
    <w:p w:rsidR="001142FD" w:rsidRPr="0057774C" w:rsidRDefault="001142FD" w:rsidP="001142FD">
      <w:pPr>
        <w:pStyle w:val="Prrafodelista"/>
        <w:ind w:left="1068"/>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1.3.7 superficie plantada de vid que ha sido objeto de cosecha en verde (art. 47 Reglamento 1308/2013).</w:t>
      </w:r>
    </w:p>
    <w:p w:rsidR="001142FD" w:rsidRPr="0057774C" w:rsidRDefault="001142FD" w:rsidP="001142FD">
      <w:pPr>
        <w:pStyle w:val="Prrafodelista"/>
        <w:numPr>
          <w:ilvl w:val="1"/>
          <w:numId w:val="13"/>
        </w:numPr>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 xml:space="preserve"> Declaración de vendimia.</w:t>
      </w:r>
    </w:p>
    <w:p w:rsidR="001142FD" w:rsidRPr="0057774C" w:rsidRDefault="001142FD" w:rsidP="001142FD">
      <w:pPr>
        <w:pStyle w:val="Prrafodelista"/>
        <w:ind w:left="1080"/>
        <w:jc w:val="both"/>
        <w:rPr>
          <w:rFonts w:ascii="Times New Roman" w:eastAsia="Times New Roman" w:hAnsi="Times New Roman"/>
          <w:sz w:val="24"/>
          <w:szCs w:val="24"/>
          <w:lang w:eastAsia="es-ES"/>
        </w:rPr>
      </w:pPr>
    </w:p>
    <w:p w:rsidR="001142FD" w:rsidRPr="0057774C" w:rsidRDefault="001142FD" w:rsidP="001142FD">
      <w:pPr>
        <w:pStyle w:val="Prrafodelista"/>
        <w:numPr>
          <w:ilvl w:val="0"/>
          <w:numId w:val="13"/>
        </w:numPr>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Expediente de producción</w:t>
      </w:r>
    </w:p>
    <w:p w:rsidR="001142FD" w:rsidRPr="0057774C" w:rsidRDefault="001142FD" w:rsidP="001142FD">
      <w:pPr>
        <w:pStyle w:val="Prrafodelista"/>
        <w:numPr>
          <w:ilvl w:val="1"/>
          <w:numId w:val="16"/>
        </w:numPr>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Identificación de las personas que deben presentar la declaración anual de producción contemplada en el art. 31 (relativa a su producción en la campaña vitivinícola correspondiente)</w:t>
      </w:r>
    </w:p>
    <w:p w:rsidR="001142FD" w:rsidRPr="0057774C" w:rsidRDefault="001142FD" w:rsidP="001142FD">
      <w:pPr>
        <w:pStyle w:val="Prrafodelista"/>
        <w:numPr>
          <w:ilvl w:val="1"/>
          <w:numId w:val="16"/>
        </w:numPr>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 xml:space="preserve"> Declaraciones de producción y de existencias.</w:t>
      </w:r>
    </w:p>
    <w:p w:rsidR="001142FD" w:rsidRPr="0057774C" w:rsidRDefault="001142FD" w:rsidP="001142FD">
      <w:pPr>
        <w:pStyle w:val="Prrafodelista"/>
        <w:ind w:left="1080"/>
        <w:jc w:val="both"/>
        <w:rPr>
          <w:rFonts w:ascii="Times New Roman" w:eastAsia="Times New Roman" w:hAnsi="Times New Roman"/>
          <w:sz w:val="24"/>
          <w:szCs w:val="24"/>
          <w:lang w:eastAsia="es-ES"/>
        </w:rPr>
      </w:pPr>
    </w:p>
    <w:p w:rsidR="001142FD" w:rsidRPr="0057774C" w:rsidRDefault="001142FD" w:rsidP="001142FD">
      <w:pPr>
        <w:pStyle w:val="Prrafodelista"/>
        <w:numPr>
          <w:ilvl w:val="0"/>
          <w:numId w:val="11"/>
        </w:numPr>
        <w:jc w:val="both"/>
        <w:rPr>
          <w:rFonts w:ascii="Times New Roman" w:eastAsia="Times New Roman" w:hAnsi="Times New Roman"/>
          <w:sz w:val="24"/>
          <w:szCs w:val="24"/>
          <w:u w:val="single"/>
          <w:lang w:eastAsia="es-ES"/>
        </w:rPr>
      </w:pPr>
      <w:r w:rsidRPr="0057774C">
        <w:rPr>
          <w:rFonts w:ascii="Times New Roman" w:eastAsia="Times New Roman" w:hAnsi="Times New Roman"/>
          <w:b/>
          <w:sz w:val="24"/>
          <w:szCs w:val="24"/>
          <w:u w:val="single"/>
          <w:lang w:eastAsia="es-ES"/>
        </w:rPr>
        <w:t>Anexo IV</w:t>
      </w:r>
      <w:r w:rsidRPr="0057774C">
        <w:rPr>
          <w:rFonts w:ascii="Times New Roman" w:eastAsia="Times New Roman" w:hAnsi="Times New Roman"/>
          <w:sz w:val="24"/>
          <w:szCs w:val="24"/>
          <w:lang w:eastAsia="es-ES"/>
        </w:rPr>
        <w:t xml:space="preserve"> (Información mínima suplementaria)</w:t>
      </w:r>
    </w:p>
    <w:p w:rsidR="001142FD" w:rsidRPr="0057774C" w:rsidRDefault="001142FD" w:rsidP="001142FD">
      <w:pPr>
        <w:pStyle w:val="Prrafodelista"/>
        <w:numPr>
          <w:ilvl w:val="0"/>
          <w:numId w:val="14"/>
        </w:numPr>
        <w:spacing w:after="0"/>
        <w:jc w:val="both"/>
        <w:rPr>
          <w:rFonts w:ascii="Times New Roman" w:eastAsia="Times New Roman" w:hAnsi="Times New Roman"/>
          <w:sz w:val="24"/>
          <w:szCs w:val="24"/>
          <w:lang w:eastAsia="es-ES"/>
        </w:rPr>
      </w:pPr>
      <w:r w:rsidRPr="0057774C">
        <w:rPr>
          <w:rFonts w:ascii="Times New Roman" w:eastAsia="Times New Roman" w:hAnsi="Times New Roman"/>
          <w:sz w:val="24"/>
          <w:szCs w:val="24"/>
          <w:lang w:eastAsia="es-ES"/>
        </w:rPr>
        <w:t>Identificación y localización:</w:t>
      </w:r>
    </w:p>
    <w:p w:rsidR="001142FD" w:rsidRPr="0057774C" w:rsidRDefault="001142FD" w:rsidP="001142FD">
      <w:pPr>
        <w:ind w:firstLine="360"/>
        <w:jc w:val="both"/>
        <w:rPr>
          <w:sz w:val="24"/>
          <w:szCs w:val="24"/>
        </w:rPr>
      </w:pPr>
      <w:r w:rsidRPr="0057774C">
        <w:rPr>
          <w:sz w:val="24"/>
          <w:szCs w:val="24"/>
        </w:rPr>
        <w:t>1.1 autorizaciones solicitadas, concedidas y aún no plantadas y sus superficies</w:t>
      </w:r>
    </w:p>
    <w:p w:rsidR="001142FD" w:rsidRPr="0057774C" w:rsidRDefault="001142FD" w:rsidP="001142FD">
      <w:pPr>
        <w:ind w:firstLine="360"/>
        <w:jc w:val="both"/>
        <w:rPr>
          <w:sz w:val="24"/>
          <w:szCs w:val="24"/>
        </w:rPr>
      </w:pPr>
      <w:r w:rsidRPr="0057774C">
        <w:rPr>
          <w:sz w:val="24"/>
          <w:szCs w:val="24"/>
        </w:rPr>
        <w:t>1.2 derechos de plantación poseídos (por tipo) hasta el plazo para la conversión en autorizaciones</w:t>
      </w:r>
    </w:p>
    <w:p w:rsidR="001142FD" w:rsidRPr="0057774C" w:rsidRDefault="001142FD" w:rsidP="001142FD">
      <w:pPr>
        <w:pStyle w:val="Prrafodelista"/>
        <w:numPr>
          <w:ilvl w:val="0"/>
          <w:numId w:val="14"/>
        </w:numPr>
        <w:spacing w:after="0"/>
        <w:jc w:val="both"/>
        <w:rPr>
          <w:rFonts w:ascii="Times New Roman" w:eastAsia="Times New Roman" w:hAnsi="Times New Roman"/>
          <w:i/>
          <w:sz w:val="24"/>
          <w:szCs w:val="24"/>
          <w:lang w:eastAsia="es-ES"/>
        </w:rPr>
      </w:pPr>
      <w:r w:rsidRPr="0057774C">
        <w:rPr>
          <w:rFonts w:ascii="Times New Roman" w:eastAsia="Times New Roman" w:hAnsi="Times New Roman"/>
          <w:sz w:val="24"/>
          <w:szCs w:val="24"/>
          <w:lang w:eastAsia="es-ES"/>
        </w:rPr>
        <w:t>Características de la superficie(s) plantadas(s) de vid en parcelas vitícolas:</w:t>
      </w:r>
    </w:p>
    <w:p w:rsidR="001142FD" w:rsidRPr="0057774C" w:rsidRDefault="001142FD" w:rsidP="001142FD">
      <w:pPr>
        <w:pStyle w:val="Prrafodelista"/>
        <w:numPr>
          <w:ilvl w:val="1"/>
          <w:numId w:val="14"/>
        </w:numPr>
        <w:jc w:val="both"/>
        <w:rPr>
          <w:rFonts w:ascii="Times New Roman" w:eastAsia="Times New Roman" w:hAnsi="Times New Roman"/>
          <w:i/>
          <w:sz w:val="24"/>
          <w:szCs w:val="24"/>
          <w:lang w:eastAsia="es-ES"/>
        </w:rPr>
      </w:pPr>
      <w:r w:rsidRPr="0057774C">
        <w:rPr>
          <w:rFonts w:ascii="Times New Roman" w:eastAsia="Times New Roman" w:hAnsi="Times New Roman"/>
          <w:sz w:val="24"/>
          <w:szCs w:val="24"/>
          <w:lang w:eastAsia="es-ES"/>
        </w:rPr>
        <w:t>superficies que se benefician de excepciones al régimen de autorizaciones por ser superficies plantadas con fines experimentales para el cultivo de viñas madres de injertos;</w:t>
      </w:r>
    </w:p>
    <w:p w:rsidR="001142FD" w:rsidRPr="0057774C" w:rsidRDefault="001142FD" w:rsidP="001142FD">
      <w:pPr>
        <w:pStyle w:val="Prrafodelista"/>
        <w:numPr>
          <w:ilvl w:val="1"/>
          <w:numId w:val="14"/>
        </w:numPr>
        <w:jc w:val="both"/>
        <w:rPr>
          <w:rFonts w:ascii="Times New Roman" w:eastAsia="Times New Roman" w:hAnsi="Times New Roman"/>
          <w:i/>
          <w:sz w:val="24"/>
          <w:szCs w:val="24"/>
          <w:lang w:eastAsia="es-ES"/>
        </w:rPr>
      </w:pPr>
      <w:r w:rsidRPr="0057774C">
        <w:rPr>
          <w:rFonts w:ascii="Times New Roman" w:eastAsia="Times New Roman" w:hAnsi="Times New Roman"/>
          <w:sz w:val="24"/>
          <w:szCs w:val="24"/>
          <w:lang w:eastAsia="es-ES"/>
        </w:rPr>
        <w:t>superficies plantadas de vid sin autorización después del 31/12/2015 y superficies no autorizadas arrancadas;</w:t>
      </w:r>
    </w:p>
    <w:p w:rsidR="001142FD" w:rsidRPr="00C442AA" w:rsidRDefault="001142FD" w:rsidP="001142FD">
      <w:pPr>
        <w:pStyle w:val="Prrafodelista"/>
        <w:numPr>
          <w:ilvl w:val="1"/>
          <w:numId w:val="14"/>
        </w:numPr>
        <w:jc w:val="both"/>
        <w:rPr>
          <w:rFonts w:ascii="Times New Roman" w:eastAsia="Times New Roman" w:hAnsi="Times New Roman"/>
          <w:i/>
          <w:sz w:val="24"/>
          <w:szCs w:val="24"/>
          <w:lang w:eastAsia="es-ES"/>
        </w:rPr>
      </w:pPr>
      <w:r w:rsidRPr="0057774C">
        <w:rPr>
          <w:rFonts w:ascii="Times New Roman" w:eastAsia="Times New Roman" w:hAnsi="Times New Roman"/>
          <w:sz w:val="24"/>
          <w:szCs w:val="24"/>
          <w:lang w:eastAsia="es-ES"/>
        </w:rPr>
        <w:t>superficies plantadas de vid sin derecho de plantación antes del 01/01/2016 y arranque de plantaciones ilegales.</w:t>
      </w:r>
    </w:p>
    <w:p w:rsidR="001142FD" w:rsidRPr="00C442AA" w:rsidRDefault="001142FD" w:rsidP="001142FD">
      <w:pPr>
        <w:jc w:val="both"/>
        <w:rPr>
          <w:i/>
          <w:sz w:val="24"/>
          <w:szCs w:val="24"/>
        </w:rPr>
      </w:pPr>
    </w:p>
    <w:p w:rsidR="001142FD" w:rsidRPr="0057774C" w:rsidRDefault="001142FD" w:rsidP="001142FD">
      <w:pPr>
        <w:jc w:val="both"/>
        <w:rPr>
          <w:sz w:val="24"/>
          <w:szCs w:val="24"/>
        </w:rPr>
      </w:pPr>
      <w:r w:rsidRPr="0057774C">
        <w:rPr>
          <w:sz w:val="24"/>
          <w:szCs w:val="24"/>
        </w:rPr>
        <w:t>También en ejecución del apartado 3 del art. 145 del Reglamento 1308/2013, la Comisión Europea aprobó el Reglamento de Ejecución (UE) 2018/274, de 11 de diciembre de 2017, en el que, dentro de los controles del régimen de autorizaciones para plantaciones de vid, incluye el registro vitícola. Así, el art. 30  establece que “</w:t>
      </w:r>
      <w:r w:rsidRPr="0057774C">
        <w:rPr>
          <w:i/>
          <w:sz w:val="24"/>
          <w:szCs w:val="24"/>
        </w:rPr>
        <w:t xml:space="preserve">A efectos de verificar el cumplimiento de las normas establecidas en /…/ Reglamento (UE) nº 1308/2013 /…/ y en el capítulo II del presente Reglamento, los Estados miembros utilizarán el registro vitícola que se menciona en el art. 145 del Reglamento UE) nº 1308/2013.” </w:t>
      </w:r>
      <w:r w:rsidRPr="0057774C">
        <w:rPr>
          <w:sz w:val="24"/>
          <w:szCs w:val="24"/>
        </w:rPr>
        <w:t>Por su parte, el art. 31 regula la “</w:t>
      </w:r>
      <w:r w:rsidRPr="0057774C">
        <w:rPr>
          <w:i/>
          <w:sz w:val="24"/>
          <w:szCs w:val="24"/>
        </w:rPr>
        <w:t>comprobación de la información del registro vitícola</w:t>
      </w:r>
      <w:r w:rsidRPr="0057774C">
        <w:rPr>
          <w:sz w:val="24"/>
          <w:szCs w:val="24"/>
        </w:rPr>
        <w:t>”, en el que, además de una obligación de los Estados miembros de facilitar datos del registro vitícola a efectos del seguimiento y comprobación de medidas financiadas al amparo de un programa de ayudas, establece una serie de controles con respecto a las superficies plantadas de vides con el objeto de mantener actualizado el registro vitícola. Son los siguientes:</w:t>
      </w:r>
    </w:p>
    <w:p w:rsidR="001142FD" w:rsidRPr="0057774C" w:rsidRDefault="001142FD" w:rsidP="001142FD">
      <w:pPr>
        <w:pStyle w:val="Prrafodelista"/>
        <w:numPr>
          <w:ilvl w:val="0"/>
          <w:numId w:val="10"/>
        </w:numPr>
        <w:jc w:val="both"/>
        <w:rPr>
          <w:rFonts w:ascii="Times New Roman" w:hAnsi="Times New Roman"/>
          <w:sz w:val="24"/>
          <w:szCs w:val="24"/>
        </w:rPr>
      </w:pPr>
      <w:r w:rsidRPr="0057774C">
        <w:rPr>
          <w:rFonts w:ascii="Times New Roman" w:hAnsi="Times New Roman"/>
          <w:sz w:val="24"/>
          <w:szCs w:val="24"/>
        </w:rPr>
        <w:t>Controles administrativos aplicados a todos los viticultores identificados en el registro vitícola en determinados casos que se enumeran en el citado artículo.</w:t>
      </w:r>
    </w:p>
    <w:p w:rsidR="001142FD" w:rsidRPr="0057774C" w:rsidRDefault="001142FD" w:rsidP="001142FD">
      <w:pPr>
        <w:pStyle w:val="Prrafodelista"/>
        <w:numPr>
          <w:ilvl w:val="0"/>
          <w:numId w:val="10"/>
        </w:numPr>
        <w:jc w:val="both"/>
        <w:rPr>
          <w:rFonts w:ascii="Times New Roman" w:hAnsi="Times New Roman"/>
          <w:sz w:val="24"/>
          <w:szCs w:val="24"/>
        </w:rPr>
      </w:pPr>
      <w:r w:rsidRPr="0057774C">
        <w:rPr>
          <w:rFonts w:ascii="Times New Roman" w:hAnsi="Times New Roman"/>
          <w:sz w:val="24"/>
          <w:szCs w:val="24"/>
        </w:rPr>
        <w:t>Controles sobre el terreno anuales de al menos el 5% de todos los viticultores identificados en el registro vitícola.</w:t>
      </w:r>
    </w:p>
    <w:p w:rsidR="001142FD" w:rsidRPr="0057774C" w:rsidRDefault="001142FD" w:rsidP="001142FD">
      <w:pPr>
        <w:pStyle w:val="Prrafodelista"/>
        <w:numPr>
          <w:ilvl w:val="0"/>
          <w:numId w:val="10"/>
        </w:numPr>
        <w:jc w:val="both"/>
        <w:rPr>
          <w:rFonts w:ascii="Times New Roman" w:hAnsi="Times New Roman"/>
          <w:sz w:val="24"/>
          <w:szCs w:val="24"/>
        </w:rPr>
      </w:pPr>
      <w:r w:rsidRPr="0057774C">
        <w:rPr>
          <w:rFonts w:ascii="Times New Roman" w:hAnsi="Times New Roman"/>
          <w:sz w:val="24"/>
          <w:szCs w:val="24"/>
        </w:rPr>
        <w:t>Controles sistemáticos sobre el terreno en las superficies plantadas de vides que no consten en ningún expediente de explotación como los que aparecen en el Anexo IV</w:t>
      </w:r>
      <w:r w:rsidRPr="0057774C">
        <w:rPr>
          <w:rFonts w:ascii="Times New Roman" w:eastAsia="Times New Roman" w:hAnsi="Times New Roman"/>
          <w:sz w:val="24"/>
          <w:szCs w:val="24"/>
          <w:lang w:eastAsia="es-ES"/>
        </w:rPr>
        <w:t xml:space="preserve"> del Reglamento Delegado (UE) 2018/273.</w:t>
      </w:r>
    </w:p>
    <w:p w:rsidR="001142FD" w:rsidRPr="0057774C" w:rsidRDefault="001142FD" w:rsidP="001142FD">
      <w:pPr>
        <w:jc w:val="both"/>
        <w:rPr>
          <w:sz w:val="24"/>
          <w:szCs w:val="24"/>
        </w:rPr>
      </w:pPr>
      <w:r w:rsidRPr="0057774C">
        <w:rPr>
          <w:sz w:val="24"/>
          <w:szCs w:val="24"/>
        </w:rPr>
        <w:t xml:space="preserve">El decreto foral regulador del Registro Vitícola que aquí se examina recoge en su </w:t>
      </w:r>
      <w:r w:rsidRPr="0057774C">
        <w:rPr>
          <w:b/>
          <w:sz w:val="24"/>
          <w:szCs w:val="24"/>
        </w:rPr>
        <w:t>art. 3</w:t>
      </w:r>
      <w:r w:rsidRPr="0057774C">
        <w:rPr>
          <w:sz w:val="24"/>
          <w:szCs w:val="24"/>
        </w:rPr>
        <w:t xml:space="preserve"> el contenido del Registro Vitícola. Hay que aclarar que las denominaciones que se emplean en este Decreto no corresponden exactamente con las contenidas en la normativa europea examinada, lo que complica mucho su examen y cotejo. En este art.se incluyen los siguientes datos a incluir en el Registro:</w:t>
      </w:r>
    </w:p>
    <w:p w:rsidR="001142FD" w:rsidRPr="0057774C" w:rsidRDefault="001142FD" w:rsidP="001142FD">
      <w:pPr>
        <w:widowControl w:val="0"/>
        <w:numPr>
          <w:ilvl w:val="0"/>
          <w:numId w:val="15"/>
        </w:numPr>
        <w:autoSpaceDE w:val="0"/>
        <w:autoSpaceDN w:val="0"/>
        <w:adjustRightInd w:val="0"/>
        <w:spacing w:after="240"/>
        <w:jc w:val="both"/>
        <w:rPr>
          <w:b/>
          <w:iCs/>
          <w:sz w:val="24"/>
          <w:szCs w:val="24"/>
        </w:rPr>
      </w:pPr>
      <w:r w:rsidRPr="0057774C">
        <w:rPr>
          <w:b/>
          <w:iCs/>
          <w:sz w:val="24"/>
          <w:szCs w:val="24"/>
        </w:rPr>
        <w:t>Datos personales de la persona inscrita.</w:t>
      </w:r>
    </w:p>
    <w:p w:rsidR="001142FD" w:rsidRPr="0057774C" w:rsidRDefault="001142FD" w:rsidP="001142FD">
      <w:pPr>
        <w:widowControl w:val="0"/>
        <w:autoSpaceDE w:val="0"/>
        <w:autoSpaceDN w:val="0"/>
        <w:adjustRightInd w:val="0"/>
        <w:spacing w:after="240"/>
        <w:ind w:left="720"/>
        <w:jc w:val="both"/>
        <w:rPr>
          <w:iCs/>
          <w:sz w:val="24"/>
          <w:szCs w:val="24"/>
        </w:rPr>
      </w:pPr>
      <w:r w:rsidRPr="0057774C">
        <w:rPr>
          <w:iCs/>
          <w:sz w:val="24"/>
          <w:szCs w:val="24"/>
        </w:rPr>
        <w:t>Esta información puede considerarse la exigida</w:t>
      </w:r>
      <w:r w:rsidR="00977705">
        <w:rPr>
          <w:iCs/>
          <w:sz w:val="24"/>
          <w:szCs w:val="24"/>
        </w:rPr>
        <w:t xml:space="preserve"> </w:t>
      </w:r>
      <w:bookmarkStart w:id="0" w:name="_GoBack"/>
      <w:bookmarkEnd w:id="0"/>
      <w:r w:rsidRPr="0057774C">
        <w:rPr>
          <w:sz w:val="24"/>
          <w:szCs w:val="24"/>
        </w:rPr>
        <w:t>en el Anexo III del Reglamento 2018/273señalada anteriormente como A) 1.1</w:t>
      </w:r>
    </w:p>
    <w:p w:rsidR="001142FD" w:rsidRPr="0057774C" w:rsidRDefault="001142FD" w:rsidP="001142FD">
      <w:pPr>
        <w:widowControl w:val="0"/>
        <w:numPr>
          <w:ilvl w:val="0"/>
          <w:numId w:val="15"/>
        </w:numPr>
        <w:autoSpaceDE w:val="0"/>
        <w:autoSpaceDN w:val="0"/>
        <w:adjustRightInd w:val="0"/>
        <w:spacing w:after="240"/>
        <w:jc w:val="both"/>
        <w:rPr>
          <w:b/>
          <w:iCs/>
          <w:sz w:val="24"/>
          <w:szCs w:val="24"/>
        </w:rPr>
      </w:pPr>
      <w:r w:rsidRPr="0057774C">
        <w:rPr>
          <w:b/>
          <w:iCs/>
          <w:sz w:val="24"/>
          <w:szCs w:val="24"/>
        </w:rPr>
        <w:t>Parcelas vitícolas inscritas con indicación de la propiedad de las mismas.</w:t>
      </w:r>
    </w:p>
    <w:p w:rsidR="001142FD" w:rsidRPr="0057774C" w:rsidRDefault="001142FD" w:rsidP="001142FD">
      <w:pPr>
        <w:widowControl w:val="0"/>
        <w:autoSpaceDE w:val="0"/>
        <w:autoSpaceDN w:val="0"/>
        <w:adjustRightInd w:val="0"/>
        <w:spacing w:after="240"/>
        <w:ind w:left="720"/>
        <w:jc w:val="both"/>
        <w:rPr>
          <w:sz w:val="24"/>
          <w:szCs w:val="24"/>
        </w:rPr>
      </w:pPr>
      <w:r w:rsidRPr="0057774C">
        <w:rPr>
          <w:iCs/>
          <w:sz w:val="24"/>
          <w:szCs w:val="24"/>
        </w:rPr>
        <w:t xml:space="preserve">Esta información puede considerarse la exigida </w:t>
      </w:r>
      <w:r w:rsidRPr="0057774C">
        <w:rPr>
          <w:sz w:val="24"/>
          <w:szCs w:val="24"/>
        </w:rPr>
        <w:t xml:space="preserve">en el Anexo III del Reglamento 2018/273 señalada anteriormente como A) 1.2. </w:t>
      </w:r>
    </w:p>
    <w:p w:rsidR="001142FD" w:rsidRPr="0057774C" w:rsidRDefault="001142FD" w:rsidP="001142FD">
      <w:pPr>
        <w:pStyle w:val="Prrafodelista"/>
        <w:widowControl w:val="0"/>
        <w:numPr>
          <w:ilvl w:val="0"/>
          <w:numId w:val="15"/>
        </w:numPr>
        <w:autoSpaceDE w:val="0"/>
        <w:autoSpaceDN w:val="0"/>
        <w:adjustRightInd w:val="0"/>
        <w:spacing w:after="240" w:line="240" w:lineRule="auto"/>
        <w:jc w:val="both"/>
        <w:rPr>
          <w:rFonts w:ascii="Times New Roman" w:hAnsi="Times New Roman"/>
          <w:b/>
          <w:iCs/>
          <w:sz w:val="24"/>
          <w:szCs w:val="24"/>
        </w:rPr>
      </w:pPr>
      <w:r w:rsidRPr="0057774C">
        <w:rPr>
          <w:rFonts w:ascii="Times New Roman" w:hAnsi="Times New Roman"/>
          <w:b/>
          <w:iCs/>
          <w:sz w:val="24"/>
          <w:szCs w:val="24"/>
        </w:rPr>
        <w:t>Superficie reconocida de viñedo de acuerdo a la normativa aplicable.</w:t>
      </w:r>
    </w:p>
    <w:p w:rsidR="001142FD" w:rsidRDefault="001142FD" w:rsidP="001142FD">
      <w:pPr>
        <w:widowControl w:val="0"/>
        <w:autoSpaceDE w:val="0"/>
        <w:autoSpaceDN w:val="0"/>
        <w:adjustRightInd w:val="0"/>
        <w:spacing w:after="240"/>
        <w:ind w:left="720"/>
        <w:jc w:val="both"/>
        <w:rPr>
          <w:sz w:val="24"/>
          <w:szCs w:val="24"/>
        </w:rPr>
      </w:pPr>
      <w:r w:rsidRPr="0057774C">
        <w:rPr>
          <w:iCs/>
          <w:sz w:val="24"/>
          <w:szCs w:val="24"/>
        </w:rPr>
        <w:t xml:space="preserve">Esta información puede considerarse parcialmente como la exigida </w:t>
      </w:r>
      <w:r w:rsidRPr="0057774C">
        <w:rPr>
          <w:sz w:val="24"/>
          <w:szCs w:val="24"/>
        </w:rPr>
        <w:t xml:space="preserve">en el Anexo III del Reglamento 2018/273 señalada anteriormente como A) 1.3.2 y 1.3.3, si bien no hace distinción entre superficie total y superficie de vid convertida en cultivo puro ni desglosa las superficies admisibles para producción de vino con DOP o con IGP o con ambas. </w:t>
      </w:r>
    </w:p>
    <w:p w:rsidR="001142FD" w:rsidRDefault="001142FD" w:rsidP="001142FD">
      <w:pPr>
        <w:widowControl w:val="0"/>
        <w:autoSpaceDE w:val="0"/>
        <w:autoSpaceDN w:val="0"/>
        <w:adjustRightInd w:val="0"/>
        <w:spacing w:after="240"/>
        <w:ind w:left="720"/>
        <w:jc w:val="both"/>
        <w:rPr>
          <w:b/>
          <w:iCs/>
          <w:sz w:val="24"/>
          <w:szCs w:val="24"/>
        </w:rPr>
      </w:pPr>
    </w:p>
    <w:p w:rsidR="001142FD" w:rsidRDefault="001142FD" w:rsidP="001142FD">
      <w:pPr>
        <w:widowControl w:val="0"/>
        <w:autoSpaceDE w:val="0"/>
        <w:autoSpaceDN w:val="0"/>
        <w:adjustRightInd w:val="0"/>
        <w:spacing w:after="240"/>
        <w:ind w:left="720"/>
        <w:jc w:val="both"/>
        <w:rPr>
          <w:b/>
          <w:iCs/>
          <w:sz w:val="24"/>
          <w:szCs w:val="24"/>
        </w:rPr>
      </w:pPr>
    </w:p>
    <w:p w:rsidR="001142FD" w:rsidRPr="0057774C" w:rsidRDefault="001142FD" w:rsidP="001142FD">
      <w:pPr>
        <w:widowControl w:val="0"/>
        <w:autoSpaceDE w:val="0"/>
        <w:autoSpaceDN w:val="0"/>
        <w:adjustRightInd w:val="0"/>
        <w:spacing w:after="240"/>
        <w:ind w:left="720"/>
        <w:jc w:val="both"/>
        <w:rPr>
          <w:b/>
          <w:iCs/>
          <w:sz w:val="24"/>
          <w:szCs w:val="24"/>
        </w:rPr>
      </w:pPr>
    </w:p>
    <w:p w:rsidR="001142FD" w:rsidRPr="0057774C" w:rsidRDefault="001142FD" w:rsidP="001142FD">
      <w:pPr>
        <w:widowControl w:val="0"/>
        <w:numPr>
          <w:ilvl w:val="0"/>
          <w:numId w:val="15"/>
        </w:numPr>
        <w:autoSpaceDE w:val="0"/>
        <w:autoSpaceDN w:val="0"/>
        <w:adjustRightInd w:val="0"/>
        <w:spacing w:after="240"/>
        <w:jc w:val="both"/>
        <w:rPr>
          <w:b/>
          <w:iCs/>
          <w:sz w:val="24"/>
          <w:szCs w:val="24"/>
        </w:rPr>
      </w:pPr>
      <w:r w:rsidRPr="0057774C">
        <w:rPr>
          <w:b/>
          <w:iCs/>
          <w:sz w:val="24"/>
          <w:szCs w:val="24"/>
        </w:rPr>
        <w:t xml:space="preserve">Variedad, </w:t>
      </w:r>
      <w:proofErr w:type="spellStart"/>
      <w:r w:rsidRPr="0057774C">
        <w:rPr>
          <w:b/>
          <w:iCs/>
          <w:sz w:val="24"/>
          <w:szCs w:val="24"/>
        </w:rPr>
        <w:t>portainjerto</w:t>
      </w:r>
      <w:proofErr w:type="spellEnd"/>
      <w:r w:rsidRPr="0057774C">
        <w:rPr>
          <w:b/>
          <w:iCs/>
          <w:sz w:val="24"/>
          <w:szCs w:val="24"/>
        </w:rPr>
        <w:t>, marco de plantación, forma de conducción (vaso, espaldera u otros) y año de plantación.</w:t>
      </w:r>
    </w:p>
    <w:p w:rsidR="001142FD" w:rsidRPr="0057774C" w:rsidRDefault="001142FD" w:rsidP="001142FD">
      <w:pPr>
        <w:widowControl w:val="0"/>
        <w:autoSpaceDE w:val="0"/>
        <w:autoSpaceDN w:val="0"/>
        <w:adjustRightInd w:val="0"/>
        <w:spacing w:after="240"/>
        <w:ind w:left="720"/>
        <w:jc w:val="both"/>
        <w:rPr>
          <w:sz w:val="24"/>
          <w:szCs w:val="24"/>
        </w:rPr>
      </w:pPr>
      <w:r w:rsidRPr="0057774C">
        <w:rPr>
          <w:iCs/>
          <w:sz w:val="24"/>
          <w:szCs w:val="24"/>
        </w:rPr>
        <w:t xml:space="preserve">Esta información puede considerarse parcialmente como la exigida </w:t>
      </w:r>
      <w:r w:rsidRPr="0057774C">
        <w:rPr>
          <w:sz w:val="24"/>
          <w:szCs w:val="24"/>
        </w:rPr>
        <w:t>en el Anexo III del Reglamento 2018/273 señalada anteriormente como A) 1.3.4 como “variedades de uva”, aunque la norma europea exige también la constancia de las superficies correspondientes a cada variedad y aquí no se especifica nada al respecto (sin más especificación).En cuanto al marco de plantación y la forma de conducción, estas informaciones no figuran como exigibles en el Reglamento 2018/273. El año de plantación si figura como exigencia mínima en el Reglamento 2018/273 señalada anteriormente como A) 1.3.5.</w:t>
      </w:r>
    </w:p>
    <w:p w:rsidR="001142FD" w:rsidRPr="0057774C" w:rsidRDefault="001142FD" w:rsidP="001142FD">
      <w:pPr>
        <w:pStyle w:val="Prrafodelista"/>
        <w:widowControl w:val="0"/>
        <w:numPr>
          <w:ilvl w:val="0"/>
          <w:numId w:val="15"/>
        </w:numPr>
        <w:autoSpaceDE w:val="0"/>
        <w:autoSpaceDN w:val="0"/>
        <w:adjustRightInd w:val="0"/>
        <w:spacing w:after="240" w:line="240" w:lineRule="auto"/>
        <w:jc w:val="both"/>
        <w:rPr>
          <w:rFonts w:ascii="Times New Roman" w:hAnsi="Times New Roman"/>
          <w:b/>
          <w:iCs/>
          <w:sz w:val="24"/>
          <w:szCs w:val="24"/>
        </w:rPr>
      </w:pPr>
      <w:r w:rsidRPr="0057774C">
        <w:rPr>
          <w:rFonts w:ascii="Times New Roman" w:hAnsi="Times New Roman"/>
          <w:b/>
          <w:iCs/>
          <w:sz w:val="24"/>
          <w:szCs w:val="24"/>
        </w:rPr>
        <w:t>Derechos y autorizaciones de replantación así como autorizaciones de arranque y permisos de plantación concedidos y obligaciones de arranque por concesión de replantaciones anticipadas.</w:t>
      </w:r>
    </w:p>
    <w:p w:rsidR="001142FD" w:rsidRPr="0057774C" w:rsidRDefault="001142FD" w:rsidP="001142FD">
      <w:pPr>
        <w:widowControl w:val="0"/>
        <w:autoSpaceDE w:val="0"/>
        <w:autoSpaceDN w:val="0"/>
        <w:adjustRightInd w:val="0"/>
        <w:spacing w:after="240"/>
        <w:ind w:left="720"/>
        <w:jc w:val="both"/>
        <w:rPr>
          <w:iCs/>
          <w:sz w:val="24"/>
          <w:szCs w:val="24"/>
        </w:rPr>
      </w:pPr>
      <w:r w:rsidRPr="0057774C">
        <w:rPr>
          <w:iCs/>
          <w:sz w:val="24"/>
          <w:szCs w:val="24"/>
        </w:rPr>
        <w:t xml:space="preserve">Estas menciones podrían corresponderse con las informaciones que exige </w:t>
      </w:r>
      <w:r w:rsidRPr="0057774C">
        <w:rPr>
          <w:sz w:val="24"/>
          <w:szCs w:val="24"/>
        </w:rPr>
        <w:t>el  Reglamento 2018/273 señalada anteriormente como B) 1.2, pero no como B) 1.1 ni B) 2.2 o 2.3.</w:t>
      </w:r>
    </w:p>
    <w:p w:rsidR="001142FD" w:rsidRPr="0057774C" w:rsidRDefault="001142FD" w:rsidP="001142FD">
      <w:pPr>
        <w:widowControl w:val="0"/>
        <w:numPr>
          <w:ilvl w:val="0"/>
          <w:numId w:val="15"/>
        </w:numPr>
        <w:autoSpaceDE w:val="0"/>
        <w:autoSpaceDN w:val="0"/>
        <w:adjustRightInd w:val="0"/>
        <w:spacing w:after="240"/>
        <w:jc w:val="both"/>
        <w:rPr>
          <w:b/>
          <w:iCs/>
          <w:sz w:val="24"/>
          <w:szCs w:val="24"/>
        </w:rPr>
      </w:pPr>
      <w:r w:rsidRPr="0057774C">
        <w:rPr>
          <w:b/>
          <w:iCs/>
          <w:sz w:val="24"/>
          <w:szCs w:val="24"/>
        </w:rPr>
        <w:t>Explotación agraria a la que están vinculados los recintos SIGPAC inscritos en cumplimiento de lo establecido en la normativa que regula el Registro de Explotaciones del País Vasco.</w:t>
      </w:r>
    </w:p>
    <w:p w:rsidR="001142FD" w:rsidRPr="0057774C" w:rsidRDefault="001142FD" w:rsidP="001142FD">
      <w:pPr>
        <w:widowControl w:val="0"/>
        <w:autoSpaceDE w:val="0"/>
        <w:autoSpaceDN w:val="0"/>
        <w:adjustRightInd w:val="0"/>
        <w:spacing w:after="240"/>
        <w:ind w:left="720"/>
        <w:jc w:val="both"/>
        <w:rPr>
          <w:iCs/>
          <w:sz w:val="24"/>
          <w:szCs w:val="24"/>
        </w:rPr>
      </w:pPr>
      <w:r w:rsidRPr="0057774C">
        <w:rPr>
          <w:iCs/>
          <w:sz w:val="24"/>
          <w:szCs w:val="24"/>
        </w:rPr>
        <w:t>Esta información no está recogida la normativa europea citada o autonómica (</w:t>
      </w:r>
      <w:r w:rsidRPr="0057774C">
        <w:rPr>
          <w:sz w:val="24"/>
          <w:szCs w:val="24"/>
        </w:rPr>
        <w:t>Ley 5/2004), por lo que  nada obsta a que se pueda exigir en este Registro.</w:t>
      </w:r>
    </w:p>
    <w:p w:rsidR="001142FD" w:rsidRPr="0057774C" w:rsidRDefault="001142FD" w:rsidP="001142FD">
      <w:pPr>
        <w:widowControl w:val="0"/>
        <w:numPr>
          <w:ilvl w:val="0"/>
          <w:numId w:val="15"/>
        </w:numPr>
        <w:autoSpaceDE w:val="0"/>
        <w:autoSpaceDN w:val="0"/>
        <w:adjustRightInd w:val="0"/>
        <w:spacing w:after="240"/>
        <w:jc w:val="both"/>
        <w:rPr>
          <w:b/>
          <w:iCs/>
          <w:sz w:val="24"/>
          <w:szCs w:val="24"/>
        </w:rPr>
      </w:pPr>
      <w:r w:rsidRPr="0057774C">
        <w:rPr>
          <w:b/>
          <w:iCs/>
          <w:sz w:val="24"/>
          <w:szCs w:val="24"/>
        </w:rPr>
        <w:t>Medidas cautelares adoptadas en el marco de un procedimiento judicial o administrativo.</w:t>
      </w:r>
    </w:p>
    <w:p w:rsidR="001142FD" w:rsidRPr="0057774C" w:rsidRDefault="001142FD" w:rsidP="001142FD">
      <w:pPr>
        <w:widowControl w:val="0"/>
        <w:autoSpaceDE w:val="0"/>
        <w:autoSpaceDN w:val="0"/>
        <w:adjustRightInd w:val="0"/>
        <w:spacing w:after="240"/>
        <w:ind w:left="720"/>
        <w:jc w:val="both"/>
        <w:rPr>
          <w:sz w:val="24"/>
          <w:szCs w:val="24"/>
        </w:rPr>
      </w:pPr>
      <w:r w:rsidRPr="0057774C">
        <w:rPr>
          <w:iCs/>
          <w:sz w:val="24"/>
          <w:szCs w:val="24"/>
        </w:rPr>
        <w:t>Estas exigencias no vienen establecidas en la normativa europea citada o autonómica (</w:t>
      </w:r>
      <w:r w:rsidRPr="0057774C">
        <w:rPr>
          <w:sz w:val="24"/>
          <w:szCs w:val="24"/>
        </w:rPr>
        <w:t>Ley 5/2004</w:t>
      </w:r>
      <w:proofErr w:type="gramStart"/>
      <w:r w:rsidRPr="0057774C">
        <w:rPr>
          <w:sz w:val="24"/>
          <w:szCs w:val="24"/>
        </w:rPr>
        <w:t>)por</w:t>
      </w:r>
      <w:proofErr w:type="gramEnd"/>
      <w:r w:rsidRPr="0057774C">
        <w:rPr>
          <w:sz w:val="24"/>
          <w:szCs w:val="24"/>
        </w:rPr>
        <w:t xml:space="preserve"> lo que  nada obsta a que se pueda exigir en este Registro.</w:t>
      </w:r>
    </w:p>
    <w:p w:rsidR="001142FD" w:rsidRPr="0057774C" w:rsidRDefault="001142FD" w:rsidP="001142FD">
      <w:pPr>
        <w:widowControl w:val="0"/>
        <w:autoSpaceDE w:val="0"/>
        <w:autoSpaceDN w:val="0"/>
        <w:adjustRightInd w:val="0"/>
        <w:spacing w:after="240"/>
        <w:jc w:val="both"/>
        <w:rPr>
          <w:sz w:val="24"/>
          <w:szCs w:val="24"/>
        </w:rPr>
      </w:pPr>
      <w:r w:rsidRPr="0057774C">
        <w:rPr>
          <w:sz w:val="24"/>
          <w:szCs w:val="24"/>
        </w:rPr>
        <w:t>De este examen/contraste se deduce que en la normativa del proyecto no se contempla la incorporación al registro de las informaciones siguientes que, según la normativa europea mencionada debieran figurar obligatoriamente en el Registro Vitícola: las señaladas anteriormente con las referencias A) Anexo III 1.3.1, 1.3.6, 1.3.7, 1.4, 2.1, 2.2 y B) Anexo IV 1.1, 2.1, 2.2, 2.3.</w:t>
      </w:r>
    </w:p>
    <w:p w:rsidR="001142FD" w:rsidRPr="0057774C" w:rsidRDefault="001142FD" w:rsidP="001142FD">
      <w:pPr>
        <w:widowControl w:val="0"/>
        <w:autoSpaceDE w:val="0"/>
        <w:autoSpaceDN w:val="0"/>
        <w:adjustRightInd w:val="0"/>
        <w:spacing w:after="240"/>
        <w:jc w:val="both"/>
        <w:rPr>
          <w:sz w:val="24"/>
          <w:szCs w:val="24"/>
        </w:rPr>
      </w:pPr>
      <w:r w:rsidRPr="0057774C">
        <w:rPr>
          <w:sz w:val="24"/>
          <w:szCs w:val="24"/>
        </w:rPr>
        <w:t xml:space="preserve">Por otro lado, el </w:t>
      </w:r>
      <w:r w:rsidRPr="0057774C">
        <w:rPr>
          <w:b/>
          <w:sz w:val="24"/>
          <w:szCs w:val="24"/>
        </w:rPr>
        <w:t>Reglamento de Ejecución (UE) 2018/274</w:t>
      </w:r>
      <w:r w:rsidRPr="0057774C">
        <w:rPr>
          <w:sz w:val="24"/>
          <w:szCs w:val="24"/>
        </w:rPr>
        <w:t xml:space="preserve">, citado anteriormente, establece en su </w:t>
      </w:r>
      <w:r w:rsidRPr="0057774C">
        <w:rPr>
          <w:b/>
          <w:sz w:val="24"/>
          <w:szCs w:val="24"/>
        </w:rPr>
        <w:t xml:space="preserve">art. 31.2.a) </w:t>
      </w:r>
      <w:r w:rsidRPr="0057774C">
        <w:rPr>
          <w:sz w:val="24"/>
          <w:szCs w:val="24"/>
        </w:rPr>
        <w:t>una serie de controles a realizar con respecto a las superficies plantadas de vides con el objeto de mantener actualizado el registro vitícola. Esto es, se establece la obligación de controles administrativos para una serie de casos que se detallan a continuación:</w:t>
      </w:r>
    </w:p>
    <w:p w:rsidR="001142FD" w:rsidRPr="0057774C" w:rsidRDefault="001142FD" w:rsidP="001142FD">
      <w:pPr>
        <w:spacing w:before="120"/>
        <w:jc w:val="both"/>
        <w:rPr>
          <w:i/>
          <w:sz w:val="24"/>
          <w:szCs w:val="24"/>
        </w:rPr>
      </w:pPr>
      <w:r w:rsidRPr="0057774C">
        <w:rPr>
          <w:i/>
          <w:sz w:val="24"/>
          <w:szCs w:val="24"/>
        </w:rPr>
        <w:t>“a) Controles administrativos aplicados a todos los viticultores identificados en el registro vitícola que:</w:t>
      </w:r>
    </w:p>
    <w:tbl>
      <w:tblPr>
        <w:tblW w:w="5000" w:type="pct"/>
        <w:tblCellMar>
          <w:left w:w="0" w:type="dxa"/>
          <w:right w:w="0" w:type="dxa"/>
        </w:tblCellMar>
        <w:tblLook w:val="04A0" w:firstRow="1" w:lastRow="0" w:firstColumn="1" w:lastColumn="0" w:noHBand="0" w:noVBand="1"/>
      </w:tblPr>
      <w:tblGrid>
        <w:gridCol w:w="147"/>
        <w:gridCol w:w="8357"/>
      </w:tblGrid>
      <w:tr w:rsidR="001142FD" w:rsidRPr="0057774C" w:rsidTr="00AA23D8">
        <w:tc>
          <w:tcPr>
            <w:tcW w:w="0" w:type="auto"/>
            <w:shd w:val="clear" w:color="auto" w:fill="auto"/>
            <w:hideMark/>
          </w:tcPr>
          <w:p w:rsidR="001142FD" w:rsidRPr="0057774C" w:rsidRDefault="001142FD" w:rsidP="00AA23D8">
            <w:pPr>
              <w:spacing w:before="120"/>
              <w:jc w:val="both"/>
              <w:rPr>
                <w:i/>
                <w:sz w:val="24"/>
                <w:szCs w:val="24"/>
              </w:rPr>
            </w:pPr>
            <w:r w:rsidRPr="0057774C">
              <w:rPr>
                <w:i/>
                <w:sz w:val="24"/>
                <w:szCs w:val="24"/>
              </w:rPr>
              <w:t>i)</w:t>
            </w:r>
          </w:p>
        </w:tc>
        <w:tc>
          <w:tcPr>
            <w:tcW w:w="0" w:type="auto"/>
            <w:shd w:val="clear" w:color="auto" w:fill="auto"/>
            <w:hideMark/>
          </w:tcPr>
          <w:p w:rsidR="001142FD" w:rsidRPr="0057774C" w:rsidRDefault="001142FD" w:rsidP="00AA23D8">
            <w:pPr>
              <w:spacing w:before="120"/>
              <w:jc w:val="both"/>
              <w:rPr>
                <w:i/>
                <w:sz w:val="24"/>
                <w:szCs w:val="24"/>
              </w:rPr>
            </w:pPr>
            <w:r w:rsidRPr="0057774C">
              <w:rPr>
                <w:i/>
                <w:sz w:val="24"/>
                <w:szCs w:val="24"/>
              </w:rPr>
              <w:t xml:space="preserve">hayan activado una autorización de plantación o replantación o realizado un registro </w:t>
            </w:r>
            <w:r w:rsidRPr="0057774C">
              <w:rPr>
                <w:i/>
                <w:sz w:val="24"/>
                <w:szCs w:val="24"/>
              </w:rPr>
              <w:lastRenderedPageBreak/>
              <w:t>o una modificación de los datos del registro vitícola a raíz de una solicitud o una notificación presentada en relación con el régimen de autorizaciones para plantaciones de vid;</w:t>
            </w:r>
          </w:p>
        </w:tc>
      </w:tr>
    </w:tbl>
    <w:p w:rsidR="001142FD" w:rsidRPr="0057774C" w:rsidRDefault="001142FD" w:rsidP="001142FD">
      <w:pPr>
        <w:jc w:val="both"/>
        <w:rPr>
          <w:i/>
          <w:vanish/>
          <w:sz w:val="24"/>
          <w:szCs w:val="24"/>
        </w:rPr>
      </w:pPr>
    </w:p>
    <w:tbl>
      <w:tblPr>
        <w:tblW w:w="5000" w:type="pct"/>
        <w:tblCellMar>
          <w:left w:w="0" w:type="dxa"/>
          <w:right w:w="0" w:type="dxa"/>
        </w:tblCellMar>
        <w:tblLook w:val="04A0" w:firstRow="1" w:lastRow="0" w:firstColumn="1" w:lastColumn="0" w:noHBand="0" w:noVBand="1"/>
      </w:tblPr>
      <w:tblGrid>
        <w:gridCol w:w="214"/>
        <w:gridCol w:w="8290"/>
      </w:tblGrid>
      <w:tr w:rsidR="001142FD" w:rsidRPr="0057774C" w:rsidTr="00AA23D8">
        <w:tc>
          <w:tcPr>
            <w:tcW w:w="0" w:type="auto"/>
            <w:shd w:val="clear" w:color="auto" w:fill="auto"/>
            <w:hideMark/>
          </w:tcPr>
          <w:p w:rsidR="001142FD" w:rsidRPr="0057774C" w:rsidRDefault="001142FD" w:rsidP="00AA23D8">
            <w:pPr>
              <w:spacing w:before="120"/>
              <w:jc w:val="both"/>
              <w:rPr>
                <w:i/>
                <w:sz w:val="24"/>
                <w:szCs w:val="24"/>
              </w:rPr>
            </w:pPr>
            <w:r w:rsidRPr="0057774C">
              <w:rPr>
                <w:i/>
                <w:sz w:val="24"/>
                <w:szCs w:val="24"/>
              </w:rPr>
              <w:t>ii)</w:t>
            </w:r>
          </w:p>
        </w:tc>
        <w:tc>
          <w:tcPr>
            <w:tcW w:w="0" w:type="auto"/>
            <w:shd w:val="clear" w:color="auto" w:fill="auto"/>
            <w:hideMark/>
          </w:tcPr>
          <w:p w:rsidR="001142FD" w:rsidRPr="0057774C" w:rsidRDefault="001142FD" w:rsidP="00AA23D8">
            <w:pPr>
              <w:spacing w:before="120"/>
              <w:jc w:val="both"/>
              <w:rPr>
                <w:i/>
                <w:sz w:val="24"/>
                <w:szCs w:val="24"/>
              </w:rPr>
            </w:pPr>
            <w:r w:rsidRPr="0057774C">
              <w:rPr>
                <w:i/>
                <w:sz w:val="24"/>
                <w:szCs w:val="24"/>
              </w:rPr>
              <w:t xml:space="preserve">presenten una solicitud para las medidas «reestructuración y reconversión de viñedos» y «cosecha en verde», mencionadas en los artículos 46 y 47 del Reglamento (UE) </w:t>
            </w:r>
            <w:proofErr w:type="spellStart"/>
            <w:r w:rsidRPr="0057774C">
              <w:rPr>
                <w:i/>
                <w:sz w:val="24"/>
                <w:szCs w:val="24"/>
              </w:rPr>
              <w:t>n.</w:t>
            </w:r>
            <w:r w:rsidRPr="0057774C">
              <w:rPr>
                <w:i/>
                <w:sz w:val="24"/>
                <w:szCs w:val="24"/>
                <w:vertAlign w:val="superscript"/>
              </w:rPr>
              <w:t>o</w:t>
            </w:r>
            <w:proofErr w:type="spellEnd"/>
            <w:r w:rsidRPr="0057774C">
              <w:rPr>
                <w:i/>
                <w:sz w:val="24"/>
                <w:szCs w:val="24"/>
              </w:rPr>
              <w:t> 1308/2013, al amparo de un programa nacional de ayuda;</w:t>
            </w:r>
          </w:p>
        </w:tc>
      </w:tr>
    </w:tbl>
    <w:p w:rsidR="001142FD" w:rsidRPr="0057774C" w:rsidRDefault="001142FD" w:rsidP="001142FD">
      <w:pPr>
        <w:jc w:val="both"/>
        <w:rPr>
          <w:i/>
          <w:vanish/>
          <w:sz w:val="24"/>
          <w:szCs w:val="24"/>
        </w:rPr>
      </w:pPr>
    </w:p>
    <w:tbl>
      <w:tblPr>
        <w:tblW w:w="5000" w:type="pct"/>
        <w:tblCellMar>
          <w:left w:w="0" w:type="dxa"/>
          <w:right w:w="0" w:type="dxa"/>
        </w:tblCellMar>
        <w:tblLook w:val="04A0" w:firstRow="1" w:lastRow="0" w:firstColumn="1" w:lastColumn="0" w:noHBand="0" w:noVBand="1"/>
      </w:tblPr>
      <w:tblGrid>
        <w:gridCol w:w="280"/>
        <w:gridCol w:w="8224"/>
      </w:tblGrid>
      <w:tr w:rsidR="001142FD" w:rsidRPr="0057774C" w:rsidTr="00AA23D8">
        <w:tc>
          <w:tcPr>
            <w:tcW w:w="0" w:type="auto"/>
            <w:shd w:val="clear" w:color="auto" w:fill="auto"/>
            <w:hideMark/>
          </w:tcPr>
          <w:p w:rsidR="001142FD" w:rsidRPr="0057774C" w:rsidRDefault="001142FD" w:rsidP="00AA23D8">
            <w:pPr>
              <w:spacing w:before="120"/>
              <w:jc w:val="both"/>
              <w:rPr>
                <w:i/>
                <w:sz w:val="24"/>
                <w:szCs w:val="24"/>
              </w:rPr>
            </w:pPr>
            <w:r w:rsidRPr="0057774C">
              <w:rPr>
                <w:i/>
                <w:sz w:val="24"/>
                <w:szCs w:val="24"/>
              </w:rPr>
              <w:t>iii)</w:t>
            </w:r>
          </w:p>
        </w:tc>
        <w:tc>
          <w:tcPr>
            <w:tcW w:w="0" w:type="auto"/>
            <w:shd w:val="clear" w:color="auto" w:fill="auto"/>
            <w:hideMark/>
          </w:tcPr>
          <w:p w:rsidR="001142FD" w:rsidRPr="0057774C" w:rsidRDefault="001142FD" w:rsidP="00AA23D8">
            <w:pPr>
              <w:spacing w:before="120"/>
              <w:jc w:val="both"/>
              <w:rPr>
                <w:i/>
                <w:sz w:val="24"/>
                <w:szCs w:val="24"/>
              </w:rPr>
            </w:pPr>
            <w:proofErr w:type="gramStart"/>
            <w:r w:rsidRPr="0057774C">
              <w:rPr>
                <w:i/>
                <w:sz w:val="24"/>
                <w:szCs w:val="24"/>
              </w:rPr>
              <w:t>presenten</w:t>
            </w:r>
            <w:proofErr w:type="gramEnd"/>
            <w:r w:rsidRPr="0057774C">
              <w:rPr>
                <w:i/>
                <w:sz w:val="24"/>
                <w:szCs w:val="24"/>
              </w:rPr>
              <w:t xml:space="preserve"> una de las declaraciones contempladas en los artículos 31, 32 y 33 del Reglamento Delegado (UE) 2018/273.”</w:t>
            </w:r>
          </w:p>
          <w:p w:rsidR="001142FD" w:rsidRPr="0057774C" w:rsidRDefault="001142FD" w:rsidP="00AA23D8">
            <w:pPr>
              <w:spacing w:before="120"/>
              <w:jc w:val="both"/>
              <w:rPr>
                <w:i/>
                <w:sz w:val="24"/>
                <w:szCs w:val="24"/>
              </w:rPr>
            </w:pPr>
          </w:p>
        </w:tc>
      </w:tr>
    </w:tbl>
    <w:p w:rsidR="001142FD" w:rsidRPr="0057774C" w:rsidRDefault="001142FD" w:rsidP="001142FD">
      <w:pPr>
        <w:widowControl w:val="0"/>
        <w:autoSpaceDE w:val="0"/>
        <w:autoSpaceDN w:val="0"/>
        <w:adjustRightInd w:val="0"/>
        <w:spacing w:after="240"/>
        <w:jc w:val="both"/>
        <w:rPr>
          <w:sz w:val="24"/>
          <w:szCs w:val="24"/>
        </w:rPr>
      </w:pPr>
      <w:r w:rsidRPr="0057774C">
        <w:rPr>
          <w:sz w:val="24"/>
          <w:szCs w:val="24"/>
        </w:rPr>
        <w:t xml:space="preserve">En el proyecto de decreto foral, por su parte, se establecen en su </w:t>
      </w:r>
      <w:r w:rsidRPr="0057774C">
        <w:rPr>
          <w:b/>
          <w:sz w:val="24"/>
          <w:szCs w:val="24"/>
        </w:rPr>
        <w:t>art. 4</w:t>
      </w:r>
      <w:r w:rsidRPr="0057774C">
        <w:rPr>
          <w:sz w:val="24"/>
          <w:szCs w:val="24"/>
        </w:rPr>
        <w:t>una serie de medidas para la “</w:t>
      </w:r>
      <w:r w:rsidRPr="0057774C">
        <w:rPr>
          <w:i/>
          <w:sz w:val="24"/>
          <w:szCs w:val="24"/>
        </w:rPr>
        <w:t>Actualización de la información</w:t>
      </w:r>
      <w:r w:rsidRPr="0057774C">
        <w:rPr>
          <w:sz w:val="24"/>
          <w:szCs w:val="24"/>
        </w:rPr>
        <w:t>” del Registro Vitícola, que pudiera entenderse que incorpora los controles que la normativa europea citada establece:</w:t>
      </w:r>
    </w:p>
    <w:p w:rsidR="001142FD" w:rsidRPr="0057774C" w:rsidRDefault="001142FD" w:rsidP="001142FD">
      <w:pPr>
        <w:autoSpaceDE w:val="0"/>
        <w:autoSpaceDN w:val="0"/>
        <w:adjustRightInd w:val="0"/>
        <w:jc w:val="both"/>
        <w:rPr>
          <w:i/>
          <w:sz w:val="24"/>
          <w:szCs w:val="24"/>
        </w:rPr>
      </w:pPr>
      <w:r w:rsidRPr="0057774C">
        <w:rPr>
          <w:iCs/>
          <w:sz w:val="24"/>
          <w:szCs w:val="24"/>
        </w:rPr>
        <w:t>“</w:t>
      </w:r>
      <w:r w:rsidRPr="0057774C">
        <w:rPr>
          <w:i/>
          <w:sz w:val="24"/>
          <w:szCs w:val="24"/>
        </w:rPr>
        <w:t>4.2 Asimismo el Servicio de Viticultura y Enología de la DFA procederá a su actualización continua, incluyendo las modificaciones pertinentes a petición de las personas interesadas y una actualización regular mediante controles relativos al potencial produc</w:t>
      </w:r>
      <w:r w:rsidRPr="0057774C">
        <w:rPr>
          <w:i/>
          <w:sz w:val="24"/>
          <w:szCs w:val="24"/>
        </w:rPr>
        <w:softHyphen/>
        <w:t xml:space="preserve">tivo que resulten necesarios y que establezca la normativa vigente. </w:t>
      </w:r>
    </w:p>
    <w:p w:rsidR="001142FD" w:rsidRPr="0057774C" w:rsidRDefault="001142FD" w:rsidP="001142FD">
      <w:pPr>
        <w:autoSpaceDE w:val="0"/>
        <w:autoSpaceDN w:val="0"/>
        <w:adjustRightInd w:val="0"/>
        <w:jc w:val="both"/>
        <w:rPr>
          <w:i/>
          <w:sz w:val="24"/>
          <w:szCs w:val="24"/>
        </w:rPr>
      </w:pPr>
      <w:r w:rsidRPr="0057774C">
        <w:rPr>
          <w:i/>
          <w:sz w:val="24"/>
          <w:szCs w:val="24"/>
        </w:rPr>
        <w:t>Estos controles podrán ser tanto administrativos como sobre el terreno, mediante inspección directa de las parcelas vitícolas.”</w:t>
      </w:r>
    </w:p>
    <w:p w:rsidR="001142FD" w:rsidRPr="0057774C" w:rsidRDefault="001142FD" w:rsidP="001142FD">
      <w:pPr>
        <w:autoSpaceDE w:val="0"/>
        <w:autoSpaceDN w:val="0"/>
        <w:adjustRightInd w:val="0"/>
        <w:jc w:val="both"/>
        <w:rPr>
          <w:i/>
          <w:sz w:val="24"/>
          <w:szCs w:val="24"/>
        </w:rPr>
      </w:pPr>
    </w:p>
    <w:p w:rsidR="001142FD" w:rsidRPr="0057774C" w:rsidRDefault="001142FD" w:rsidP="001142FD">
      <w:pPr>
        <w:autoSpaceDE w:val="0"/>
        <w:autoSpaceDN w:val="0"/>
        <w:adjustRightInd w:val="0"/>
        <w:jc w:val="both"/>
        <w:rPr>
          <w:sz w:val="24"/>
          <w:szCs w:val="24"/>
          <w:u w:val="single"/>
        </w:rPr>
      </w:pPr>
      <w:r w:rsidRPr="0057774C">
        <w:rPr>
          <w:sz w:val="24"/>
          <w:szCs w:val="24"/>
        </w:rPr>
        <w:t>Se trata de una regulación muy genérica, que no menciona los casos concretos que establece el reglamento europeo para los controles y que parece que se limita a controles“…</w:t>
      </w:r>
      <w:r w:rsidRPr="0057774C">
        <w:rPr>
          <w:i/>
          <w:sz w:val="24"/>
          <w:szCs w:val="24"/>
        </w:rPr>
        <w:t xml:space="preserve">del potencial productivo que resulten necesarios y que establezca la normativa vigente”. </w:t>
      </w:r>
      <w:r w:rsidRPr="0057774C">
        <w:rPr>
          <w:sz w:val="24"/>
          <w:szCs w:val="24"/>
        </w:rPr>
        <w:t xml:space="preserve">Por ello, entendemos que </w:t>
      </w:r>
      <w:r w:rsidRPr="0057774C">
        <w:rPr>
          <w:sz w:val="24"/>
          <w:szCs w:val="24"/>
          <w:u w:val="single"/>
        </w:rPr>
        <w:t>no se adecúa  a lo que establece la legislación en esta concreta materia.</w:t>
      </w:r>
    </w:p>
    <w:p w:rsidR="001142FD" w:rsidRPr="0057774C" w:rsidRDefault="001142FD" w:rsidP="001142FD">
      <w:pPr>
        <w:widowControl w:val="0"/>
        <w:autoSpaceDE w:val="0"/>
        <w:autoSpaceDN w:val="0"/>
        <w:adjustRightInd w:val="0"/>
        <w:jc w:val="both"/>
        <w:rPr>
          <w:iCs/>
          <w:sz w:val="24"/>
          <w:szCs w:val="24"/>
        </w:rPr>
      </w:pPr>
    </w:p>
    <w:p w:rsidR="001142FD" w:rsidRPr="0057774C" w:rsidRDefault="001142FD" w:rsidP="001142FD">
      <w:pPr>
        <w:autoSpaceDE w:val="0"/>
        <w:autoSpaceDN w:val="0"/>
        <w:adjustRightInd w:val="0"/>
        <w:spacing w:after="100" w:afterAutospacing="1"/>
        <w:jc w:val="both"/>
        <w:rPr>
          <w:sz w:val="24"/>
          <w:szCs w:val="24"/>
        </w:rPr>
      </w:pPr>
      <w:r w:rsidRPr="0057774C">
        <w:rPr>
          <w:iCs/>
          <w:sz w:val="24"/>
          <w:szCs w:val="24"/>
        </w:rPr>
        <w:t xml:space="preserve">En el </w:t>
      </w:r>
      <w:r w:rsidRPr="0057774C">
        <w:rPr>
          <w:b/>
          <w:iCs/>
          <w:sz w:val="24"/>
          <w:szCs w:val="24"/>
        </w:rPr>
        <w:t>art. 31.2.b)</w:t>
      </w:r>
      <w:r w:rsidRPr="0057774C">
        <w:rPr>
          <w:iCs/>
          <w:sz w:val="24"/>
          <w:szCs w:val="24"/>
        </w:rPr>
        <w:t xml:space="preserve"> del </w:t>
      </w:r>
      <w:r w:rsidRPr="0057774C">
        <w:rPr>
          <w:sz w:val="24"/>
          <w:szCs w:val="24"/>
        </w:rPr>
        <w:t>Reglamento 2018/274 se establecen asimismo unos “</w:t>
      </w:r>
      <w:r w:rsidRPr="0057774C">
        <w:rPr>
          <w:i/>
          <w:sz w:val="24"/>
          <w:szCs w:val="24"/>
        </w:rPr>
        <w:t>Controles sobre el terreno anuales de al menos el 5 % de todos los viticultores identificados en el registro vitícola.</w:t>
      </w:r>
      <w:r w:rsidRPr="0057774C">
        <w:rPr>
          <w:sz w:val="24"/>
          <w:szCs w:val="24"/>
        </w:rPr>
        <w:t>” En el proyecto esta previsión se contempla de la manera siguiente en su art. 4.2: “</w:t>
      </w:r>
      <w:r w:rsidRPr="0057774C">
        <w:rPr>
          <w:i/>
          <w:sz w:val="24"/>
          <w:szCs w:val="24"/>
        </w:rPr>
        <w:t xml:space="preserve">Estos </w:t>
      </w:r>
      <w:r w:rsidRPr="0057774C">
        <w:rPr>
          <w:i/>
          <w:sz w:val="24"/>
          <w:szCs w:val="24"/>
          <w:u w:val="single"/>
        </w:rPr>
        <w:t>controles</w:t>
      </w:r>
      <w:r w:rsidRPr="0057774C">
        <w:rPr>
          <w:i/>
          <w:sz w:val="24"/>
          <w:szCs w:val="24"/>
        </w:rPr>
        <w:t xml:space="preserve"> podrán ser tanto administrativos como </w:t>
      </w:r>
      <w:r w:rsidRPr="0057774C">
        <w:rPr>
          <w:i/>
          <w:sz w:val="24"/>
          <w:szCs w:val="24"/>
          <w:u w:val="single"/>
        </w:rPr>
        <w:t>sobre el terreno</w:t>
      </w:r>
      <w:r w:rsidRPr="0057774C">
        <w:rPr>
          <w:i/>
          <w:sz w:val="24"/>
          <w:szCs w:val="24"/>
        </w:rPr>
        <w:t>, mediante inspección directa de las parcelas vitícolas. Las personas viticultoras, en caso de ser requeridas para el control, deberán facilitar la labor de los técnicos en las inspecciones de campo, así como la documentación necesa</w:t>
      </w:r>
      <w:r w:rsidRPr="0057774C">
        <w:rPr>
          <w:i/>
          <w:sz w:val="24"/>
          <w:szCs w:val="24"/>
        </w:rPr>
        <w:softHyphen/>
        <w:t>ria para verificar la fiabilidad de los datos registrados. ”</w:t>
      </w:r>
      <w:r w:rsidRPr="0057774C">
        <w:rPr>
          <w:sz w:val="24"/>
          <w:szCs w:val="24"/>
        </w:rPr>
        <w:t>No se menciona el porcentaje establecido en el Reglamento 2018/274.</w:t>
      </w:r>
    </w:p>
    <w:p w:rsidR="001142FD" w:rsidRPr="0057774C" w:rsidRDefault="001142FD" w:rsidP="001142FD">
      <w:pPr>
        <w:autoSpaceDE w:val="0"/>
        <w:autoSpaceDN w:val="0"/>
        <w:adjustRightInd w:val="0"/>
        <w:spacing w:after="100" w:afterAutospacing="1"/>
        <w:jc w:val="both"/>
        <w:rPr>
          <w:sz w:val="24"/>
          <w:szCs w:val="24"/>
        </w:rPr>
      </w:pPr>
      <w:r w:rsidRPr="0057774C">
        <w:rPr>
          <w:sz w:val="24"/>
          <w:szCs w:val="24"/>
        </w:rPr>
        <w:t xml:space="preserve">Por último, como ya se ha desarrollado anteriormente, la normativa de la Unión Europea establece </w:t>
      </w:r>
      <w:r w:rsidRPr="0057774C">
        <w:rPr>
          <w:rFonts w:eastAsia="Arial Unicode MS"/>
          <w:sz w:val="24"/>
          <w:szCs w:val="24"/>
        </w:rPr>
        <w:t xml:space="preserve">un </w:t>
      </w:r>
      <w:r w:rsidRPr="0057774C">
        <w:rPr>
          <w:rFonts w:eastAsia="Arial Unicode MS"/>
          <w:b/>
          <w:sz w:val="24"/>
          <w:szCs w:val="24"/>
        </w:rPr>
        <w:t>sistema de identificación de las parcelas agrarias</w:t>
      </w:r>
      <w:r w:rsidRPr="0057774C">
        <w:rPr>
          <w:rFonts w:eastAsia="Arial Unicode MS"/>
          <w:sz w:val="24"/>
          <w:szCs w:val="24"/>
        </w:rPr>
        <w:t xml:space="preserve"> común, que describe en el art. 70 del </w:t>
      </w:r>
      <w:r w:rsidRPr="0057774C">
        <w:rPr>
          <w:sz w:val="24"/>
          <w:szCs w:val="24"/>
        </w:rPr>
        <w:t xml:space="preserve">Reglamento (UE) nº 1306/2013 </w:t>
      </w:r>
      <w:r w:rsidRPr="0057774C">
        <w:rPr>
          <w:sz w:val="24"/>
          <w:szCs w:val="24"/>
          <w:shd w:val="clear" w:color="auto" w:fill="FFFFFF"/>
        </w:rPr>
        <w:t>del Parlamento Europeo y del Consejo, de 17 de diciembre de 2013.</w:t>
      </w:r>
      <w:r w:rsidRPr="0057774C">
        <w:rPr>
          <w:sz w:val="24"/>
          <w:szCs w:val="24"/>
        </w:rPr>
        <w:t xml:space="preserve">En ejecución de esta previsión en el Estado español se establece, a través del </w:t>
      </w:r>
      <w:r w:rsidRPr="0057774C">
        <w:rPr>
          <w:sz w:val="24"/>
          <w:szCs w:val="24"/>
          <w:lang w:val="es-ES_tradnl"/>
        </w:rPr>
        <w:t>Real Decreto 1077/2014, de 19 de diciembre,</w:t>
      </w:r>
      <w:r w:rsidRPr="0057774C">
        <w:rPr>
          <w:sz w:val="24"/>
          <w:szCs w:val="24"/>
        </w:rPr>
        <w:t>el denominado Sistema de Información Geográfica de Parcelas Agrícolas(SIGPAC)como “</w:t>
      </w:r>
      <w:r w:rsidRPr="0057774C">
        <w:rPr>
          <w:i/>
          <w:sz w:val="24"/>
          <w:szCs w:val="24"/>
        </w:rPr>
        <w:t>el sistema de identificación de parcelas agrarias a efectos de la gestión y control de los regímenes de ayuda establecidos en él /</w:t>
      </w:r>
      <w:r w:rsidRPr="0057774C">
        <w:rPr>
          <w:sz w:val="24"/>
          <w:szCs w:val="24"/>
        </w:rPr>
        <w:t>Política Agraria Común</w:t>
      </w:r>
      <w:r w:rsidRPr="0057774C">
        <w:rPr>
          <w:i/>
          <w:sz w:val="24"/>
          <w:szCs w:val="24"/>
        </w:rPr>
        <w:t>/, así como para los regímenes de ayuda en los que sea preciso identificar las parcelas, siendo por tanto la única base de referencia para la identificación de las parcelas agrícolas en el marco de la política agrícola común</w:t>
      </w:r>
      <w:r w:rsidRPr="0057774C">
        <w:rPr>
          <w:sz w:val="24"/>
          <w:szCs w:val="24"/>
        </w:rPr>
        <w:t>.”</w:t>
      </w:r>
    </w:p>
    <w:p w:rsidR="001142FD" w:rsidRPr="0057774C" w:rsidRDefault="001142FD" w:rsidP="001142FD">
      <w:pPr>
        <w:spacing w:before="120" w:after="240"/>
        <w:jc w:val="both"/>
        <w:rPr>
          <w:sz w:val="24"/>
          <w:szCs w:val="24"/>
        </w:rPr>
      </w:pPr>
      <w:r w:rsidRPr="0057774C">
        <w:rPr>
          <w:sz w:val="24"/>
          <w:szCs w:val="24"/>
          <w:lang w:val="es-ES_tradnl"/>
        </w:rPr>
        <w:lastRenderedPageBreak/>
        <w:t xml:space="preserve">Pues bien, en el proyecto de decreto foral, en su art. 3.5,  se remite expresamente al </w:t>
      </w:r>
      <w:r w:rsidRPr="0057774C">
        <w:rPr>
          <w:sz w:val="24"/>
          <w:szCs w:val="24"/>
        </w:rPr>
        <w:t>Sistema de Información Geográfica de Parcelas Agrícolas</w:t>
      </w:r>
      <w:r w:rsidRPr="0057774C">
        <w:rPr>
          <w:sz w:val="24"/>
          <w:szCs w:val="24"/>
          <w:lang w:val="es-ES_tradnl"/>
        </w:rPr>
        <w:t xml:space="preserve"> (</w:t>
      </w:r>
      <w:r w:rsidRPr="0057774C">
        <w:rPr>
          <w:sz w:val="24"/>
          <w:szCs w:val="24"/>
        </w:rPr>
        <w:t>SIGPAC) para la identificación de las parcelas vitícolas o viñedos.</w:t>
      </w:r>
    </w:p>
    <w:tbl>
      <w:tblPr>
        <w:tblW w:w="5000" w:type="pct"/>
        <w:tblCellMar>
          <w:left w:w="0" w:type="dxa"/>
          <w:right w:w="0" w:type="dxa"/>
        </w:tblCellMar>
        <w:tblLook w:val="04A0" w:firstRow="1" w:lastRow="0" w:firstColumn="1" w:lastColumn="0" w:noHBand="0" w:noVBand="1"/>
      </w:tblPr>
      <w:tblGrid>
        <w:gridCol w:w="8498"/>
        <w:gridCol w:w="6"/>
      </w:tblGrid>
      <w:tr w:rsidR="001142FD" w:rsidRPr="0057774C" w:rsidTr="00AA23D8">
        <w:tc>
          <w:tcPr>
            <w:tcW w:w="0" w:type="auto"/>
            <w:shd w:val="clear" w:color="auto" w:fill="auto"/>
            <w:hideMark/>
          </w:tcPr>
          <w:p w:rsidR="001142FD" w:rsidRPr="0057774C" w:rsidRDefault="001142FD" w:rsidP="00AA23D8">
            <w:pPr>
              <w:spacing w:before="120"/>
              <w:jc w:val="both"/>
              <w:rPr>
                <w:sz w:val="24"/>
                <w:szCs w:val="24"/>
              </w:rPr>
            </w:pPr>
            <w:r w:rsidRPr="0057774C">
              <w:rPr>
                <w:sz w:val="24"/>
                <w:szCs w:val="24"/>
              </w:rPr>
              <w:t xml:space="preserve">De todo lo anterior, y en lo que respecta a la adecuación del proyecto a la normativa europea mencionada, se aprecia la </w:t>
            </w:r>
            <w:r w:rsidRPr="0057774C">
              <w:rPr>
                <w:sz w:val="24"/>
                <w:szCs w:val="24"/>
                <w:u w:val="single"/>
              </w:rPr>
              <w:t xml:space="preserve">ausencia en el proyecto de decreto foral de la constancia de numerosa información y controles </w:t>
            </w:r>
            <w:r w:rsidRPr="0057774C">
              <w:rPr>
                <w:sz w:val="24"/>
                <w:szCs w:val="24"/>
              </w:rPr>
              <w:t xml:space="preserve">que, según dicha normativa (especialmente el art. 7 del Reglamento 2018/273), deben figurar obligatoriamente en los registros vitícolas que, de acuerdo con lo establecido en el art. 145 del  Reglamento (UE) nº 1308/2013, deben llevar los Estados miembros. Sí que incluye la referencia al sistema SIGPAC como referencia para </w:t>
            </w:r>
            <w:r w:rsidRPr="0057774C">
              <w:rPr>
                <w:rFonts w:eastAsia="Arial Unicode MS"/>
                <w:sz w:val="24"/>
                <w:szCs w:val="24"/>
              </w:rPr>
              <w:t>la identificación de las parcelas vitícolas, de acuerdo con las prevenciones del sistema europeo.</w:t>
            </w:r>
          </w:p>
          <w:p w:rsidR="001142FD" w:rsidRPr="0057774C" w:rsidRDefault="001142FD" w:rsidP="00AA23D8">
            <w:pPr>
              <w:spacing w:before="120"/>
              <w:jc w:val="both"/>
              <w:rPr>
                <w:sz w:val="24"/>
                <w:szCs w:val="24"/>
              </w:rPr>
            </w:pPr>
          </w:p>
          <w:p w:rsidR="001142FD" w:rsidRPr="0057774C" w:rsidRDefault="001142FD" w:rsidP="001142FD">
            <w:pPr>
              <w:pStyle w:val="Prrafodelista"/>
              <w:numPr>
                <w:ilvl w:val="0"/>
                <w:numId w:val="9"/>
              </w:numPr>
              <w:spacing w:before="120" w:after="0"/>
              <w:jc w:val="both"/>
              <w:rPr>
                <w:rFonts w:ascii="Times New Roman" w:eastAsia="Times New Roman" w:hAnsi="Times New Roman"/>
                <w:b/>
                <w:color w:val="444444"/>
                <w:sz w:val="24"/>
                <w:szCs w:val="24"/>
                <w:lang w:eastAsia="es-ES"/>
              </w:rPr>
            </w:pPr>
            <w:r w:rsidRPr="0057774C">
              <w:rPr>
                <w:rFonts w:ascii="Times New Roman" w:eastAsia="Times New Roman" w:hAnsi="Times New Roman"/>
                <w:b/>
                <w:color w:val="444444"/>
                <w:sz w:val="24"/>
                <w:szCs w:val="24"/>
                <w:lang w:eastAsia="es-ES"/>
              </w:rPr>
              <w:t>Normativa del Estado</w:t>
            </w:r>
          </w:p>
          <w:p w:rsidR="001142FD" w:rsidRPr="0057774C" w:rsidRDefault="001142FD" w:rsidP="00AA23D8">
            <w:pPr>
              <w:pStyle w:val="Prrafodelista"/>
              <w:spacing w:before="120" w:after="0"/>
              <w:ind w:left="1428"/>
              <w:jc w:val="both"/>
              <w:rPr>
                <w:rFonts w:ascii="Times New Roman" w:eastAsia="Times New Roman" w:hAnsi="Times New Roman"/>
                <w:b/>
                <w:color w:val="444444"/>
                <w:sz w:val="24"/>
                <w:szCs w:val="24"/>
                <w:lang w:eastAsia="es-ES"/>
              </w:rPr>
            </w:pPr>
          </w:p>
        </w:tc>
        <w:tc>
          <w:tcPr>
            <w:tcW w:w="0" w:type="auto"/>
            <w:shd w:val="clear" w:color="auto" w:fill="auto"/>
            <w:hideMark/>
          </w:tcPr>
          <w:p w:rsidR="001142FD" w:rsidRPr="0057774C" w:rsidRDefault="001142FD" w:rsidP="00AA23D8">
            <w:pPr>
              <w:spacing w:before="120"/>
              <w:jc w:val="both"/>
              <w:rPr>
                <w:color w:val="444444"/>
                <w:sz w:val="24"/>
                <w:szCs w:val="24"/>
              </w:rPr>
            </w:pPr>
          </w:p>
        </w:tc>
      </w:tr>
    </w:tbl>
    <w:p w:rsidR="001142FD" w:rsidRPr="0057774C" w:rsidRDefault="001142FD" w:rsidP="001142FD">
      <w:pPr>
        <w:spacing w:before="120" w:after="240"/>
        <w:jc w:val="both"/>
        <w:rPr>
          <w:sz w:val="24"/>
          <w:szCs w:val="24"/>
          <w:lang w:val="es-ES_tradnl"/>
        </w:rPr>
      </w:pPr>
      <w:r w:rsidRPr="0057774C">
        <w:rPr>
          <w:sz w:val="24"/>
          <w:szCs w:val="24"/>
        </w:rPr>
        <w:t>Por su parte en el Estado español se ha aprobado e</w:t>
      </w:r>
      <w:r w:rsidRPr="0057774C">
        <w:rPr>
          <w:sz w:val="24"/>
          <w:szCs w:val="24"/>
          <w:lang w:val="es-ES_tradnl"/>
        </w:rPr>
        <w:t xml:space="preserve">l </w:t>
      </w:r>
      <w:r w:rsidRPr="0057774C">
        <w:rPr>
          <w:b/>
          <w:sz w:val="24"/>
          <w:szCs w:val="24"/>
          <w:lang w:val="es-ES_tradnl"/>
        </w:rPr>
        <w:t>Real Decreto 1338/2018, de 29 de octubre</w:t>
      </w:r>
      <w:r w:rsidRPr="0057774C">
        <w:rPr>
          <w:sz w:val="24"/>
          <w:szCs w:val="24"/>
          <w:lang w:val="es-ES_tradnl"/>
        </w:rPr>
        <w:t>, modificado por RD 536/2019 de 20 de septiembre, por el que se regula el potencial de producción vitícola,  que establece el régimen jurídico de la plantación de viñedo que deriva de la normativa comunitaria.</w:t>
      </w:r>
    </w:p>
    <w:p w:rsidR="001142FD" w:rsidRPr="0057774C" w:rsidRDefault="001142FD" w:rsidP="001142FD">
      <w:pPr>
        <w:spacing w:before="120" w:after="240"/>
        <w:jc w:val="both"/>
        <w:rPr>
          <w:sz w:val="24"/>
          <w:szCs w:val="24"/>
          <w:lang w:val="es-ES_tradnl"/>
        </w:rPr>
      </w:pPr>
      <w:r w:rsidRPr="0057774C">
        <w:rPr>
          <w:sz w:val="24"/>
          <w:szCs w:val="24"/>
          <w:lang w:val="es-ES_tradnl"/>
        </w:rPr>
        <w:t>Este Real Decreto se dicta “</w:t>
      </w:r>
      <w:r w:rsidRPr="0057774C">
        <w:rPr>
          <w:i/>
          <w:sz w:val="24"/>
          <w:szCs w:val="24"/>
          <w:lang w:val="es-ES_tradnl"/>
        </w:rPr>
        <w:t>al amparo de lo dispuesto en el art. 149.1.13ª de la Constitución Española, que atribuye al Estado la competencia exclusiva en materia de bases y coordinación de la planificación general de la actividad económica”</w:t>
      </w:r>
      <w:r w:rsidRPr="0057774C">
        <w:rPr>
          <w:sz w:val="24"/>
          <w:szCs w:val="24"/>
          <w:lang w:val="es-ES_tradnl"/>
        </w:rPr>
        <w:t>, según dispone su Disposición Final Primera.</w:t>
      </w:r>
    </w:p>
    <w:p w:rsidR="001142FD" w:rsidRPr="0057774C" w:rsidRDefault="001142FD" w:rsidP="001142FD">
      <w:pPr>
        <w:spacing w:before="120" w:after="240"/>
        <w:jc w:val="both"/>
        <w:rPr>
          <w:sz w:val="24"/>
          <w:szCs w:val="24"/>
        </w:rPr>
      </w:pPr>
      <w:r w:rsidRPr="0057774C">
        <w:rPr>
          <w:sz w:val="24"/>
          <w:szCs w:val="24"/>
          <w:lang w:val="es-ES_tradnl"/>
        </w:rPr>
        <w:t xml:space="preserve">En este RD se regula el registro vitícola en su </w:t>
      </w:r>
      <w:r w:rsidRPr="0057774C">
        <w:rPr>
          <w:b/>
          <w:sz w:val="24"/>
          <w:szCs w:val="24"/>
          <w:lang w:val="es-ES_tradnl"/>
        </w:rPr>
        <w:t>art. 28</w:t>
      </w:r>
      <w:r w:rsidRPr="0057774C">
        <w:rPr>
          <w:sz w:val="24"/>
          <w:szCs w:val="24"/>
          <w:lang w:val="es-ES_tradnl"/>
        </w:rPr>
        <w:t>, estableciendo en su apartado 1 que “</w:t>
      </w:r>
      <w:r w:rsidRPr="0057774C">
        <w:rPr>
          <w:i/>
          <w:sz w:val="24"/>
          <w:szCs w:val="24"/>
          <w:lang w:val="es-ES_tradnl"/>
        </w:rPr>
        <w:t xml:space="preserve">el registro vitícola de las comunidades autónomas contendrá información actualizada que incluirá, al menos, los detalles y especificaciones establecidos en los anexos III y IV del </w:t>
      </w:r>
      <w:r w:rsidRPr="0057774C">
        <w:rPr>
          <w:i/>
          <w:sz w:val="24"/>
          <w:szCs w:val="24"/>
        </w:rPr>
        <w:t>Reglamento Delegado (UE) 2018/273, de 11 de diciembre de 2017</w:t>
      </w:r>
      <w:r w:rsidRPr="0057774C">
        <w:rPr>
          <w:i/>
          <w:sz w:val="24"/>
          <w:szCs w:val="24"/>
          <w:lang w:val="es-ES_tradnl"/>
        </w:rPr>
        <w:t>.”</w:t>
      </w:r>
      <w:r w:rsidRPr="0057774C">
        <w:rPr>
          <w:sz w:val="24"/>
          <w:szCs w:val="24"/>
          <w:lang w:val="es-ES_tradnl"/>
        </w:rPr>
        <w:t xml:space="preserve">Ya hemos examinado anteriormente, en el apartado dedicado a las normas de la Unión Europea, el cumplimiento de la </w:t>
      </w:r>
      <w:r w:rsidRPr="0057774C">
        <w:rPr>
          <w:sz w:val="24"/>
          <w:szCs w:val="24"/>
        </w:rPr>
        <w:t>constancia en el proyecto de la información que exigen dichos anexos.</w:t>
      </w:r>
    </w:p>
    <w:p w:rsidR="001142FD" w:rsidRDefault="001142FD" w:rsidP="001142FD">
      <w:pPr>
        <w:spacing w:before="120" w:after="240"/>
        <w:jc w:val="both"/>
        <w:rPr>
          <w:sz w:val="24"/>
          <w:szCs w:val="24"/>
        </w:rPr>
      </w:pPr>
      <w:r w:rsidRPr="0057774C">
        <w:rPr>
          <w:sz w:val="24"/>
          <w:szCs w:val="24"/>
          <w:lang w:val="es-ES_tradnl"/>
        </w:rPr>
        <w:t>Asimismo establece en el apartado 2 que “</w:t>
      </w:r>
      <w:r w:rsidRPr="0057774C">
        <w:rPr>
          <w:i/>
          <w:sz w:val="24"/>
          <w:szCs w:val="24"/>
          <w:lang w:val="es-ES_tradnl"/>
        </w:rPr>
        <w:t xml:space="preserve">las comunidades autónomas utilizarán la información gráfica y alfanumérica de identificación de parcelas del SIGPAC, previsto en el Real Decreto 1077/2014, de 19 de diciembre, por el que se regula el sistema de información geográfica de parcelas agrícolas”. </w:t>
      </w:r>
      <w:r w:rsidRPr="0057774C">
        <w:rPr>
          <w:sz w:val="24"/>
          <w:szCs w:val="24"/>
          <w:lang w:val="es-ES_tradnl"/>
        </w:rPr>
        <w:t xml:space="preserve">En el proyecto de decreto foral, en su art. 3.5,  como ya hemos dicho anteriormente, se remite expresamente al </w:t>
      </w:r>
      <w:r w:rsidRPr="0057774C">
        <w:rPr>
          <w:sz w:val="24"/>
          <w:szCs w:val="24"/>
        </w:rPr>
        <w:t xml:space="preserve">Sistema de Información Geográfica de Parcelas Agrícolas </w:t>
      </w:r>
      <w:r w:rsidRPr="0057774C">
        <w:rPr>
          <w:sz w:val="24"/>
          <w:szCs w:val="24"/>
          <w:lang w:val="es-ES_tradnl"/>
        </w:rPr>
        <w:t>(</w:t>
      </w:r>
      <w:r w:rsidRPr="0057774C">
        <w:rPr>
          <w:sz w:val="24"/>
          <w:szCs w:val="24"/>
        </w:rPr>
        <w:t>SIGPAC) para la identificación de las parcelas vitícolas o viñedos.</w:t>
      </w:r>
    </w:p>
    <w:p w:rsidR="001142FD" w:rsidRDefault="001142FD" w:rsidP="001142FD">
      <w:pPr>
        <w:spacing w:before="120" w:after="240"/>
        <w:jc w:val="both"/>
        <w:rPr>
          <w:sz w:val="24"/>
          <w:szCs w:val="24"/>
        </w:rPr>
      </w:pPr>
    </w:p>
    <w:p w:rsidR="001142FD" w:rsidRDefault="001142FD" w:rsidP="001142FD">
      <w:pPr>
        <w:spacing w:before="120" w:after="240"/>
        <w:jc w:val="both"/>
        <w:rPr>
          <w:sz w:val="24"/>
          <w:szCs w:val="24"/>
        </w:rPr>
      </w:pPr>
    </w:p>
    <w:p w:rsidR="001142FD" w:rsidRDefault="001142FD" w:rsidP="001142FD">
      <w:pPr>
        <w:spacing w:before="120" w:after="240"/>
        <w:jc w:val="both"/>
        <w:rPr>
          <w:sz w:val="24"/>
          <w:szCs w:val="24"/>
        </w:rPr>
      </w:pPr>
    </w:p>
    <w:p w:rsidR="001142FD" w:rsidRDefault="001142FD" w:rsidP="001142FD">
      <w:pPr>
        <w:spacing w:before="120" w:after="240"/>
        <w:jc w:val="both"/>
        <w:rPr>
          <w:sz w:val="24"/>
          <w:szCs w:val="24"/>
        </w:rPr>
      </w:pPr>
    </w:p>
    <w:p w:rsidR="001142FD" w:rsidRPr="0057774C" w:rsidRDefault="001142FD" w:rsidP="001142FD">
      <w:pPr>
        <w:spacing w:before="120" w:after="240"/>
        <w:jc w:val="both"/>
        <w:rPr>
          <w:sz w:val="24"/>
          <w:szCs w:val="24"/>
        </w:rPr>
      </w:pPr>
    </w:p>
    <w:p w:rsidR="001142FD" w:rsidRPr="0057774C" w:rsidRDefault="001142FD" w:rsidP="001142FD">
      <w:pPr>
        <w:spacing w:before="120" w:after="240"/>
        <w:jc w:val="both"/>
        <w:rPr>
          <w:sz w:val="24"/>
          <w:szCs w:val="24"/>
        </w:rPr>
      </w:pPr>
      <w:r w:rsidRPr="0057774C">
        <w:rPr>
          <w:sz w:val="24"/>
          <w:szCs w:val="24"/>
        </w:rPr>
        <w:t>También establece (apartado 3) unas obligaciones de recoger información en el registro vitícola sobre el destino de la producción de las parcelasen los siguientes casos:</w:t>
      </w:r>
    </w:p>
    <w:p w:rsidR="001142FD" w:rsidRPr="0057774C" w:rsidRDefault="001142FD" w:rsidP="001142FD">
      <w:pPr>
        <w:pStyle w:val="Prrafodelista"/>
        <w:numPr>
          <w:ilvl w:val="0"/>
          <w:numId w:val="1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 xml:space="preserve">autorizaciones de nueva plantación en una superficie que se encuentre en zonas de DOP que se superpongan con varias </w:t>
      </w:r>
      <w:proofErr w:type="spellStart"/>
      <w:r w:rsidRPr="0057774C">
        <w:rPr>
          <w:rFonts w:ascii="Times New Roman" w:eastAsia="Times New Roman" w:hAnsi="Times New Roman"/>
          <w:sz w:val="24"/>
          <w:szCs w:val="24"/>
          <w:lang w:val="es-ES_tradnl" w:eastAsia="es-ES"/>
        </w:rPr>
        <w:t>DOPs</w:t>
      </w:r>
      <w:proofErr w:type="spellEnd"/>
      <w:r w:rsidRPr="0057774C">
        <w:rPr>
          <w:rFonts w:ascii="Times New Roman" w:eastAsia="Times New Roman" w:hAnsi="Times New Roman"/>
          <w:sz w:val="24"/>
          <w:szCs w:val="24"/>
          <w:lang w:val="es-ES_tradnl" w:eastAsia="es-ES"/>
        </w:rPr>
        <w:t>, en las que el solicitante deberá indicar si la producción se va a destinar o no a elaborar vino de dicha DOP (art. 8.2 del RD);</w:t>
      </w:r>
    </w:p>
    <w:p w:rsidR="001142FD" w:rsidRPr="0057774C" w:rsidRDefault="001142FD" w:rsidP="001142FD">
      <w:pPr>
        <w:pStyle w:val="Prrafodelista"/>
        <w:numPr>
          <w:ilvl w:val="0"/>
          <w:numId w:val="1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cuando exista un compromiso de no utilizar ni comercializar las uvas producidas para producir vinos con denominación de origen protegida (DOP), éste se mantendrá mientras esté vigente el régimen de autorizaciones de viñedo (art. 17.3 del RD);</w:t>
      </w:r>
    </w:p>
    <w:p w:rsidR="001142FD" w:rsidRPr="0057774C" w:rsidRDefault="001142FD" w:rsidP="001142FD">
      <w:pPr>
        <w:pStyle w:val="Prrafodelista"/>
        <w:numPr>
          <w:ilvl w:val="0"/>
          <w:numId w:val="17"/>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cuando se hayan concedido autorizaciones de plantación de viñedo por conversión de un derecho de plantación, que deberán ser utilizadas por el mismo titular al que se le concedieron en su propia explotación (art. 22.4 del RD).</w:t>
      </w:r>
    </w:p>
    <w:p w:rsidR="001142FD" w:rsidRPr="0057774C" w:rsidRDefault="001142FD" w:rsidP="001142FD">
      <w:pPr>
        <w:spacing w:before="120" w:after="240"/>
        <w:jc w:val="both"/>
        <w:rPr>
          <w:sz w:val="24"/>
          <w:szCs w:val="24"/>
        </w:rPr>
      </w:pPr>
      <w:r w:rsidRPr="0057774C">
        <w:rPr>
          <w:sz w:val="24"/>
          <w:szCs w:val="24"/>
          <w:lang w:val="es-ES_tradnl"/>
        </w:rPr>
        <w:t xml:space="preserve">Por último, el </w:t>
      </w:r>
      <w:r w:rsidRPr="0057774C">
        <w:rPr>
          <w:b/>
          <w:sz w:val="24"/>
          <w:szCs w:val="24"/>
          <w:lang w:val="es-ES_tradnl"/>
        </w:rPr>
        <w:t>art. 29</w:t>
      </w:r>
      <w:r w:rsidRPr="0057774C">
        <w:rPr>
          <w:sz w:val="24"/>
          <w:szCs w:val="24"/>
          <w:lang w:val="es-ES_tradnl"/>
        </w:rPr>
        <w:t xml:space="preserve"> del RD establece la obligatoriedad de realizar unos controles por parte de las autoridades competentes en el sentido de los establecidos en la normativa de la UE y especialmente en el art. 31.2 del </w:t>
      </w:r>
      <w:r w:rsidRPr="0057774C">
        <w:rPr>
          <w:sz w:val="24"/>
          <w:szCs w:val="24"/>
        </w:rPr>
        <w:t>Reglamento de Ejecución (UE) 2018/274, que ya hemos examinado anteriormente.</w:t>
      </w:r>
    </w:p>
    <w:p w:rsidR="001142FD" w:rsidRPr="0057774C" w:rsidRDefault="001142FD" w:rsidP="001142FD">
      <w:pPr>
        <w:spacing w:before="120" w:after="240"/>
        <w:jc w:val="both"/>
        <w:rPr>
          <w:sz w:val="24"/>
          <w:szCs w:val="24"/>
        </w:rPr>
      </w:pPr>
      <w:r w:rsidRPr="0057774C">
        <w:rPr>
          <w:sz w:val="24"/>
          <w:szCs w:val="24"/>
        </w:rPr>
        <w:t>Por tanto, y en lo que respecta a la adecuación del proyecto a la regulación que este RD hace del registro vitícola, obligatoria en base a lo establecido en la DF Primera, hay que hacer constar:</w:t>
      </w:r>
    </w:p>
    <w:p w:rsidR="001142FD" w:rsidRPr="0057774C" w:rsidRDefault="001142FD" w:rsidP="001142FD">
      <w:pPr>
        <w:pStyle w:val="Prrafodelista"/>
        <w:numPr>
          <w:ilvl w:val="0"/>
          <w:numId w:val="15"/>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 xml:space="preserve">con respecto a la información de los anexos III y IV del </w:t>
      </w:r>
      <w:r w:rsidRPr="0057774C">
        <w:rPr>
          <w:rFonts w:ascii="Times New Roman" w:eastAsia="Times New Roman" w:hAnsi="Times New Roman"/>
          <w:sz w:val="24"/>
          <w:szCs w:val="24"/>
          <w:lang w:eastAsia="es-ES"/>
        </w:rPr>
        <w:t>Reglamento (UE) 2018/273, ya se ha indicado anteriormente;</w:t>
      </w:r>
    </w:p>
    <w:p w:rsidR="001142FD" w:rsidRPr="0057774C" w:rsidRDefault="001142FD" w:rsidP="001142FD">
      <w:pPr>
        <w:pStyle w:val="Prrafodelista"/>
        <w:numPr>
          <w:ilvl w:val="0"/>
          <w:numId w:val="15"/>
        </w:numPr>
        <w:spacing w:before="120" w:after="24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eastAsia="es-ES"/>
        </w:rPr>
        <w:t xml:space="preserve">con respecto a la utilización del SIGPAC para </w:t>
      </w:r>
      <w:r w:rsidRPr="0057774C">
        <w:rPr>
          <w:rFonts w:ascii="Times New Roman" w:hAnsi="Times New Roman"/>
          <w:sz w:val="24"/>
          <w:szCs w:val="24"/>
        </w:rPr>
        <w:t>la identificación de las parcelas, éste se menciona expresamente en el proyecto;</w:t>
      </w:r>
    </w:p>
    <w:p w:rsidR="001142FD" w:rsidRPr="0057774C" w:rsidRDefault="001142FD" w:rsidP="001142FD">
      <w:pPr>
        <w:pStyle w:val="Prrafodelista"/>
        <w:numPr>
          <w:ilvl w:val="0"/>
          <w:numId w:val="15"/>
        </w:numPr>
        <w:spacing w:before="120" w:after="240"/>
        <w:jc w:val="both"/>
        <w:rPr>
          <w:rFonts w:ascii="Times New Roman" w:eastAsia="Times New Roman" w:hAnsi="Times New Roman"/>
          <w:sz w:val="24"/>
          <w:szCs w:val="24"/>
          <w:lang w:val="es-ES_tradnl" w:eastAsia="es-ES"/>
        </w:rPr>
      </w:pPr>
      <w:r w:rsidRPr="0057774C">
        <w:rPr>
          <w:rFonts w:ascii="Times New Roman" w:hAnsi="Times New Roman"/>
          <w:sz w:val="24"/>
          <w:szCs w:val="24"/>
          <w:lang w:val="es-ES_tradnl"/>
        </w:rPr>
        <w:t>la información que debe constar de acuerdo con lo establecido en el apartado 3 del art.28 del RD no consta como contenido del registro en el proyecto de decreto foral;</w:t>
      </w:r>
    </w:p>
    <w:p w:rsidR="001142FD" w:rsidRPr="0057774C" w:rsidRDefault="001142FD" w:rsidP="001142FD">
      <w:pPr>
        <w:pStyle w:val="Prrafodelista"/>
        <w:numPr>
          <w:ilvl w:val="0"/>
          <w:numId w:val="15"/>
        </w:numPr>
        <w:spacing w:before="120" w:after="240"/>
        <w:jc w:val="both"/>
        <w:rPr>
          <w:rFonts w:ascii="Times New Roman" w:eastAsia="Times New Roman" w:hAnsi="Times New Roman"/>
          <w:b/>
          <w:sz w:val="24"/>
          <w:szCs w:val="24"/>
          <w:u w:val="single"/>
          <w:lang w:val="es-ES_tradnl" w:eastAsia="es-ES"/>
        </w:rPr>
      </w:pPr>
      <w:r w:rsidRPr="0057774C">
        <w:rPr>
          <w:rFonts w:ascii="Times New Roman" w:hAnsi="Times New Roman"/>
          <w:sz w:val="24"/>
          <w:szCs w:val="24"/>
          <w:lang w:val="es-ES_tradnl"/>
        </w:rPr>
        <w:t>en cuanto a los controles que el art. 29 RD y el art. 31.2 del Reglamento 2018/274 establecen, nos remitimos a lo expresado en el apartado anterior relativo a la Unión Europea.</w:t>
      </w:r>
    </w:p>
    <w:p w:rsidR="001142FD" w:rsidRPr="0057774C" w:rsidRDefault="001142FD" w:rsidP="001142FD">
      <w:pPr>
        <w:pStyle w:val="Prrafodelista"/>
        <w:spacing w:before="120" w:after="240"/>
        <w:jc w:val="both"/>
        <w:rPr>
          <w:rFonts w:ascii="Times New Roman" w:eastAsia="Times New Roman" w:hAnsi="Times New Roman"/>
          <w:b/>
          <w:sz w:val="24"/>
          <w:szCs w:val="24"/>
          <w:u w:val="single"/>
          <w:lang w:val="es-ES_tradnl" w:eastAsia="es-ES"/>
        </w:rPr>
      </w:pPr>
    </w:p>
    <w:p w:rsidR="001142FD" w:rsidRPr="0057774C" w:rsidRDefault="001142FD" w:rsidP="001142FD">
      <w:pPr>
        <w:spacing w:before="120" w:after="240"/>
        <w:jc w:val="both"/>
        <w:rPr>
          <w:color w:val="FF0000"/>
          <w:sz w:val="24"/>
          <w:szCs w:val="24"/>
          <w:lang w:val="es-ES_tradnl"/>
        </w:rPr>
      </w:pPr>
      <w:r w:rsidRPr="0057774C">
        <w:rPr>
          <w:b/>
          <w:sz w:val="24"/>
          <w:szCs w:val="24"/>
          <w:u w:val="single"/>
          <w:lang w:val="es-ES_tradnl"/>
        </w:rPr>
        <w:t>SEXTA.-. OTRAS CONSIDERACIONES SOBRE EL CONTENIDO DEL PROYECTO</w:t>
      </w:r>
    </w:p>
    <w:p w:rsidR="001142FD" w:rsidRPr="0057774C" w:rsidRDefault="001142FD" w:rsidP="001142FD">
      <w:pPr>
        <w:pStyle w:val="Prrafodelista"/>
        <w:numPr>
          <w:ilvl w:val="0"/>
          <w:numId w:val="18"/>
        </w:numPr>
        <w:spacing w:before="120" w:after="240"/>
        <w:ind w:left="0" w:firstLine="0"/>
        <w:jc w:val="both"/>
        <w:rPr>
          <w:rFonts w:ascii="Times New Roman" w:eastAsia="Times New Roman" w:hAnsi="Times New Roman"/>
          <w:sz w:val="24"/>
          <w:szCs w:val="24"/>
          <w:lang w:val="es-ES_tradnl" w:eastAsia="es-ES"/>
        </w:rPr>
      </w:pPr>
      <w:r w:rsidRPr="0057774C">
        <w:rPr>
          <w:rFonts w:ascii="Times New Roman" w:eastAsia="Times New Roman" w:hAnsi="Times New Roman"/>
          <w:sz w:val="24"/>
          <w:szCs w:val="24"/>
          <w:lang w:val="es-ES_tradnl" w:eastAsia="es-ES"/>
        </w:rPr>
        <w:t>En el texto del proyecto de “Decreto Foral regulador del Registro Vitícola del Territorio Histórico de Álava” se incluye numeroso contenido (prácticamente el resto de artículos con excepción de los arts.1, 2 y 13 y de los que hemos analizado en este dictamen: 3 y 4) que no se refiere específicamente a la regulación del Registro Vitícola como indica su título y denominación.</w:t>
      </w:r>
    </w:p>
    <w:p w:rsidR="001142FD" w:rsidRDefault="001142FD" w:rsidP="001142FD">
      <w:pPr>
        <w:widowControl w:val="0"/>
        <w:autoSpaceDE w:val="0"/>
        <w:autoSpaceDN w:val="0"/>
        <w:adjustRightInd w:val="0"/>
        <w:jc w:val="both"/>
        <w:rPr>
          <w:i/>
          <w:sz w:val="24"/>
          <w:szCs w:val="24"/>
        </w:rPr>
      </w:pPr>
      <w:r w:rsidRPr="0057774C">
        <w:rPr>
          <w:sz w:val="24"/>
          <w:szCs w:val="24"/>
          <w:lang w:val="es-ES_tradnl"/>
        </w:rPr>
        <w:lastRenderedPageBreak/>
        <w:t>El art. 1 se refiere al objeto del decreto foral  diciendo que “</w:t>
      </w:r>
      <w:r w:rsidRPr="0057774C">
        <w:rPr>
          <w:i/>
          <w:sz w:val="24"/>
          <w:szCs w:val="24"/>
        </w:rPr>
        <w:t>tiene por objeto establecer en el ámbito del Territorio Histórico de Álava la naturaleza y características de su Registro Vitícola así como las normas y procedimientos a los que deberá ajustarse cualquier operación o gestión que modifique en todo o en parte cualquiera de sus  diferentes apartados.”</w:t>
      </w:r>
    </w:p>
    <w:p w:rsidR="001142FD" w:rsidRPr="0057774C" w:rsidRDefault="001142FD" w:rsidP="001142FD">
      <w:pPr>
        <w:widowControl w:val="0"/>
        <w:autoSpaceDE w:val="0"/>
        <w:autoSpaceDN w:val="0"/>
        <w:adjustRightInd w:val="0"/>
        <w:jc w:val="both"/>
        <w:rPr>
          <w:i/>
          <w:sz w:val="24"/>
          <w:szCs w:val="24"/>
        </w:rPr>
      </w:pPr>
    </w:p>
    <w:p w:rsidR="001142FD" w:rsidRDefault="001142FD" w:rsidP="001142FD">
      <w:pPr>
        <w:widowControl w:val="0"/>
        <w:autoSpaceDE w:val="0"/>
        <w:autoSpaceDN w:val="0"/>
        <w:adjustRightInd w:val="0"/>
        <w:jc w:val="both"/>
        <w:rPr>
          <w:sz w:val="24"/>
          <w:szCs w:val="24"/>
        </w:rPr>
      </w:pPr>
      <w:r w:rsidRPr="0057774C">
        <w:rPr>
          <w:sz w:val="24"/>
          <w:szCs w:val="24"/>
        </w:rPr>
        <w:t>El art. 2, por su parte, regula la naturaleza jurídica y régimen aplicable al Registro Vitícola.</w:t>
      </w:r>
    </w:p>
    <w:p w:rsidR="001142FD" w:rsidRPr="0057774C" w:rsidRDefault="001142FD" w:rsidP="001142FD">
      <w:pPr>
        <w:widowControl w:val="0"/>
        <w:autoSpaceDE w:val="0"/>
        <w:autoSpaceDN w:val="0"/>
        <w:adjustRightInd w:val="0"/>
        <w:jc w:val="both"/>
        <w:rPr>
          <w:sz w:val="24"/>
          <w:szCs w:val="24"/>
        </w:rPr>
      </w:pPr>
    </w:p>
    <w:p w:rsidR="001142FD" w:rsidRDefault="001142FD" w:rsidP="001142FD">
      <w:pPr>
        <w:widowControl w:val="0"/>
        <w:autoSpaceDE w:val="0"/>
        <w:autoSpaceDN w:val="0"/>
        <w:adjustRightInd w:val="0"/>
        <w:jc w:val="both"/>
        <w:rPr>
          <w:sz w:val="24"/>
          <w:szCs w:val="24"/>
        </w:rPr>
      </w:pPr>
      <w:r w:rsidRPr="0057774C">
        <w:rPr>
          <w:sz w:val="24"/>
          <w:szCs w:val="24"/>
        </w:rPr>
        <w:t>El art. 3 regula el contenido (datos/información) que debe tener el registro.</w:t>
      </w:r>
    </w:p>
    <w:p w:rsidR="001142FD" w:rsidRPr="0057774C" w:rsidRDefault="001142FD" w:rsidP="001142FD">
      <w:pPr>
        <w:widowControl w:val="0"/>
        <w:autoSpaceDE w:val="0"/>
        <w:autoSpaceDN w:val="0"/>
        <w:adjustRightInd w:val="0"/>
        <w:jc w:val="both"/>
        <w:rPr>
          <w:sz w:val="24"/>
          <w:szCs w:val="24"/>
        </w:rPr>
      </w:pPr>
    </w:p>
    <w:p w:rsidR="001142FD" w:rsidRDefault="001142FD" w:rsidP="001142FD">
      <w:pPr>
        <w:widowControl w:val="0"/>
        <w:autoSpaceDE w:val="0"/>
        <w:autoSpaceDN w:val="0"/>
        <w:adjustRightInd w:val="0"/>
        <w:jc w:val="both"/>
        <w:rPr>
          <w:sz w:val="24"/>
          <w:szCs w:val="24"/>
        </w:rPr>
      </w:pPr>
      <w:r w:rsidRPr="0057774C">
        <w:rPr>
          <w:sz w:val="24"/>
          <w:szCs w:val="24"/>
        </w:rPr>
        <w:t>El art. 4 trata sobre la actualización del registro y los controles establecidos para verificar los datos contenidos en el mismo.</w:t>
      </w:r>
    </w:p>
    <w:p w:rsidR="001142FD" w:rsidRPr="0057774C" w:rsidRDefault="001142FD" w:rsidP="001142FD">
      <w:pPr>
        <w:widowControl w:val="0"/>
        <w:autoSpaceDE w:val="0"/>
        <w:autoSpaceDN w:val="0"/>
        <w:adjustRightInd w:val="0"/>
        <w:jc w:val="both"/>
        <w:rPr>
          <w:sz w:val="24"/>
          <w:szCs w:val="24"/>
        </w:rPr>
      </w:pPr>
    </w:p>
    <w:p w:rsidR="001142FD" w:rsidRDefault="001142FD" w:rsidP="001142FD">
      <w:pPr>
        <w:widowControl w:val="0"/>
        <w:autoSpaceDE w:val="0"/>
        <w:autoSpaceDN w:val="0"/>
        <w:adjustRightInd w:val="0"/>
        <w:jc w:val="both"/>
        <w:rPr>
          <w:sz w:val="24"/>
          <w:szCs w:val="24"/>
        </w:rPr>
      </w:pPr>
      <w:r w:rsidRPr="0057774C">
        <w:rPr>
          <w:sz w:val="24"/>
          <w:szCs w:val="24"/>
        </w:rPr>
        <w:t>El art. 13 se refiere a las modificaciones en el registro.</w:t>
      </w:r>
    </w:p>
    <w:p w:rsidR="001142FD" w:rsidRPr="0057774C" w:rsidRDefault="001142FD" w:rsidP="001142FD">
      <w:pPr>
        <w:widowControl w:val="0"/>
        <w:autoSpaceDE w:val="0"/>
        <w:autoSpaceDN w:val="0"/>
        <w:adjustRightInd w:val="0"/>
        <w:jc w:val="both"/>
        <w:rPr>
          <w:sz w:val="24"/>
          <w:szCs w:val="24"/>
        </w:rPr>
      </w:pPr>
    </w:p>
    <w:p w:rsidR="001142FD" w:rsidRPr="0057774C" w:rsidRDefault="001142FD" w:rsidP="001142FD">
      <w:pPr>
        <w:widowControl w:val="0"/>
        <w:autoSpaceDE w:val="0"/>
        <w:autoSpaceDN w:val="0"/>
        <w:adjustRightInd w:val="0"/>
        <w:jc w:val="both"/>
        <w:rPr>
          <w:sz w:val="24"/>
          <w:szCs w:val="24"/>
        </w:rPr>
      </w:pPr>
      <w:r w:rsidRPr="0057774C">
        <w:rPr>
          <w:sz w:val="24"/>
          <w:szCs w:val="24"/>
        </w:rPr>
        <w:t>No obstante, el resto de artículos regulan diversas cuestiones no relacionadas directamente con el Registro Vitícola, sino con diversas actuaciones de gestión en materia vitícola del Departamento y del Servicio de Viticultura y Enología en particular (autorizaciones para arranques, replantaciones, forma de hacer solicitudes de nuevas plantaciones, normas técnicas de plantación,…), que si bien son actuaciones que pueden tener reflejo en el Registro Vitícola, entendemos que su regulación (incluye requisitos para realizar plantaciones, procedimiento para solicitar autorizaciones de arranque, características de las resoluciones administrativas, procedimiento administrativo de solicitud y concesión de autorizaciones, prestación de garantías, plazos de validez de autorizaciones o permisos, plazos de resolución y notificación de autorizaciones, etc.; en definitiva procedimientos administrativos) no debiera ser objeto de este decreto, sino que debiera, en su caso, incluirse en otra u otras disposición/es sobre dichas materias.</w:t>
      </w:r>
    </w:p>
    <w:p w:rsidR="001142FD" w:rsidRPr="00E76981" w:rsidRDefault="001142FD" w:rsidP="001142FD">
      <w:pPr>
        <w:pStyle w:val="Prrafodelista"/>
        <w:widowControl w:val="0"/>
        <w:numPr>
          <w:ilvl w:val="0"/>
          <w:numId w:val="18"/>
        </w:numPr>
        <w:autoSpaceDE w:val="0"/>
        <w:autoSpaceDN w:val="0"/>
        <w:adjustRightInd w:val="0"/>
        <w:spacing w:before="480" w:after="240"/>
        <w:ind w:left="0" w:firstLine="0"/>
        <w:jc w:val="both"/>
        <w:rPr>
          <w:rFonts w:ascii="Times New Roman" w:hAnsi="Times New Roman"/>
          <w:sz w:val="24"/>
          <w:szCs w:val="24"/>
        </w:rPr>
      </w:pPr>
      <w:r w:rsidRPr="00E76981">
        <w:rPr>
          <w:rFonts w:ascii="Times New Roman" w:hAnsi="Times New Roman"/>
          <w:sz w:val="24"/>
          <w:szCs w:val="24"/>
        </w:rPr>
        <w:t>Por el contrario, la norma proyectada, en el punto primero de la parte dispositiva dice que la misma tiene por objeto aprobar la normativa reguladora de la gestión del Registro Vitícola, sin embargo, el articulado del proyecto parece más bien centrado en regular la información destinada a acceder al registro, echándose en falta previsiones normativas en relación con aspectos que, al menos a priori, forman parte de la gestión de todo registro público, como son, a título de ejemplo las siguientes:</w:t>
      </w:r>
    </w:p>
    <w:p w:rsidR="001142FD" w:rsidRPr="00E76981" w:rsidRDefault="001142FD" w:rsidP="001142FD">
      <w:pPr>
        <w:pStyle w:val="Prrafodelista"/>
        <w:widowControl w:val="0"/>
        <w:numPr>
          <w:ilvl w:val="0"/>
          <w:numId w:val="15"/>
        </w:numPr>
        <w:autoSpaceDE w:val="0"/>
        <w:autoSpaceDN w:val="0"/>
        <w:adjustRightInd w:val="0"/>
        <w:spacing w:before="480" w:after="240"/>
        <w:jc w:val="both"/>
        <w:rPr>
          <w:rFonts w:ascii="Times New Roman" w:hAnsi="Times New Roman"/>
          <w:sz w:val="24"/>
          <w:szCs w:val="24"/>
        </w:rPr>
      </w:pPr>
      <w:r w:rsidRPr="00E76981">
        <w:rPr>
          <w:rFonts w:ascii="Times New Roman" w:hAnsi="Times New Roman"/>
          <w:sz w:val="24"/>
          <w:szCs w:val="24"/>
        </w:rPr>
        <w:t>naturaleza y características que han de reunir los actos y documentos (títulos) susceptibles de causar un asiento en el Registro: si se trata de documentos públicos (administrativos o de otro tipo) o privados,</w:t>
      </w:r>
    </w:p>
    <w:p w:rsidR="001142FD" w:rsidRPr="00E76981" w:rsidRDefault="001142FD" w:rsidP="001142FD">
      <w:pPr>
        <w:pStyle w:val="Prrafodelista"/>
        <w:widowControl w:val="0"/>
        <w:numPr>
          <w:ilvl w:val="0"/>
          <w:numId w:val="15"/>
        </w:numPr>
        <w:autoSpaceDE w:val="0"/>
        <w:autoSpaceDN w:val="0"/>
        <w:adjustRightInd w:val="0"/>
        <w:spacing w:before="480" w:after="240"/>
        <w:jc w:val="both"/>
        <w:rPr>
          <w:rFonts w:ascii="Times New Roman" w:hAnsi="Times New Roman"/>
          <w:sz w:val="24"/>
          <w:szCs w:val="24"/>
        </w:rPr>
      </w:pPr>
      <w:r w:rsidRPr="00E76981">
        <w:rPr>
          <w:rFonts w:ascii="Times New Roman" w:hAnsi="Times New Roman"/>
          <w:sz w:val="24"/>
          <w:szCs w:val="24"/>
        </w:rPr>
        <w:t>personas legitimadas para promover la inscripción,</w:t>
      </w:r>
    </w:p>
    <w:p w:rsidR="001142FD" w:rsidRPr="00E76981" w:rsidRDefault="001142FD" w:rsidP="001142FD">
      <w:pPr>
        <w:pStyle w:val="Prrafodelista"/>
        <w:widowControl w:val="0"/>
        <w:numPr>
          <w:ilvl w:val="0"/>
          <w:numId w:val="15"/>
        </w:numPr>
        <w:autoSpaceDE w:val="0"/>
        <w:autoSpaceDN w:val="0"/>
        <w:adjustRightInd w:val="0"/>
        <w:spacing w:before="480" w:after="240"/>
        <w:jc w:val="both"/>
        <w:rPr>
          <w:rFonts w:ascii="Times New Roman" w:hAnsi="Times New Roman"/>
          <w:sz w:val="24"/>
          <w:szCs w:val="24"/>
        </w:rPr>
      </w:pPr>
      <w:r w:rsidRPr="00E76981">
        <w:rPr>
          <w:rFonts w:ascii="Times New Roman" w:hAnsi="Times New Roman"/>
          <w:sz w:val="24"/>
          <w:szCs w:val="24"/>
        </w:rPr>
        <w:t>información que abre folio en el Registro, y, más en concreto, si se va a hacer por parcelas o por titulares,</w:t>
      </w:r>
    </w:p>
    <w:p w:rsidR="001142FD" w:rsidRPr="00E76981" w:rsidRDefault="001142FD" w:rsidP="001142FD">
      <w:pPr>
        <w:pStyle w:val="Prrafodelista"/>
        <w:numPr>
          <w:ilvl w:val="0"/>
          <w:numId w:val="15"/>
        </w:numPr>
        <w:jc w:val="both"/>
        <w:rPr>
          <w:rFonts w:ascii="Times New Roman" w:hAnsi="Times New Roman"/>
          <w:sz w:val="24"/>
          <w:szCs w:val="24"/>
        </w:rPr>
      </w:pPr>
      <w:r w:rsidRPr="00E76981">
        <w:rPr>
          <w:rFonts w:ascii="Times New Roman" w:hAnsi="Times New Roman"/>
          <w:sz w:val="24"/>
          <w:szCs w:val="24"/>
        </w:rPr>
        <w:t>tipos de asientos a practicar en el Registro (aunque, incidentalmente, el art. 3.1 habla de “inscripción, baja y modificación” de la información registral),</w:t>
      </w:r>
    </w:p>
    <w:p w:rsidR="001142FD" w:rsidRPr="00E76981" w:rsidRDefault="001142FD" w:rsidP="001142FD">
      <w:pPr>
        <w:pStyle w:val="Prrafodelista"/>
        <w:widowControl w:val="0"/>
        <w:numPr>
          <w:ilvl w:val="0"/>
          <w:numId w:val="15"/>
        </w:numPr>
        <w:autoSpaceDE w:val="0"/>
        <w:autoSpaceDN w:val="0"/>
        <w:adjustRightInd w:val="0"/>
        <w:spacing w:before="480" w:after="240"/>
        <w:jc w:val="both"/>
        <w:rPr>
          <w:rFonts w:ascii="Times New Roman" w:hAnsi="Times New Roman"/>
          <w:sz w:val="24"/>
          <w:szCs w:val="24"/>
        </w:rPr>
      </w:pPr>
      <w:r w:rsidRPr="00E76981">
        <w:rPr>
          <w:rFonts w:ascii="Times New Roman" w:hAnsi="Times New Roman"/>
          <w:sz w:val="24"/>
          <w:szCs w:val="24"/>
        </w:rPr>
        <w:t>funcionario o unidad encargada del registro y competente para practicar la inscripción,</w:t>
      </w:r>
    </w:p>
    <w:p w:rsidR="001142FD" w:rsidRPr="00E76981" w:rsidRDefault="001142FD" w:rsidP="001142FD">
      <w:pPr>
        <w:pStyle w:val="Prrafodelista"/>
        <w:widowControl w:val="0"/>
        <w:numPr>
          <w:ilvl w:val="0"/>
          <w:numId w:val="15"/>
        </w:numPr>
        <w:autoSpaceDE w:val="0"/>
        <w:autoSpaceDN w:val="0"/>
        <w:adjustRightInd w:val="0"/>
        <w:spacing w:before="480" w:after="240"/>
        <w:jc w:val="both"/>
        <w:rPr>
          <w:rFonts w:ascii="Times New Roman" w:hAnsi="Times New Roman"/>
          <w:sz w:val="24"/>
          <w:szCs w:val="24"/>
        </w:rPr>
      </w:pPr>
      <w:r w:rsidRPr="00E76981">
        <w:rPr>
          <w:rFonts w:ascii="Times New Roman" w:hAnsi="Times New Roman"/>
          <w:sz w:val="24"/>
          <w:szCs w:val="24"/>
        </w:rPr>
        <w:t>si es necesaria resolución administrativa previa a la inscripción,</w:t>
      </w:r>
    </w:p>
    <w:p w:rsidR="001142FD" w:rsidRPr="00E76981" w:rsidRDefault="001142FD" w:rsidP="001142FD">
      <w:pPr>
        <w:pStyle w:val="Prrafodelista"/>
        <w:widowControl w:val="0"/>
        <w:numPr>
          <w:ilvl w:val="0"/>
          <w:numId w:val="15"/>
        </w:numPr>
        <w:autoSpaceDE w:val="0"/>
        <w:autoSpaceDN w:val="0"/>
        <w:adjustRightInd w:val="0"/>
        <w:spacing w:before="480" w:after="240"/>
        <w:jc w:val="both"/>
        <w:rPr>
          <w:rFonts w:ascii="Times New Roman" w:hAnsi="Times New Roman"/>
          <w:sz w:val="24"/>
          <w:szCs w:val="24"/>
        </w:rPr>
      </w:pPr>
      <w:r w:rsidRPr="00E76981">
        <w:rPr>
          <w:rFonts w:ascii="Times New Roman" w:hAnsi="Times New Roman"/>
          <w:sz w:val="24"/>
          <w:szCs w:val="24"/>
        </w:rPr>
        <w:t>plazos de duración del proceso de inscripción,</w:t>
      </w:r>
    </w:p>
    <w:p w:rsidR="001142FD" w:rsidRPr="00E76981" w:rsidRDefault="001142FD" w:rsidP="001142FD">
      <w:pPr>
        <w:pStyle w:val="Prrafodelista"/>
        <w:widowControl w:val="0"/>
        <w:numPr>
          <w:ilvl w:val="0"/>
          <w:numId w:val="15"/>
        </w:numPr>
        <w:autoSpaceDE w:val="0"/>
        <w:autoSpaceDN w:val="0"/>
        <w:adjustRightInd w:val="0"/>
        <w:spacing w:before="480" w:after="240"/>
        <w:jc w:val="both"/>
        <w:rPr>
          <w:rFonts w:ascii="Times New Roman" w:hAnsi="Times New Roman"/>
          <w:sz w:val="24"/>
          <w:szCs w:val="24"/>
        </w:rPr>
      </w:pPr>
      <w:r w:rsidRPr="00E76981">
        <w:rPr>
          <w:rFonts w:ascii="Times New Roman" w:hAnsi="Times New Roman"/>
          <w:sz w:val="24"/>
          <w:szCs w:val="24"/>
        </w:rPr>
        <w:lastRenderedPageBreak/>
        <w:t>régimen de recursos.</w:t>
      </w:r>
    </w:p>
    <w:p w:rsidR="001142FD" w:rsidRPr="0057774C" w:rsidRDefault="001142FD" w:rsidP="001142FD">
      <w:pPr>
        <w:pStyle w:val="Prrafodelista"/>
        <w:widowControl w:val="0"/>
        <w:autoSpaceDE w:val="0"/>
        <w:autoSpaceDN w:val="0"/>
        <w:adjustRightInd w:val="0"/>
        <w:spacing w:before="480" w:after="240" w:line="360" w:lineRule="auto"/>
        <w:ind w:left="0"/>
        <w:jc w:val="both"/>
        <w:rPr>
          <w:rFonts w:ascii="Times New Roman" w:hAnsi="Times New Roman"/>
          <w:color w:val="FF0000"/>
          <w:sz w:val="24"/>
          <w:szCs w:val="24"/>
        </w:rPr>
      </w:pPr>
    </w:p>
    <w:p w:rsidR="001142FD" w:rsidRPr="0057774C" w:rsidRDefault="001142FD" w:rsidP="001142FD">
      <w:pPr>
        <w:pStyle w:val="Prrafodelista"/>
        <w:widowControl w:val="0"/>
        <w:autoSpaceDE w:val="0"/>
        <w:autoSpaceDN w:val="0"/>
        <w:adjustRightInd w:val="0"/>
        <w:spacing w:before="480" w:after="240" w:line="360" w:lineRule="auto"/>
        <w:ind w:left="0"/>
        <w:jc w:val="both"/>
        <w:rPr>
          <w:rFonts w:ascii="Times New Roman" w:eastAsia="Times New Roman" w:hAnsi="Times New Roman"/>
          <w:sz w:val="24"/>
          <w:szCs w:val="24"/>
          <w:lang w:val="es-ES_tradnl" w:eastAsia="es-ES"/>
        </w:rPr>
      </w:pPr>
      <w:r w:rsidRPr="0057774C">
        <w:rPr>
          <w:rFonts w:ascii="Times New Roman" w:eastAsia="Times New Roman" w:hAnsi="Times New Roman"/>
          <w:b/>
          <w:sz w:val="24"/>
          <w:szCs w:val="24"/>
          <w:lang w:val="es-ES_tradnl" w:eastAsia="es-ES"/>
        </w:rPr>
        <w:t>CONCLUSIÓN</w:t>
      </w:r>
    </w:p>
    <w:p w:rsidR="001142FD" w:rsidRPr="0057774C" w:rsidRDefault="001142FD" w:rsidP="001142FD">
      <w:pPr>
        <w:spacing w:before="120" w:after="240"/>
        <w:jc w:val="both"/>
        <w:rPr>
          <w:sz w:val="24"/>
          <w:szCs w:val="24"/>
          <w:lang w:val="es-ES_tradnl"/>
        </w:rPr>
      </w:pPr>
      <w:r w:rsidRPr="0057774C">
        <w:rPr>
          <w:b/>
          <w:sz w:val="24"/>
          <w:szCs w:val="24"/>
          <w:lang w:val="es-ES_tradnl"/>
        </w:rPr>
        <w:t>Primera.-</w:t>
      </w:r>
      <w:r w:rsidRPr="0057774C">
        <w:rPr>
          <w:sz w:val="24"/>
          <w:szCs w:val="24"/>
          <w:lang w:val="es-ES_tradnl"/>
        </w:rPr>
        <w:t xml:space="preserve"> El proyecto de decreto foral debe ser objeto de dictamen de la Comisión Consultiva de la Administración Foral de Álava.</w:t>
      </w:r>
    </w:p>
    <w:p w:rsidR="001142FD" w:rsidRPr="0057774C" w:rsidRDefault="001142FD" w:rsidP="001142FD">
      <w:pPr>
        <w:autoSpaceDE w:val="0"/>
        <w:autoSpaceDN w:val="0"/>
        <w:adjustRightInd w:val="0"/>
        <w:spacing w:before="120" w:after="240"/>
        <w:jc w:val="both"/>
        <w:rPr>
          <w:sz w:val="24"/>
          <w:szCs w:val="24"/>
          <w:lang w:val="es-ES_tradnl"/>
        </w:rPr>
      </w:pPr>
      <w:r w:rsidRPr="0057774C">
        <w:rPr>
          <w:b/>
          <w:sz w:val="24"/>
          <w:szCs w:val="24"/>
          <w:lang w:val="es-ES_tradnl"/>
        </w:rPr>
        <w:t>Segunda.</w:t>
      </w:r>
      <w:r w:rsidRPr="0057774C">
        <w:rPr>
          <w:sz w:val="24"/>
          <w:szCs w:val="24"/>
          <w:lang w:val="es-ES_tradnl"/>
        </w:rPr>
        <w:t xml:space="preserve">- En relación con las cuestiones formales y de procedimiento, la tramitación del proyecto ha infringido lo dispuesto en los arts. 127 </w:t>
      </w:r>
      <w:proofErr w:type="gramStart"/>
      <w:r w:rsidRPr="0057774C">
        <w:rPr>
          <w:sz w:val="24"/>
          <w:szCs w:val="24"/>
          <w:lang w:val="es-ES_tradnl"/>
        </w:rPr>
        <w:t>a</w:t>
      </w:r>
      <w:proofErr w:type="gramEnd"/>
      <w:r w:rsidRPr="0057774C">
        <w:rPr>
          <w:sz w:val="24"/>
          <w:szCs w:val="24"/>
          <w:lang w:val="es-ES_tradnl"/>
        </w:rPr>
        <w:t xml:space="preserve"> 133 de la Ley 39/2015, de 1 de octubre, del Procedimiento Administrativo Común de las Administraciones Públicas, y en el </w:t>
      </w:r>
      <w:r w:rsidRPr="0057774C">
        <w:rPr>
          <w:bCs/>
          <w:sz w:val="24"/>
          <w:szCs w:val="24"/>
          <w:lang w:val="es-ES_tradnl"/>
        </w:rPr>
        <w:t xml:space="preserve">Decreto Foral 29/2017, del Consejo de Gobierno Foral de 23 de mayo, que aprueba el procedimiento de elaboración de disposiciones de carácter general, en </w:t>
      </w:r>
      <w:r w:rsidRPr="0057774C">
        <w:rPr>
          <w:sz w:val="24"/>
          <w:szCs w:val="24"/>
          <w:lang w:val="es-ES_tradnl"/>
        </w:rPr>
        <w:t>lo relativo a la mención sobre su adecuación a los principios de buena regulación y audiencia e información pública en la forma expresada en los epígrafes correspondientes de la anterior consideración jurídica segunda.</w:t>
      </w:r>
    </w:p>
    <w:p w:rsidR="001142FD" w:rsidRPr="0057774C" w:rsidRDefault="001142FD" w:rsidP="001142FD">
      <w:pPr>
        <w:autoSpaceDE w:val="0"/>
        <w:autoSpaceDN w:val="0"/>
        <w:adjustRightInd w:val="0"/>
        <w:spacing w:before="120" w:after="240"/>
        <w:jc w:val="both"/>
        <w:rPr>
          <w:sz w:val="24"/>
          <w:szCs w:val="24"/>
          <w:lang w:val="es-ES_tradnl"/>
        </w:rPr>
      </w:pPr>
      <w:r w:rsidRPr="0057774C">
        <w:rPr>
          <w:b/>
          <w:sz w:val="24"/>
          <w:szCs w:val="24"/>
          <w:lang w:val="es-ES_tradnl"/>
        </w:rPr>
        <w:t>Tercera.-</w:t>
      </w:r>
      <w:r w:rsidRPr="0057774C">
        <w:rPr>
          <w:sz w:val="24"/>
          <w:szCs w:val="24"/>
          <w:lang w:val="es-ES_tradnl"/>
        </w:rPr>
        <w:t xml:space="preserve"> Las menciones que se hacen en la parte expositiva tanto del decreto foral que aprueba la normativa reguladora del Registro Vitícola como del que contiene la regulación sustantiva del Registro deben de revisarse y corregirse en lo relativo a las menciones que realizan a la normativa de la Unión Europea, en cuanto a su  estado de vigencia y derogación, como se ha expuesto en la parte correspondiente de este dictamen. Asimismo debiera haber alguna constancia a la norma legal a la que desarrolla, esto es, </w:t>
      </w:r>
      <w:r w:rsidRPr="0057774C">
        <w:rPr>
          <w:sz w:val="24"/>
          <w:szCs w:val="24"/>
        </w:rPr>
        <w:t>la Ley 5/2004, de 7 de mayo, de Ordenación Vitivinícola.</w:t>
      </w:r>
    </w:p>
    <w:p w:rsidR="001142FD" w:rsidRPr="0057774C" w:rsidRDefault="001142FD" w:rsidP="001142FD">
      <w:pPr>
        <w:autoSpaceDE w:val="0"/>
        <w:autoSpaceDN w:val="0"/>
        <w:adjustRightInd w:val="0"/>
        <w:spacing w:before="120" w:after="240"/>
        <w:jc w:val="both"/>
        <w:rPr>
          <w:sz w:val="24"/>
          <w:szCs w:val="24"/>
          <w:lang w:val="es-ES_tradnl"/>
        </w:rPr>
      </w:pPr>
      <w:r w:rsidRPr="0057774C">
        <w:rPr>
          <w:b/>
          <w:sz w:val="24"/>
          <w:szCs w:val="24"/>
          <w:lang w:val="es-ES_tradnl"/>
        </w:rPr>
        <w:t>Cuarta.-</w:t>
      </w:r>
      <w:r w:rsidRPr="0057774C">
        <w:rPr>
          <w:sz w:val="24"/>
          <w:szCs w:val="24"/>
          <w:lang w:val="es-ES_tradnl"/>
        </w:rPr>
        <w:t xml:space="preserve"> En relación con los contenidos relativos al fondo, esta Comisión entiende que el proyecto de decreto foral examinado no se ajusta a la totalidad de la normativa de obligado cumplimiento, especialmente a la europea,  que regula la materia del registro vinícola, su contenido y controles, por lo expuesto en el presente dictamen.</w:t>
      </w:r>
    </w:p>
    <w:p w:rsidR="001142FD" w:rsidRPr="0057774C" w:rsidRDefault="001142FD" w:rsidP="001142FD">
      <w:pPr>
        <w:autoSpaceDE w:val="0"/>
        <w:autoSpaceDN w:val="0"/>
        <w:adjustRightInd w:val="0"/>
        <w:spacing w:before="120" w:after="240"/>
        <w:jc w:val="both"/>
        <w:rPr>
          <w:sz w:val="24"/>
          <w:szCs w:val="24"/>
          <w:lang w:val="es-ES_tradnl"/>
        </w:rPr>
      </w:pPr>
      <w:r w:rsidRPr="0057774C">
        <w:rPr>
          <w:b/>
          <w:sz w:val="24"/>
          <w:szCs w:val="24"/>
          <w:lang w:val="es-ES_tradnl"/>
        </w:rPr>
        <w:t>Quinta.-</w:t>
      </w:r>
      <w:r w:rsidRPr="0057774C">
        <w:rPr>
          <w:sz w:val="24"/>
          <w:szCs w:val="24"/>
          <w:lang w:val="es-ES_tradnl"/>
        </w:rPr>
        <w:t xml:space="preserve"> Se recomienda diferenciar en resoluciones diferentes los contenidos propiamente relativos a la regulación del Registro Vitícola de aquellos otros que se refieren a tramitación de autorizaciones, concesiones, procedimientos administrativos, etc</w:t>
      </w:r>
      <w:r w:rsidRPr="00E76981">
        <w:rPr>
          <w:sz w:val="24"/>
          <w:szCs w:val="24"/>
          <w:lang w:val="es-ES_tradnl"/>
        </w:rPr>
        <w:t>., así como la inclusión en esta misma resolución de otras prescripciones relativas al Registro.</w:t>
      </w:r>
    </w:p>
    <w:p w:rsidR="001142FD" w:rsidRPr="00C442AA" w:rsidRDefault="001142FD" w:rsidP="001142FD">
      <w:pPr>
        <w:rPr>
          <w:lang w:val="es-ES_tradnl"/>
        </w:rPr>
      </w:pPr>
    </w:p>
    <w:p w:rsidR="001142FD" w:rsidRPr="004D3706" w:rsidRDefault="001142FD" w:rsidP="001142FD">
      <w:pPr>
        <w:rPr>
          <w:lang w:val="es-ES_tradnl"/>
        </w:rPr>
      </w:pPr>
    </w:p>
    <w:p w:rsidR="001142FD" w:rsidRPr="001142FD" w:rsidRDefault="001142FD" w:rsidP="00E81FAD">
      <w:pPr>
        <w:pStyle w:val="Prrafodelista"/>
        <w:spacing w:after="0" w:line="240" w:lineRule="auto"/>
        <w:ind w:left="0"/>
        <w:contextualSpacing w:val="0"/>
        <w:jc w:val="both"/>
        <w:rPr>
          <w:rFonts w:ascii="Arial" w:hAnsi="Arial" w:cs="Arial"/>
          <w:b/>
          <w:sz w:val="24"/>
          <w:szCs w:val="24"/>
          <w:highlight w:val="yellow"/>
          <w:u w:val="single"/>
          <w:lang w:val="es-ES_tradnl"/>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sectPr w:rsidR="001142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3">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7"/>
  </w:num>
  <w:num w:numId="4">
    <w:abstractNumId w:val="6"/>
  </w:num>
  <w:num w:numId="5">
    <w:abstractNumId w:val="0"/>
  </w:num>
  <w:num w:numId="6">
    <w:abstractNumId w:val="5"/>
  </w:num>
  <w:num w:numId="7">
    <w:abstractNumId w:val="15"/>
  </w:num>
  <w:num w:numId="8">
    <w:abstractNumId w:val="3"/>
  </w:num>
  <w:num w:numId="9">
    <w:abstractNumId w:val="14"/>
  </w:num>
  <w:num w:numId="10">
    <w:abstractNumId w:val="9"/>
  </w:num>
  <w:num w:numId="11">
    <w:abstractNumId w:val="4"/>
  </w:num>
  <w:num w:numId="12">
    <w:abstractNumId w:val="7"/>
  </w:num>
  <w:num w:numId="13">
    <w:abstractNumId w:val="13"/>
  </w:num>
  <w:num w:numId="14">
    <w:abstractNumId w:val="12"/>
  </w:num>
  <w:num w:numId="15">
    <w:abstractNumId w:val="2"/>
  </w:num>
  <w:num w:numId="16">
    <w:abstractNumId w:val="8"/>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1142FD"/>
    <w:rsid w:val="00272CCB"/>
    <w:rsid w:val="002864A9"/>
    <w:rsid w:val="002B6238"/>
    <w:rsid w:val="002C050F"/>
    <w:rsid w:val="003B4D10"/>
    <w:rsid w:val="006C7C8C"/>
    <w:rsid w:val="00777B2F"/>
    <w:rsid w:val="007A1254"/>
    <w:rsid w:val="00977705"/>
    <w:rsid w:val="009943B4"/>
    <w:rsid w:val="009A68E6"/>
    <w:rsid w:val="009C211F"/>
    <w:rsid w:val="00A472E1"/>
    <w:rsid w:val="00DD4202"/>
    <w:rsid w:val="00E3786E"/>
    <w:rsid w:val="00E81FAD"/>
    <w:rsid w:val="00F81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19</Pages>
  <Words>7564</Words>
  <Characters>41608</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49074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4</cp:revision>
  <dcterms:created xsi:type="dcterms:W3CDTF">2020-08-27T10:40:00Z</dcterms:created>
  <dcterms:modified xsi:type="dcterms:W3CDTF">2020-08-27T11:01:00Z</dcterms:modified>
</cp:coreProperties>
</file>