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15F8" w:rsidRPr="002D15F8" w:rsidRDefault="002D15F8" w:rsidP="002D15F8">
      <w:pPr>
        <w:contextualSpacing/>
        <w:jc w:val="both"/>
        <w:rPr>
          <w:rFonts w:ascii="Arial" w:eastAsia="Calibri" w:hAnsi="Arial" w:cs="Arial"/>
          <w:b/>
          <w:sz w:val="24"/>
          <w:szCs w:val="24"/>
          <w:lang w:eastAsia="en-US"/>
        </w:rPr>
      </w:pPr>
      <w:r w:rsidRPr="002D15F8">
        <w:rPr>
          <w:rFonts w:ascii="Arial" w:eastAsia="Calibri" w:hAnsi="Arial" w:cs="Arial"/>
          <w:b/>
          <w:sz w:val="24"/>
          <w:szCs w:val="24"/>
          <w:lang w:eastAsia="en-US"/>
        </w:rPr>
        <w:t>DICTAMEN SOBRE EL PROYECTO DE ORDEN FORAL DE APROBACIÓN DEL PROGRAMA DE DEPORTE ESCOLAR PARA LAS ENTIDADES LOCALES DEL TERRITORIO HISTÓRICO DE ÁLAVA Y DE LA NORMATIVA QUE LO REGULA PARA LA CAMPAÑA 2020-2021(Sesión consultiva 23-julio-2020)</w:t>
      </w:r>
    </w:p>
    <w:p w:rsidR="002D15F8" w:rsidRPr="002D15F8" w:rsidRDefault="002D15F8" w:rsidP="002D15F8">
      <w:pPr>
        <w:contextualSpacing/>
        <w:jc w:val="both"/>
        <w:rPr>
          <w:rFonts w:ascii="Arial" w:eastAsia="Calibri" w:hAnsi="Arial" w:cs="Arial"/>
          <w:b/>
          <w:sz w:val="24"/>
          <w:szCs w:val="24"/>
          <w:lang w:eastAsia="en-US"/>
        </w:rPr>
      </w:pPr>
    </w:p>
    <w:p w:rsidR="002D15F8" w:rsidRDefault="002D15F8" w:rsidP="002D15F8">
      <w:pPr>
        <w:numPr>
          <w:ilvl w:val="0"/>
          <w:numId w:val="21"/>
        </w:numPr>
        <w:suppressAutoHyphens/>
        <w:spacing w:after="360" w:line="276" w:lineRule="auto"/>
        <w:contextualSpacing/>
        <w:jc w:val="both"/>
        <w:rPr>
          <w:rFonts w:eastAsia="Calibri"/>
          <w:b/>
          <w:sz w:val="24"/>
          <w:szCs w:val="24"/>
          <w:lang w:eastAsia="en-US"/>
        </w:rPr>
      </w:pPr>
      <w:r w:rsidRPr="002D15F8">
        <w:rPr>
          <w:rFonts w:eastAsia="Calibri"/>
          <w:b/>
          <w:sz w:val="24"/>
          <w:szCs w:val="24"/>
          <w:lang w:eastAsia="en-US"/>
        </w:rPr>
        <w:t>ANTECEDENTES DE HECHO</w:t>
      </w:r>
    </w:p>
    <w:p w:rsidR="002D15F8" w:rsidRPr="002D15F8" w:rsidRDefault="002D15F8" w:rsidP="002D15F8">
      <w:pPr>
        <w:suppressAutoHyphens/>
        <w:spacing w:after="360" w:line="276" w:lineRule="auto"/>
        <w:ind w:left="720"/>
        <w:contextualSpacing/>
        <w:jc w:val="both"/>
        <w:rPr>
          <w:rFonts w:eastAsia="Calibri"/>
          <w:b/>
          <w:sz w:val="24"/>
          <w:szCs w:val="24"/>
          <w:lang w:eastAsia="en-US"/>
        </w:rPr>
      </w:pPr>
    </w:p>
    <w:p w:rsidR="002D15F8" w:rsidRPr="002D15F8" w:rsidRDefault="002D15F8" w:rsidP="002D15F8">
      <w:pPr>
        <w:spacing w:before="120" w:after="24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Mediante oficio de fecha de entrada 19 de junio de 2020, el Director de Deporte remite el proyecto de orden foral de aprobación del programa de deporte escolar para las entidades locales del Territorio Histórico de Álava y de la normativa que lo regula para la campaña 2020-2021.</w:t>
      </w:r>
    </w:p>
    <w:p w:rsidR="002D15F8" w:rsidRPr="002D15F8" w:rsidRDefault="002D15F8" w:rsidP="002D15F8">
      <w:pPr>
        <w:spacing w:before="120" w:after="24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El oficio se acompaña de los siguientes documentos:</w:t>
      </w:r>
    </w:p>
    <w:p w:rsidR="002D15F8" w:rsidRPr="002D15F8" w:rsidRDefault="002D15F8" w:rsidP="002D15F8">
      <w:pPr>
        <w:numPr>
          <w:ilvl w:val="0"/>
          <w:numId w:val="19"/>
        </w:numPr>
        <w:suppressAutoHyphens/>
        <w:spacing w:before="120" w:after="200" w:line="276" w:lineRule="auto"/>
        <w:ind w:left="426"/>
        <w:jc w:val="both"/>
        <w:rPr>
          <w:rFonts w:ascii="Tahoma" w:eastAsia="SimSun" w:hAnsi="Tahoma" w:cs="Tahoma"/>
          <w:kern w:val="1"/>
          <w:sz w:val="22"/>
          <w:szCs w:val="22"/>
          <w:lang w:eastAsia="ar-SA"/>
        </w:rPr>
      </w:pPr>
      <w:r w:rsidRPr="002D15F8">
        <w:rPr>
          <w:rFonts w:ascii="Tahoma" w:eastAsia="SimSun" w:hAnsi="Tahoma" w:cs="Tahoma"/>
          <w:kern w:val="1"/>
          <w:sz w:val="22"/>
          <w:szCs w:val="22"/>
          <w:lang w:eastAsia="ar-SA"/>
        </w:rPr>
        <w:t>Orden Foral 111/2020, de la Diputada de Cultura y Deporte de 17 de junio, de inicio del procedimiento de elaboración del proyecto de orden foral de aprobación del programa de deporte escolar para las entidades locales del Territorio Histórico de Álava y de la normativa que lo regula para la campaña 2020-2021</w:t>
      </w:r>
    </w:p>
    <w:p w:rsidR="002D15F8" w:rsidRPr="002D15F8" w:rsidRDefault="002D15F8" w:rsidP="002D15F8">
      <w:pPr>
        <w:numPr>
          <w:ilvl w:val="0"/>
          <w:numId w:val="19"/>
        </w:numPr>
        <w:suppressAutoHyphens/>
        <w:spacing w:before="120" w:after="120" w:line="276" w:lineRule="auto"/>
        <w:ind w:left="426"/>
        <w:jc w:val="both"/>
        <w:rPr>
          <w:rFonts w:ascii="Tahoma" w:eastAsia="SimSun" w:hAnsi="Tahoma" w:cs="Tahoma"/>
          <w:kern w:val="1"/>
          <w:sz w:val="22"/>
          <w:szCs w:val="22"/>
          <w:lang w:eastAsia="ar-SA"/>
        </w:rPr>
      </w:pPr>
      <w:r w:rsidRPr="002D15F8">
        <w:rPr>
          <w:rFonts w:ascii="Tahoma" w:eastAsia="SimSun" w:hAnsi="Tahoma" w:cs="Tahoma"/>
          <w:kern w:val="1"/>
          <w:sz w:val="22"/>
          <w:szCs w:val="22"/>
          <w:lang w:eastAsia="ar-SA"/>
        </w:rPr>
        <w:t xml:space="preserve">Orden Foral 121/2020, de la Diputada de Cultura y Deporte de 18 de junio, de aprobación previa del proyecto de orden foral de aprobación del programa de deporte escolar para las entidades locales del Territorio Histórico de Álava y de la normativa que lo regula para la campaña 2020-2021.  </w:t>
      </w:r>
    </w:p>
    <w:p w:rsidR="002D15F8" w:rsidRPr="002D15F8" w:rsidRDefault="002D15F8" w:rsidP="002D15F8">
      <w:pPr>
        <w:numPr>
          <w:ilvl w:val="0"/>
          <w:numId w:val="19"/>
        </w:numPr>
        <w:suppressAutoHyphens/>
        <w:spacing w:before="120" w:after="120" w:line="276" w:lineRule="auto"/>
        <w:ind w:left="426"/>
        <w:jc w:val="both"/>
        <w:rPr>
          <w:rFonts w:ascii="Tahoma" w:eastAsia="SimSun" w:hAnsi="Tahoma" w:cs="Tahoma"/>
          <w:kern w:val="1"/>
          <w:sz w:val="22"/>
          <w:szCs w:val="22"/>
          <w:lang w:eastAsia="ar-SA"/>
        </w:rPr>
      </w:pPr>
      <w:r w:rsidRPr="002D15F8">
        <w:rPr>
          <w:rFonts w:ascii="Tahoma" w:eastAsia="SimSun" w:hAnsi="Tahoma" w:cs="Tahoma"/>
          <w:kern w:val="1"/>
          <w:sz w:val="22"/>
          <w:szCs w:val="22"/>
          <w:lang w:eastAsia="ar-SA"/>
        </w:rPr>
        <w:t>Informe de impacto normativo abreviado de 18 de junio de 2020 de la Técnica Letrada del Servicio de la Secretaría Técnica de Cultura y Deporte.</w:t>
      </w:r>
    </w:p>
    <w:p w:rsidR="002D15F8" w:rsidRPr="002D15F8" w:rsidRDefault="002D15F8" w:rsidP="002D15F8">
      <w:pPr>
        <w:numPr>
          <w:ilvl w:val="0"/>
          <w:numId w:val="19"/>
        </w:numPr>
        <w:suppressAutoHyphens/>
        <w:spacing w:before="120" w:after="200" w:line="276" w:lineRule="auto"/>
        <w:ind w:left="426"/>
        <w:jc w:val="both"/>
        <w:rPr>
          <w:rFonts w:ascii="Tahoma" w:eastAsia="SimSun" w:hAnsi="Tahoma" w:cs="Tahoma"/>
          <w:kern w:val="1"/>
          <w:sz w:val="22"/>
          <w:szCs w:val="22"/>
          <w:lang w:eastAsia="ar-SA"/>
        </w:rPr>
      </w:pPr>
      <w:r w:rsidRPr="002D15F8">
        <w:rPr>
          <w:rFonts w:ascii="Tahoma" w:eastAsia="SimSun" w:hAnsi="Tahoma" w:cs="Tahoma"/>
          <w:kern w:val="1"/>
          <w:sz w:val="22"/>
          <w:szCs w:val="22"/>
          <w:lang w:eastAsia="ar-SA"/>
        </w:rPr>
        <w:t>Escrito de la Diputada de Cultura y Deporte de 18 de junio de 2020 sobre los proyectos de orden foral que aprueban los programas de deporte escolar para entidades sin ánimo de lucro y entidades locales para la campaña 2020-2021.</w:t>
      </w:r>
    </w:p>
    <w:p w:rsidR="002D15F8" w:rsidRPr="002D15F8" w:rsidRDefault="002D15F8" w:rsidP="002D15F8">
      <w:pPr>
        <w:numPr>
          <w:ilvl w:val="0"/>
          <w:numId w:val="19"/>
        </w:numPr>
        <w:suppressAutoHyphens/>
        <w:spacing w:before="120" w:after="200" w:line="276" w:lineRule="auto"/>
        <w:ind w:left="426"/>
        <w:jc w:val="both"/>
        <w:rPr>
          <w:rFonts w:ascii="Tahoma" w:eastAsia="SimSun" w:hAnsi="Tahoma" w:cs="Tahoma"/>
          <w:kern w:val="1"/>
          <w:sz w:val="22"/>
          <w:szCs w:val="22"/>
          <w:lang w:eastAsia="ar-SA"/>
        </w:rPr>
      </w:pPr>
      <w:r w:rsidRPr="002D15F8">
        <w:rPr>
          <w:rFonts w:ascii="Tahoma" w:eastAsia="SimSun" w:hAnsi="Tahoma" w:cs="Tahoma"/>
          <w:kern w:val="1"/>
          <w:sz w:val="22"/>
          <w:szCs w:val="22"/>
          <w:lang w:eastAsia="ar-SA"/>
        </w:rPr>
        <w:t>Escrito de 18 de junio de 2020 del Diputado General reconociendo la urgencia en la emisión de dictamen sobre los proyectos de orden foral que aprueban los Programas de deporte escolar para entidades sin ánimo de lucro y entidades lo</w:t>
      </w:r>
      <w:r>
        <w:rPr>
          <w:rFonts w:ascii="Tahoma" w:eastAsia="SimSun" w:hAnsi="Tahoma" w:cs="Tahoma"/>
          <w:kern w:val="1"/>
          <w:sz w:val="22"/>
          <w:szCs w:val="22"/>
          <w:lang w:eastAsia="ar-SA"/>
        </w:rPr>
        <w:t>cales para la campaña 2020-2021.</w:t>
      </w:r>
    </w:p>
    <w:p w:rsidR="002D15F8" w:rsidRPr="002D15F8" w:rsidRDefault="002D15F8" w:rsidP="002D15F8">
      <w:pPr>
        <w:suppressAutoHyphens/>
        <w:spacing w:before="120"/>
        <w:jc w:val="both"/>
        <w:rPr>
          <w:rFonts w:ascii="Tahoma" w:eastAsia="SimSun" w:hAnsi="Tahoma" w:cs="Tahoma"/>
          <w:kern w:val="1"/>
          <w:sz w:val="22"/>
          <w:szCs w:val="22"/>
          <w:lang w:eastAsia="ar-SA"/>
        </w:rPr>
      </w:pPr>
    </w:p>
    <w:p w:rsidR="002D15F8" w:rsidRPr="002D15F8" w:rsidRDefault="002D15F8" w:rsidP="002D15F8">
      <w:pPr>
        <w:numPr>
          <w:ilvl w:val="0"/>
          <w:numId w:val="21"/>
        </w:numPr>
        <w:suppressAutoHyphens/>
        <w:spacing w:before="600" w:after="480" w:line="276" w:lineRule="auto"/>
        <w:contextualSpacing/>
        <w:jc w:val="both"/>
        <w:rPr>
          <w:rFonts w:ascii="Tahoma" w:eastAsia="Calibri" w:hAnsi="Tahoma" w:cs="Tahoma"/>
          <w:b/>
          <w:sz w:val="22"/>
          <w:szCs w:val="22"/>
          <w:u w:val="single"/>
          <w:lang w:eastAsia="en-US"/>
        </w:rPr>
      </w:pPr>
      <w:r w:rsidRPr="002D15F8">
        <w:rPr>
          <w:rFonts w:ascii="Tahoma" w:eastAsia="Calibri" w:hAnsi="Tahoma" w:cs="Tahoma"/>
          <w:b/>
          <w:sz w:val="22"/>
          <w:szCs w:val="22"/>
          <w:lang w:eastAsia="en-US"/>
        </w:rPr>
        <w:t>CONSIDERACIONES JURÍDICAS</w:t>
      </w:r>
    </w:p>
    <w:p w:rsidR="002D15F8" w:rsidRPr="002D15F8" w:rsidRDefault="002D15F8" w:rsidP="002D15F8">
      <w:pPr>
        <w:suppressAutoHyphens/>
        <w:spacing w:before="600" w:after="480" w:line="276" w:lineRule="auto"/>
        <w:ind w:left="720"/>
        <w:contextualSpacing/>
        <w:jc w:val="both"/>
        <w:rPr>
          <w:rFonts w:ascii="Tahoma" w:eastAsia="Calibri" w:hAnsi="Tahoma" w:cs="Tahoma"/>
          <w:b/>
          <w:sz w:val="22"/>
          <w:szCs w:val="22"/>
          <w:u w:val="single"/>
          <w:lang w:eastAsia="en-US"/>
        </w:rPr>
      </w:pPr>
    </w:p>
    <w:p w:rsidR="002D15F8" w:rsidRPr="002D15F8" w:rsidRDefault="002D15F8" w:rsidP="002D15F8">
      <w:pPr>
        <w:spacing w:before="120" w:after="240" w:line="276" w:lineRule="auto"/>
        <w:jc w:val="both"/>
        <w:rPr>
          <w:rFonts w:ascii="Tahoma" w:eastAsiaTheme="minorHAnsi" w:hAnsi="Tahoma" w:cs="Tahoma"/>
          <w:b/>
          <w:color w:val="000000"/>
          <w:sz w:val="22"/>
          <w:szCs w:val="22"/>
          <w:u w:val="single"/>
          <w:lang w:eastAsia="en-US"/>
        </w:rPr>
      </w:pPr>
      <w:r w:rsidRPr="002D15F8">
        <w:rPr>
          <w:rFonts w:ascii="Tahoma" w:eastAsiaTheme="minorHAnsi" w:hAnsi="Tahoma" w:cs="Tahoma"/>
          <w:b/>
          <w:color w:val="000000"/>
          <w:sz w:val="22"/>
          <w:szCs w:val="22"/>
          <w:u w:val="single"/>
          <w:lang w:eastAsia="en-US"/>
        </w:rPr>
        <w:t>1. Competencia de la Comisión Consultiva.</w:t>
      </w:r>
    </w:p>
    <w:p w:rsidR="002D15F8" w:rsidRPr="002D15F8" w:rsidRDefault="002D15F8" w:rsidP="002D15F8">
      <w:pPr>
        <w:spacing w:after="200" w:line="276" w:lineRule="auto"/>
        <w:jc w:val="both"/>
        <w:rPr>
          <w:rFonts w:ascii="Tahoma" w:eastAsiaTheme="minorHAnsi" w:hAnsi="Tahoma" w:cs="Tahoma"/>
          <w:color w:val="000000"/>
          <w:sz w:val="22"/>
          <w:szCs w:val="22"/>
          <w:lang w:eastAsia="en-US"/>
        </w:rPr>
      </w:pPr>
      <w:r w:rsidRPr="002D15F8">
        <w:rPr>
          <w:rFonts w:ascii="Tahoma" w:eastAsiaTheme="minorHAnsi" w:hAnsi="Tahoma" w:cs="Tahoma"/>
          <w:color w:val="000000"/>
          <w:sz w:val="22"/>
          <w:szCs w:val="22"/>
          <w:lang w:eastAsia="en-US"/>
        </w:rPr>
        <w:t>El Estatuto de Autonomía del País Vasco, aprobado mediante Ley Orgánica 3/1979, de 18 de diciembre, dispone en su artículo 10.36 que "</w:t>
      </w:r>
      <w:r w:rsidRPr="002D15F8">
        <w:rPr>
          <w:rFonts w:ascii="Tahoma" w:eastAsiaTheme="minorHAnsi" w:hAnsi="Tahoma" w:cs="Tahoma"/>
          <w:i/>
          <w:color w:val="000000"/>
          <w:sz w:val="22"/>
          <w:szCs w:val="22"/>
          <w:lang w:eastAsia="en-US"/>
        </w:rPr>
        <w:t>la Comunidad Autónoma del País Vasco tiene competencia exclusiva en materia de turismo y deporte</w:t>
      </w:r>
      <w:r w:rsidRPr="002D15F8">
        <w:rPr>
          <w:rFonts w:ascii="Tahoma" w:eastAsiaTheme="minorHAnsi" w:hAnsi="Tahoma" w:cs="Tahoma"/>
          <w:color w:val="000000"/>
          <w:sz w:val="22"/>
          <w:szCs w:val="22"/>
          <w:lang w:eastAsia="en-US"/>
        </w:rPr>
        <w:t>".</w:t>
      </w:r>
    </w:p>
    <w:p w:rsidR="002D15F8" w:rsidRPr="002D15F8" w:rsidRDefault="002D15F8" w:rsidP="002D15F8">
      <w:pPr>
        <w:spacing w:after="200" w:line="276" w:lineRule="auto"/>
        <w:jc w:val="both"/>
        <w:rPr>
          <w:rFonts w:ascii="Tahoma" w:eastAsiaTheme="minorHAnsi" w:hAnsi="Tahoma" w:cs="Tahoma"/>
          <w:color w:val="000000"/>
          <w:sz w:val="22"/>
          <w:szCs w:val="22"/>
          <w:lang w:eastAsia="en-US"/>
        </w:rPr>
      </w:pPr>
      <w:r w:rsidRPr="002D15F8">
        <w:rPr>
          <w:rFonts w:ascii="Tahoma" w:eastAsiaTheme="minorHAnsi" w:hAnsi="Tahoma" w:cs="Tahoma"/>
          <w:color w:val="000000"/>
          <w:sz w:val="22"/>
          <w:szCs w:val="22"/>
          <w:lang w:eastAsia="en-US"/>
        </w:rPr>
        <w:t xml:space="preserve">En relación con el precepto anterior, la Ley 27/1983, de 25 de noviembre, de Relaciones entre las Instituciones Comunes de la Comunidad Autónoma y los Órganos Forales de sus Territorios Históricos, señala en su artículo 7.b) 6. </w:t>
      </w:r>
      <w:proofErr w:type="gramStart"/>
      <w:r w:rsidRPr="002D15F8">
        <w:rPr>
          <w:rFonts w:ascii="Tahoma" w:eastAsiaTheme="minorHAnsi" w:hAnsi="Tahoma" w:cs="Tahoma"/>
          <w:color w:val="000000"/>
          <w:sz w:val="22"/>
          <w:szCs w:val="22"/>
          <w:lang w:eastAsia="en-US"/>
        </w:rPr>
        <w:t>como</w:t>
      </w:r>
      <w:proofErr w:type="gramEnd"/>
      <w:r w:rsidRPr="002D15F8">
        <w:rPr>
          <w:rFonts w:ascii="Tahoma" w:eastAsiaTheme="minorHAnsi" w:hAnsi="Tahoma" w:cs="Tahoma"/>
          <w:color w:val="000000"/>
          <w:sz w:val="22"/>
          <w:szCs w:val="22"/>
          <w:lang w:eastAsia="en-US"/>
        </w:rPr>
        <w:t xml:space="preserve"> competencia de </w:t>
      </w:r>
      <w:r w:rsidRPr="002D15F8">
        <w:rPr>
          <w:rFonts w:ascii="Tahoma" w:eastAsiaTheme="minorHAnsi" w:hAnsi="Tahoma" w:cs="Tahoma"/>
          <w:color w:val="000000"/>
          <w:sz w:val="22"/>
          <w:szCs w:val="22"/>
          <w:lang w:eastAsia="en-US"/>
        </w:rPr>
        <w:lastRenderedPageBreak/>
        <w:t>desarrollo y ejecución de los Territorios Históricos, "</w:t>
      </w:r>
      <w:r w:rsidRPr="002D15F8">
        <w:rPr>
          <w:rFonts w:ascii="Tahoma" w:eastAsiaTheme="minorHAnsi" w:hAnsi="Tahoma" w:cs="Tahoma"/>
          <w:i/>
          <w:color w:val="000000"/>
          <w:sz w:val="22"/>
          <w:szCs w:val="22"/>
          <w:lang w:eastAsia="en-US"/>
        </w:rPr>
        <w:t>Fomento del deporte.  Programas de deporte escolar y deporte para todos</w:t>
      </w:r>
      <w:r w:rsidRPr="002D15F8">
        <w:rPr>
          <w:rFonts w:ascii="Tahoma" w:eastAsiaTheme="minorHAnsi" w:hAnsi="Tahoma" w:cs="Tahoma"/>
          <w:color w:val="000000"/>
          <w:sz w:val="22"/>
          <w:szCs w:val="22"/>
          <w:lang w:eastAsia="en-US"/>
        </w:rPr>
        <w:t>".</w:t>
      </w:r>
    </w:p>
    <w:p w:rsidR="002D15F8" w:rsidRPr="002D15F8" w:rsidRDefault="002D15F8" w:rsidP="002D15F8">
      <w:pPr>
        <w:spacing w:after="200" w:line="276" w:lineRule="auto"/>
        <w:jc w:val="both"/>
        <w:rPr>
          <w:rFonts w:ascii="Tahoma" w:eastAsiaTheme="minorHAnsi" w:hAnsi="Tahoma" w:cs="Tahoma"/>
          <w:color w:val="000000"/>
          <w:sz w:val="22"/>
          <w:szCs w:val="22"/>
          <w:lang w:eastAsia="en-US"/>
        </w:rPr>
      </w:pPr>
    </w:p>
    <w:p w:rsidR="002D15F8" w:rsidRPr="002D15F8" w:rsidRDefault="002D15F8" w:rsidP="002D15F8">
      <w:pPr>
        <w:spacing w:after="200" w:line="276" w:lineRule="auto"/>
        <w:jc w:val="both"/>
        <w:rPr>
          <w:rFonts w:ascii="Tahoma" w:eastAsiaTheme="minorHAnsi" w:hAnsi="Tahoma" w:cs="Tahoma"/>
          <w:color w:val="000000"/>
          <w:sz w:val="22"/>
          <w:szCs w:val="22"/>
          <w:lang w:eastAsia="en-US"/>
        </w:rPr>
      </w:pPr>
      <w:r w:rsidRPr="002D15F8">
        <w:rPr>
          <w:rFonts w:ascii="Tahoma" w:eastAsiaTheme="minorHAnsi" w:hAnsi="Tahoma" w:cs="Tahoma"/>
          <w:color w:val="000000"/>
          <w:sz w:val="22"/>
          <w:szCs w:val="22"/>
          <w:lang w:eastAsia="en-US"/>
        </w:rPr>
        <w:t>A continuación, el artículo 8.2 establece que en las materias en que corresponde a los Territorios Históricos el desarrollo normativo y la ejecución, tienen las siguientes potestades: a) de desarrollo normativo de las normas emanadas de las Instituciones Comunes; b) reglamentaria; c) administrativa, incluida la inspección; d) revisora en la vía administrativa.”</w:t>
      </w:r>
    </w:p>
    <w:p w:rsidR="002D15F8" w:rsidRPr="002D15F8" w:rsidRDefault="002D15F8" w:rsidP="002D15F8">
      <w:pPr>
        <w:spacing w:after="200" w:line="276" w:lineRule="auto"/>
        <w:jc w:val="both"/>
        <w:rPr>
          <w:rFonts w:ascii="Tahoma" w:eastAsiaTheme="minorHAnsi" w:hAnsi="Tahoma" w:cs="Tahoma"/>
          <w:color w:val="000000"/>
          <w:sz w:val="22"/>
          <w:szCs w:val="22"/>
          <w:lang w:eastAsia="en-US"/>
        </w:rPr>
      </w:pPr>
    </w:p>
    <w:p w:rsidR="002D15F8" w:rsidRPr="002D15F8" w:rsidRDefault="002D15F8" w:rsidP="002D15F8">
      <w:pPr>
        <w:spacing w:after="200" w:line="276" w:lineRule="auto"/>
        <w:jc w:val="both"/>
        <w:rPr>
          <w:rFonts w:ascii="Tahoma" w:eastAsiaTheme="minorHAnsi" w:hAnsi="Tahoma" w:cs="Tahoma"/>
          <w:color w:val="000000"/>
          <w:sz w:val="22"/>
          <w:szCs w:val="22"/>
          <w:lang w:eastAsia="en-US"/>
        </w:rPr>
      </w:pPr>
      <w:r w:rsidRPr="002D15F8">
        <w:rPr>
          <w:rFonts w:ascii="Tahoma" w:eastAsiaTheme="minorHAnsi" w:hAnsi="Tahoma" w:cs="Tahoma"/>
          <w:color w:val="000000"/>
          <w:sz w:val="22"/>
          <w:szCs w:val="22"/>
          <w:lang w:eastAsia="en-US"/>
        </w:rPr>
        <w:t xml:space="preserve">Sobre la base del referido reparto competencial, la Ley 14/1998, de 11 de junio, del Deporte del País Vasco, delimitó de forma pormenorizada las áreas competenciales.  Así, atribuyó a las instituciones comunes, entre otras, en su artículo 4.2. d), competencia en materia de </w:t>
      </w:r>
      <w:r w:rsidRPr="002D15F8">
        <w:rPr>
          <w:rFonts w:ascii="Tahoma" w:eastAsiaTheme="minorHAnsi" w:hAnsi="Tahoma" w:cs="Tahoma"/>
          <w:sz w:val="19"/>
          <w:szCs w:val="19"/>
          <w:lang w:val="es-ES_tradnl" w:eastAsia="es-ES_tradnl"/>
        </w:rPr>
        <w:t xml:space="preserve">regulación de las bases y principios generales del deporte escolar, de sus régimen disciplinario deportivo y de sus competiciones, y a los órganos forales de los Territorios Históricos el desarrollo normativo y la ejecución de la normativa de la Comunidad Autónoma en materia de deporte escolar (artículo 5 a).  </w:t>
      </w:r>
      <w:r w:rsidRPr="002D15F8">
        <w:rPr>
          <w:rFonts w:ascii="Tahoma" w:eastAsiaTheme="minorHAnsi" w:hAnsi="Tahoma" w:cs="Tahoma"/>
          <w:color w:val="000000"/>
          <w:sz w:val="22"/>
          <w:szCs w:val="22"/>
          <w:lang w:eastAsia="en-US"/>
        </w:rPr>
        <w:t>En este sentido, el artículo 55 de la citada Ley atribuyó a los órganos forales la aprobación anual de los Programas de deporte escolar</w:t>
      </w:r>
    </w:p>
    <w:p w:rsidR="002D15F8" w:rsidRPr="002D15F8" w:rsidRDefault="002D15F8" w:rsidP="002D15F8">
      <w:pPr>
        <w:spacing w:after="200" w:line="276" w:lineRule="auto"/>
        <w:jc w:val="both"/>
        <w:rPr>
          <w:rFonts w:ascii="Tahoma" w:eastAsiaTheme="minorHAnsi" w:hAnsi="Tahoma" w:cs="Tahoma"/>
          <w:color w:val="000000"/>
          <w:sz w:val="22"/>
          <w:szCs w:val="22"/>
          <w:lang w:eastAsia="en-US"/>
        </w:rPr>
      </w:pPr>
    </w:p>
    <w:p w:rsidR="002D15F8" w:rsidRPr="002D15F8" w:rsidRDefault="002D15F8" w:rsidP="002D15F8">
      <w:pPr>
        <w:spacing w:before="120" w:after="240" w:line="276" w:lineRule="auto"/>
        <w:jc w:val="both"/>
        <w:rPr>
          <w:rFonts w:ascii="Tahoma" w:eastAsiaTheme="minorHAnsi" w:hAnsi="Tahoma" w:cs="Tahoma"/>
          <w:color w:val="000000"/>
          <w:sz w:val="22"/>
          <w:szCs w:val="22"/>
          <w:lang w:eastAsia="en-US"/>
        </w:rPr>
      </w:pPr>
      <w:r w:rsidRPr="002D15F8">
        <w:rPr>
          <w:rFonts w:ascii="Tahoma" w:eastAsiaTheme="minorHAnsi" w:hAnsi="Tahoma" w:cs="Tahoma"/>
          <w:color w:val="000000"/>
          <w:sz w:val="22"/>
          <w:szCs w:val="22"/>
          <w:lang w:eastAsia="en-US"/>
        </w:rPr>
        <w:t>De cuanto antecede hay que concluir que, consistiendo el proyecto de decreto foral, que se somete a dictamen, en el desarrollo normativo de lo contenido en la Ley 14/1998, de 11 de junio, del Deporte del País Vasco, siendo esta materia de competencia de desarrollo y ejecución del Territorio Histórico, debe ser objeto del preceptivo dictamen de esta Comisión Consultiva, de conformidad con lo dispuesto en el artículo 3.1.b) del Decreto Foral 40/1999, de 30 de marzo, que crea la Comisión Consultiva de la Administración Foral de Álava y aprueba su Reglamento Orgánico.</w:t>
      </w:r>
    </w:p>
    <w:p w:rsidR="002D15F8" w:rsidRPr="002D15F8" w:rsidRDefault="002D15F8" w:rsidP="002D15F8">
      <w:pPr>
        <w:spacing w:before="120" w:after="240" w:line="276" w:lineRule="auto"/>
        <w:jc w:val="both"/>
        <w:rPr>
          <w:rFonts w:ascii="Tahoma" w:eastAsiaTheme="minorHAnsi" w:hAnsi="Tahoma" w:cs="Tahoma"/>
          <w:b/>
          <w:bCs/>
          <w:color w:val="000000"/>
          <w:sz w:val="22"/>
          <w:szCs w:val="22"/>
          <w:u w:val="single"/>
          <w:lang w:eastAsia="en-US"/>
        </w:rPr>
      </w:pPr>
      <w:r w:rsidRPr="002D15F8">
        <w:rPr>
          <w:rFonts w:ascii="Tahoma" w:eastAsiaTheme="minorHAnsi" w:hAnsi="Tahoma" w:cs="Tahoma"/>
          <w:b/>
          <w:bCs/>
          <w:color w:val="000000"/>
          <w:sz w:val="22"/>
          <w:szCs w:val="22"/>
          <w:u w:val="single"/>
          <w:lang w:eastAsia="en-US"/>
        </w:rPr>
        <w:t>2. Aspectos competenciales de la disposición en proyecto.</w:t>
      </w:r>
    </w:p>
    <w:p w:rsidR="002D15F8" w:rsidRPr="002D15F8" w:rsidRDefault="002D15F8" w:rsidP="002D15F8">
      <w:pPr>
        <w:spacing w:before="120" w:after="240" w:line="276" w:lineRule="auto"/>
        <w:jc w:val="both"/>
        <w:rPr>
          <w:rFonts w:ascii="Tahoma" w:eastAsiaTheme="minorHAnsi" w:hAnsi="Tahoma" w:cs="Tahoma"/>
          <w:color w:val="000000"/>
          <w:sz w:val="22"/>
          <w:szCs w:val="22"/>
          <w:lang w:eastAsia="en-US"/>
        </w:rPr>
      </w:pPr>
      <w:r w:rsidRPr="002D15F8">
        <w:rPr>
          <w:rFonts w:ascii="Tahoma" w:eastAsiaTheme="minorHAnsi" w:hAnsi="Tahoma" w:cs="Tahoma"/>
          <w:color w:val="000000"/>
          <w:sz w:val="22"/>
          <w:szCs w:val="22"/>
          <w:lang w:eastAsia="en-US"/>
        </w:rPr>
        <w:t>Al hilo de expuesto en la primera consideración jurídica, antes de analizar otros aspectos procedimentales, desde un punto de vista competencial procede señalar que la normativa foral alavesa contiene dos artículos claves en relación a la titularidad de la potestad de desarrollo normativo de la legislación de la Comunidad Autónoma.  Más concretamente:</w:t>
      </w:r>
    </w:p>
    <w:p w:rsidR="002D15F8" w:rsidRPr="002D15F8" w:rsidRDefault="002D15F8" w:rsidP="002D15F8">
      <w:pPr>
        <w:numPr>
          <w:ilvl w:val="0"/>
          <w:numId w:val="20"/>
        </w:numPr>
        <w:suppressAutoHyphens/>
        <w:spacing w:before="120" w:after="120" w:line="276" w:lineRule="auto"/>
        <w:ind w:left="714" w:hanging="357"/>
        <w:contextualSpacing/>
        <w:jc w:val="both"/>
        <w:rPr>
          <w:rFonts w:ascii="Tahoma" w:eastAsia="Calibri" w:hAnsi="Tahoma" w:cs="Tahoma"/>
          <w:color w:val="000000"/>
          <w:sz w:val="22"/>
          <w:szCs w:val="22"/>
          <w:lang w:eastAsia="en-US"/>
        </w:rPr>
      </w:pPr>
      <w:r w:rsidRPr="002D15F8">
        <w:rPr>
          <w:rFonts w:ascii="Tahoma" w:eastAsia="Calibri" w:hAnsi="Tahoma" w:cs="Tahoma"/>
          <w:color w:val="000000"/>
          <w:sz w:val="22"/>
          <w:szCs w:val="22"/>
          <w:lang w:eastAsia="en-US"/>
        </w:rPr>
        <w:t xml:space="preserve">Artículo 6.1.b) de la Norma Foral de 7 de marzo de 1983, de Organización Institucional del THA, que atribuye a las </w:t>
      </w:r>
      <w:r w:rsidRPr="002D15F8">
        <w:rPr>
          <w:rFonts w:ascii="Tahoma" w:eastAsia="Calibri" w:hAnsi="Tahoma" w:cs="Tahoma"/>
          <w:b/>
          <w:color w:val="000000"/>
          <w:sz w:val="22"/>
          <w:szCs w:val="22"/>
          <w:lang w:eastAsia="en-US"/>
        </w:rPr>
        <w:t xml:space="preserve">Juntas Generales </w:t>
      </w:r>
      <w:r w:rsidRPr="002D15F8">
        <w:rPr>
          <w:rFonts w:ascii="Tahoma" w:eastAsia="Calibri" w:hAnsi="Tahoma" w:cs="Tahoma"/>
          <w:color w:val="000000"/>
          <w:sz w:val="22"/>
          <w:szCs w:val="22"/>
          <w:lang w:eastAsia="en-US"/>
        </w:rPr>
        <w:t>la potestad de desarrollo normativo para aprobar disposiciones de desarrollo de la legislación de la Comunidad Autónoma o del Estado, siempre y cuando tal capacidad no se haya atribuido expresamente a la Diputación Foral.</w:t>
      </w:r>
    </w:p>
    <w:p w:rsidR="002D15F8" w:rsidRPr="002D15F8" w:rsidRDefault="002D15F8" w:rsidP="002D15F8">
      <w:pPr>
        <w:spacing w:before="120" w:after="200" w:line="276" w:lineRule="auto"/>
        <w:ind w:left="360"/>
        <w:jc w:val="both"/>
        <w:rPr>
          <w:rFonts w:ascii="Tahoma" w:eastAsiaTheme="minorHAnsi" w:hAnsi="Tahoma" w:cs="Tahoma"/>
          <w:color w:val="000000"/>
          <w:sz w:val="22"/>
          <w:szCs w:val="22"/>
          <w:lang w:eastAsia="en-US"/>
        </w:rPr>
      </w:pPr>
    </w:p>
    <w:p w:rsidR="002D15F8" w:rsidRPr="002D15F8" w:rsidRDefault="002D15F8" w:rsidP="002D15F8">
      <w:pPr>
        <w:numPr>
          <w:ilvl w:val="0"/>
          <w:numId w:val="20"/>
        </w:numPr>
        <w:spacing w:after="200" w:line="276" w:lineRule="auto"/>
        <w:ind w:left="714" w:hanging="357"/>
        <w:contextualSpacing/>
        <w:jc w:val="both"/>
        <w:rPr>
          <w:rFonts w:ascii="Tahoma" w:eastAsia="Calibri" w:hAnsi="Tahoma" w:cs="Tahoma"/>
          <w:color w:val="000000"/>
          <w:sz w:val="22"/>
          <w:szCs w:val="22"/>
          <w:lang w:eastAsia="en-US"/>
        </w:rPr>
      </w:pPr>
      <w:r w:rsidRPr="002D15F8">
        <w:rPr>
          <w:rFonts w:ascii="Tahoma" w:eastAsia="Calibri" w:hAnsi="Tahoma" w:cs="Tahoma"/>
          <w:color w:val="000000"/>
          <w:sz w:val="22"/>
          <w:szCs w:val="22"/>
          <w:lang w:eastAsia="en-US"/>
        </w:rPr>
        <w:lastRenderedPageBreak/>
        <w:t xml:space="preserve">Artículo 7.1.1.3. de la Norma Foral 52/1992, de 18 de diciembre, de Organización, Funcionamiento y Régimen Jurídico de la Diputación Foral de Álava, que indica que corresponde al </w:t>
      </w:r>
      <w:r w:rsidRPr="002D15F8">
        <w:rPr>
          <w:rFonts w:ascii="Tahoma" w:eastAsia="Calibri" w:hAnsi="Tahoma" w:cs="Tahoma"/>
          <w:b/>
          <w:color w:val="000000"/>
          <w:sz w:val="22"/>
          <w:szCs w:val="22"/>
          <w:lang w:eastAsia="en-US"/>
        </w:rPr>
        <w:t>Consejo de Gobierno</w:t>
      </w:r>
      <w:r w:rsidRPr="002D15F8">
        <w:rPr>
          <w:rFonts w:ascii="Tahoma" w:eastAsia="Calibri" w:hAnsi="Tahoma" w:cs="Tahoma"/>
          <w:color w:val="000000"/>
          <w:sz w:val="22"/>
          <w:szCs w:val="22"/>
          <w:lang w:eastAsia="en-US"/>
        </w:rPr>
        <w:t xml:space="preserve"> aprobar decretos forales de desarrollo de la legislación estatal y autonómica, en ejercicio de la potestad de desarrollo normativo, cuando se le haya habilitado expresamente.</w:t>
      </w:r>
    </w:p>
    <w:p w:rsidR="002D15F8" w:rsidRPr="002D15F8" w:rsidRDefault="002D15F8" w:rsidP="002D15F8">
      <w:pPr>
        <w:spacing w:after="200"/>
        <w:ind w:left="720"/>
        <w:contextualSpacing/>
        <w:rPr>
          <w:rFonts w:ascii="Tahoma" w:eastAsia="Calibri" w:hAnsi="Tahoma" w:cs="Tahoma"/>
          <w:color w:val="000000"/>
          <w:sz w:val="22"/>
          <w:szCs w:val="22"/>
          <w:lang w:eastAsia="en-US"/>
        </w:rPr>
      </w:pPr>
    </w:p>
    <w:p w:rsidR="002D15F8" w:rsidRPr="002D15F8" w:rsidRDefault="002D15F8" w:rsidP="002D15F8">
      <w:pPr>
        <w:spacing w:after="200"/>
        <w:contextualSpacing/>
        <w:jc w:val="both"/>
        <w:rPr>
          <w:rFonts w:ascii="Tahoma" w:eastAsia="Calibri" w:hAnsi="Tahoma" w:cs="Tahoma"/>
          <w:color w:val="000000"/>
          <w:sz w:val="22"/>
          <w:szCs w:val="22"/>
          <w:lang w:eastAsia="en-US"/>
        </w:rPr>
      </w:pPr>
      <w:r w:rsidRPr="002D15F8">
        <w:rPr>
          <w:rFonts w:ascii="Tahoma" w:eastAsia="Calibri" w:hAnsi="Tahoma" w:cs="Tahoma"/>
          <w:color w:val="000000"/>
          <w:sz w:val="22"/>
          <w:szCs w:val="22"/>
          <w:lang w:eastAsia="en-US"/>
        </w:rPr>
        <w:t>Aplicando tales criterios al supuesto que ahora se plantea, debe concluirse que, al residenciar en la Cámara Foral y en el Consejo de Gobierno la potestad de desarrollo normativo de la legislación autonómica, resulta improcedente desarrollar normativamente los programas de deporte escolar del Territorio Histórico de Álava, tal y como se pretende, a través de una orden foral de la titular del Departamento de Cultura y Deporte.</w:t>
      </w:r>
    </w:p>
    <w:p w:rsidR="002D15F8" w:rsidRPr="002D15F8" w:rsidRDefault="002D15F8" w:rsidP="002D15F8">
      <w:pPr>
        <w:spacing w:after="200"/>
        <w:contextualSpacing/>
        <w:jc w:val="both"/>
        <w:rPr>
          <w:rFonts w:ascii="Tahoma" w:eastAsia="Calibri" w:hAnsi="Tahoma" w:cs="Tahoma"/>
          <w:color w:val="000000"/>
          <w:sz w:val="22"/>
          <w:szCs w:val="22"/>
          <w:lang w:eastAsia="en-US"/>
        </w:rPr>
      </w:pPr>
    </w:p>
    <w:p w:rsidR="002D15F8" w:rsidRPr="002D15F8" w:rsidRDefault="002D15F8" w:rsidP="002D15F8">
      <w:pPr>
        <w:spacing w:after="200"/>
        <w:contextualSpacing/>
        <w:jc w:val="both"/>
        <w:rPr>
          <w:rFonts w:ascii="Tahoma" w:eastAsia="Calibri" w:hAnsi="Tahoma" w:cs="Tahoma"/>
          <w:color w:val="000000"/>
          <w:sz w:val="22"/>
          <w:szCs w:val="22"/>
          <w:lang w:eastAsia="en-US"/>
        </w:rPr>
      </w:pPr>
      <w:r w:rsidRPr="002D15F8">
        <w:rPr>
          <w:rFonts w:ascii="Tahoma" w:eastAsia="Calibri" w:hAnsi="Tahoma" w:cs="Tahoma"/>
          <w:color w:val="000000"/>
          <w:sz w:val="22"/>
          <w:szCs w:val="22"/>
          <w:lang w:eastAsia="en-US"/>
        </w:rPr>
        <w:t>Pero ni siquiera correspondería dicha potestad normativa al Consejo de Gobierno Foral ya que no existe habilitación expresa para su desarrollo normativo por parte del Ejecutivo de la Diputación Foral de Álava.</w:t>
      </w:r>
    </w:p>
    <w:p w:rsidR="002D15F8" w:rsidRPr="002D15F8" w:rsidRDefault="002D15F8" w:rsidP="002D15F8">
      <w:pPr>
        <w:spacing w:after="200"/>
        <w:contextualSpacing/>
        <w:jc w:val="both"/>
        <w:rPr>
          <w:rFonts w:ascii="Tahoma" w:eastAsia="Calibri" w:hAnsi="Tahoma" w:cs="Tahoma"/>
          <w:color w:val="000000"/>
          <w:sz w:val="22"/>
          <w:szCs w:val="22"/>
          <w:lang w:eastAsia="en-US"/>
        </w:rPr>
      </w:pPr>
    </w:p>
    <w:p w:rsidR="002D15F8" w:rsidRPr="002D15F8" w:rsidRDefault="002D15F8" w:rsidP="002D15F8">
      <w:pPr>
        <w:spacing w:after="200"/>
        <w:contextualSpacing/>
        <w:jc w:val="both"/>
        <w:rPr>
          <w:rFonts w:ascii="Tahoma" w:eastAsia="Calibri" w:hAnsi="Tahoma" w:cs="Tahoma"/>
          <w:color w:val="000000"/>
          <w:sz w:val="22"/>
          <w:szCs w:val="22"/>
          <w:lang w:eastAsia="en-US"/>
        </w:rPr>
      </w:pPr>
      <w:r w:rsidRPr="002D15F8">
        <w:rPr>
          <w:rFonts w:ascii="Tahoma" w:eastAsia="Calibri" w:hAnsi="Tahoma" w:cs="Tahoma"/>
          <w:color w:val="000000"/>
          <w:sz w:val="22"/>
          <w:szCs w:val="22"/>
          <w:lang w:eastAsia="en-US"/>
        </w:rPr>
        <w:t>Es más, la propia Diputada de Cultura y Deporte reconoce en su escrito de 18 de junio que “</w:t>
      </w:r>
      <w:r w:rsidRPr="002D15F8">
        <w:rPr>
          <w:rFonts w:ascii="Tahoma" w:eastAsia="Calibri" w:hAnsi="Tahoma" w:cs="Tahoma"/>
          <w:i/>
          <w:color w:val="000000"/>
          <w:sz w:val="22"/>
          <w:szCs w:val="22"/>
          <w:lang w:eastAsia="en-US"/>
        </w:rPr>
        <w:t>hoy en día, en materia de deporte escolar no existe habilitación expresa para su desarrollo normativo ni por parte del Consejo de Gobierno de la Diputación Foral de Álava, ni por parte de la Diputada titular del Departamento de Cultura y Deporte</w:t>
      </w:r>
      <w:r w:rsidRPr="002D15F8">
        <w:rPr>
          <w:rFonts w:ascii="Tahoma" w:eastAsia="Calibri" w:hAnsi="Tahoma" w:cs="Tahoma"/>
          <w:color w:val="000000"/>
          <w:sz w:val="22"/>
          <w:szCs w:val="22"/>
          <w:lang w:eastAsia="en-US"/>
        </w:rPr>
        <w:t xml:space="preserve">”.  Añade que ello ha motivado la tramitación de un proyecto de norma foral de deporte escolar en Juntas Generales previendo una habilitación a dicha Diputada para dictar disposiciones para su desarrollo y ejecución, pero que la pandemia del COVID-19 y la adopción de medidas extraordinarias, tales como la declaración del estado de alarma, han impedido su aprobación antes del 1 de septiembre y han motivado que sea ella la que asuma la elaboración, aprobación y ejecución anual de los programas de deporte escolar en el Territorio Histórico.  </w:t>
      </w:r>
    </w:p>
    <w:p w:rsidR="002D15F8" w:rsidRPr="002D15F8" w:rsidRDefault="002D15F8" w:rsidP="002D15F8">
      <w:pPr>
        <w:contextualSpacing/>
        <w:jc w:val="both"/>
        <w:rPr>
          <w:rFonts w:ascii="Tahoma" w:eastAsia="Calibri" w:hAnsi="Tahoma" w:cs="Tahoma"/>
          <w:color w:val="000000"/>
          <w:sz w:val="22"/>
          <w:szCs w:val="22"/>
          <w:lang w:eastAsia="en-US"/>
        </w:rPr>
      </w:pPr>
    </w:p>
    <w:p w:rsidR="002D15F8" w:rsidRPr="002D15F8" w:rsidRDefault="002D15F8" w:rsidP="002D15F8">
      <w:pPr>
        <w:contextualSpacing/>
        <w:jc w:val="both"/>
        <w:rPr>
          <w:rFonts w:ascii="Tahoma" w:eastAsia="Calibri" w:hAnsi="Tahoma" w:cs="Tahoma"/>
          <w:color w:val="000000"/>
          <w:sz w:val="22"/>
          <w:szCs w:val="22"/>
          <w:lang w:eastAsia="en-US"/>
        </w:rPr>
      </w:pPr>
      <w:r w:rsidRPr="002D15F8">
        <w:rPr>
          <w:rFonts w:ascii="Tahoma" w:eastAsia="Calibri" w:hAnsi="Tahoma" w:cs="Tahoma"/>
          <w:color w:val="000000"/>
          <w:sz w:val="22"/>
          <w:szCs w:val="22"/>
          <w:lang w:eastAsia="en-US"/>
        </w:rPr>
        <w:t xml:space="preserve">Discrepa esta Comisión Consultiva con este criterio y considera, como observación esencial, que, a la vista de la normativa foral institucional del Territorio Histórico de Álava, </w:t>
      </w:r>
      <w:r w:rsidRPr="002D15F8">
        <w:rPr>
          <w:rFonts w:ascii="Tahoma" w:eastAsia="Calibri" w:hAnsi="Tahoma" w:cs="Tahoma"/>
          <w:color w:val="000000"/>
          <w:sz w:val="22"/>
          <w:szCs w:val="22"/>
          <w:u w:val="single"/>
          <w:lang w:eastAsia="en-US"/>
        </w:rPr>
        <w:t>el proyecto de orden remitido a dictamen no se ajusta a derecho, por incompetencia del órgano del que emana</w:t>
      </w:r>
      <w:r w:rsidRPr="002D15F8">
        <w:rPr>
          <w:rFonts w:ascii="Tahoma" w:eastAsia="Calibri" w:hAnsi="Tahoma" w:cs="Tahoma"/>
          <w:color w:val="000000"/>
          <w:sz w:val="22"/>
          <w:szCs w:val="22"/>
          <w:lang w:eastAsia="en-US"/>
        </w:rPr>
        <w:t>, ya que el desarrollo normativo de la normativa autonómica en materia de deporte escolar corresponde en este caso a las Juntas Generales y la ausencia del ejercicio de dicha potestad por la Cámara Foral no habilita a la Diputada para ello.</w:t>
      </w:r>
    </w:p>
    <w:p w:rsidR="002D15F8" w:rsidRPr="002D15F8" w:rsidRDefault="002D15F8" w:rsidP="002D15F8">
      <w:pPr>
        <w:contextualSpacing/>
        <w:jc w:val="both"/>
        <w:rPr>
          <w:rFonts w:ascii="Tahoma" w:eastAsia="Calibri" w:hAnsi="Tahoma" w:cs="Tahoma"/>
          <w:color w:val="000000"/>
          <w:sz w:val="22"/>
          <w:szCs w:val="22"/>
          <w:lang w:eastAsia="en-US"/>
        </w:rPr>
      </w:pPr>
    </w:p>
    <w:p w:rsidR="002D15F8" w:rsidRPr="002D15F8" w:rsidRDefault="002D15F8" w:rsidP="002D15F8">
      <w:pPr>
        <w:contextualSpacing/>
        <w:jc w:val="both"/>
        <w:rPr>
          <w:rFonts w:ascii="Tahoma" w:eastAsia="Calibri" w:hAnsi="Tahoma" w:cs="Tahoma"/>
          <w:color w:val="000000"/>
          <w:sz w:val="22"/>
          <w:szCs w:val="22"/>
          <w:lang w:eastAsia="en-US"/>
        </w:rPr>
      </w:pPr>
    </w:p>
    <w:p w:rsidR="002D15F8" w:rsidRPr="002D15F8" w:rsidRDefault="002D15F8" w:rsidP="002D15F8">
      <w:pPr>
        <w:spacing w:before="120" w:after="240" w:line="276" w:lineRule="auto"/>
        <w:jc w:val="both"/>
        <w:rPr>
          <w:rFonts w:ascii="Tahoma" w:eastAsiaTheme="minorHAnsi" w:hAnsi="Tahoma" w:cs="Tahoma"/>
          <w:b/>
          <w:bCs/>
          <w:color w:val="000000"/>
          <w:sz w:val="22"/>
          <w:szCs w:val="22"/>
          <w:u w:val="single"/>
          <w:lang w:eastAsia="en-US"/>
        </w:rPr>
      </w:pPr>
      <w:r w:rsidRPr="002D15F8">
        <w:rPr>
          <w:rFonts w:ascii="Tahoma" w:eastAsiaTheme="minorHAnsi" w:hAnsi="Tahoma" w:cs="Tahoma"/>
          <w:b/>
          <w:bCs/>
          <w:color w:val="000000"/>
          <w:sz w:val="22"/>
          <w:szCs w:val="22"/>
          <w:u w:val="single"/>
          <w:lang w:eastAsia="en-US"/>
        </w:rPr>
        <w:t>3. Procedimiento de elaboración de disposiciones de carácter general.</w:t>
      </w:r>
    </w:p>
    <w:p w:rsidR="002D15F8" w:rsidRPr="002D15F8" w:rsidRDefault="002D15F8" w:rsidP="002D15F8">
      <w:pPr>
        <w:spacing w:after="240" w:line="276" w:lineRule="auto"/>
        <w:jc w:val="both"/>
        <w:rPr>
          <w:rFonts w:ascii="Tahoma" w:eastAsiaTheme="minorHAnsi" w:hAnsi="Tahoma" w:cs="Tahoma"/>
          <w:sz w:val="22"/>
          <w:szCs w:val="22"/>
          <w:lang w:eastAsia="en-US"/>
        </w:rPr>
      </w:pPr>
      <w:r w:rsidRPr="002D15F8">
        <w:rPr>
          <w:rFonts w:ascii="Tahoma" w:eastAsiaTheme="minorHAnsi" w:hAnsi="Tahoma" w:cs="Tahoma"/>
          <w:color w:val="000000"/>
          <w:sz w:val="22"/>
          <w:szCs w:val="22"/>
          <w:lang w:eastAsia="en-US"/>
        </w:rPr>
        <w:t xml:space="preserve">De acuerdo con lo dispuesto en el anexo I del Decreto Foral 29/2017, del Consejo de Gobierno Foral de 23 de mayo, por el que se aprueba el procedimiento de elaboración de disposiciones de carácter general, se emitieron orden foral de inicio y de aprobación previa de la titular del Departamento competente por razón de la materia.  </w:t>
      </w:r>
    </w:p>
    <w:p w:rsidR="002D15F8" w:rsidRPr="002D15F8" w:rsidRDefault="002D15F8" w:rsidP="002D15F8">
      <w:pPr>
        <w:spacing w:after="240" w:line="276" w:lineRule="auto"/>
        <w:jc w:val="both"/>
        <w:rPr>
          <w:rFonts w:ascii="Tahoma" w:eastAsiaTheme="minorHAnsi" w:hAnsi="Tahoma" w:cs="Tahoma"/>
          <w:color w:val="000000"/>
          <w:sz w:val="22"/>
          <w:szCs w:val="22"/>
          <w:lang w:eastAsia="en-US"/>
        </w:rPr>
      </w:pPr>
      <w:r w:rsidRPr="002D15F8">
        <w:rPr>
          <w:rFonts w:ascii="Tahoma" w:eastAsiaTheme="minorHAnsi" w:hAnsi="Tahoma" w:cs="Tahoma"/>
          <w:color w:val="000000"/>
          <w:sz w:val="22"/>
          <w:szCs w:val="22"/>
          <w:lang w:eastAsia="en-US"/>
        </w:rPr>
        <w:t xml:space="preserve">Respecto al resto de trámites de elaboración de la propuesta, en lo que respecta a los de consulta pública previa y audiencia e información pública, los mismos han sido omitidos en base al apartado segundo letra a) de la disposición adicional segunda del anexo I del citado Decreto 29/2017, al haber sido sometido a los citados trámites la </w:t>
      </w:r>
      <w:r w:rsidRPr="002D15F8">
        <w:rPr>
          <w:rFonts w:ascii="Tahoma" w:eastAsiaTheme="minorHAnsi" w:hAnsi="Tahoma" w:cs="Tahoma"/>
          <w:color w:val="000000"/>
          <w:sz w:val="22"/>
          <w:szCs w:val="22"/>
          <w:lang w:eastAsia="en-US"/>
        </w:rPr>
        <w:lastRenderedPageBreak/>
        <w:t xml:space="preserve">resolución con el mismo objeto cuya vigencia sujeta a plazo finalizó el 30 de junio  de 2020.   </w:t>
      </w:r>
    </w:p>
    <w:p w:rsidR="002D15F8" w:rsidRPr="002D15F8" w:rsidRDefault="002D15F8" w:rsidP="002D15F8">
      <w:pPr>
        <w:spacing w:after="240" w:line="276" w:lineRule="auto"/>
        <w:jc w:val="both"/>
        <w:rPr>
          <w:rFonts w:ascii="Tahoma" w:eastAsiaTheme="minorHAnsi" w:hAnsi="Tahoma" w:cs="Tahoma"/>
          <w:color w:val="000000"/>
          <w:sz w:val="22"/>
          <w:szCs w:val="22"/>
          <w:lang w:eastAsia="en-US"/>
        </w:rPr>
      </w:pPr>
      <w:r w:rsidRPr="002D15F8">
        <w:rPr>
          <w:rFonts w:ascii="Tahoma" w:eastAsiaTheme="minorHAnsi" w:hAnsi="Tahoma" w:cs="Tahoma"/>
          <w:color w:val="000000"/>
          <w:sz w:val="22"/>
          <w:szCs w:val="22"/>
          <w:lang w:eastAsia="en-US"/>
        </w:rPr>
        <w:t xml:space="preserve">Asimismo ha sido emitido informe abreviado de impacto normativo por la técnica letrada de la Secretaría Técnica de Cultura y Deporte.  </w:t>
      </w:r>
    </w:p>
    <w:p w:rsidR="002D15F8" w:rsidRPr="002D15F8" w:rsidRDefault="002D15F8" w:rsidP="002D15F8">
      <w:pPr>
        <w:spacing w:after="240" w:line="276" w:lineRule="auto"/>
        <w:jc w:val="both"/>
        <w:rPr>
          <w:rFonts w:ascii="Tahoma" w:eastAsiaTheme="minorHAnsi" w:hAnsi="Tahoma" w:cs="Tahoma"/>
          <w:color w:val="000000"/>
          <w:sz w:val="22"/>
          <w:szCs w:val="22"/>
          <w:lang w:eastAsia="en-US"/>
        </w:rPr>
      </w:pPr>
      <w:r w:rsidRPr="002D15F8">
        <w:rPr>
          <w:rFonts w:ascii="Tahoma" w:eastAsiaTheme="minorHAnsi" w:hAnsi="Tahoma" w:cs="Tahoma"/>
          <w:color w:val="000000"/>
          <w:sz w:val="22"/>
          <w:szCs w:val="22"/>
          <w:lang w:eastAsia="en-US"/>
        </w:rPr>
        <w:t xml:space="preserve">En lo relativo a otros trámites de obligado cumplimiento establecidos en el ya citado Decreto Foral y en la Ley 39/2015, de 1 de octubre, de Procedimiento Administrativo Común, en la parte expositiva del proyecto de orden se justifica la adecuación del mismo a los principios de buena regulación fijados en sus artículos 3 y 129, respectivamente. </w:t>
      </w:r>
    </w:p>
    <w:p w:rsidR="002D15F8" w:rsidRPr="002D15F8" w:rsidRDefault="002D15F8" w:rsidP="002D15F8">
      <w:pPr>
        <w:contextualSpacing/>
        <w:jc w:val="both"/>
        <w:rPr>
          <w:rFonts w:ascii="Tahoma" w:eastAsia="Calibri" w:hAnsi="Tahoma" w:cs="Tahoma"/>
          <w:color w:val="000000"/>
          <w:sz w:val="22"/>
          <w:szCs w:val="22"/>
          <w:lang w:val="es-ES_tradnl" w:eastAsia="en-US"/>
        </w:rPr>
      </w:pPr>
    </w:p>
    <w:p w:rsidR="002D15F8" w:rsidRPr="002D15F8" w:rsidRDefault="002D15F8" w:rsidP="002D15F8">
      <w:pPr>
        <w:numPr>
          <w:ilvl w:val="0"/>
          <w:numId w:val="21"/>
        </w:numPr>
        <w:suppressAutoHyphens/>
        <w:autoSpaceDE w:val="0"/>
        <w:autoSpaceDN w:val="0"/>
        <w:adjustRightInd w:val="0"/>
        <w:spacing w:before="120" w:after="200" w:line="276" w:lineRule="auto"/>
        <w:contextualSpacing/>
        <w:jc w:val="both"/>
        <w:rPr>
          <w:rFonts w:ascii="Tahoma" w:eastAsia="Calibri" w:hAnsi="Tahoma" w:cs="Tahoma"/>
          <w:b/>
          <w:color w:val="000000"/>
          <w:sz w:val="22"/>
          <w:szCs w:val="22"/>
          <w:lang w:eastAsia="en-US"/>
        </w:rPr>
      </w:pPr>
      <w:r w:rsidRPr="002D15F8">
        <w:rPr>
          <w:rFonts w:ascii="Tahoma" w:eastAsia="Calibri" w:hAnsi="Tahoma" w:cs="Tahoma"/>
          <w:b/>
          <w:color w:val="000000"/>
          <w:sz w:val="22"/>
          <w:szCs w:val="22"/>
          <w:lang w:eastAsia="en-US"/>
        </w:rPr>
        <w:t>DESCRIPCIÓN DEL PROYECTO</w:t>
      </w:r>
    </w:p>
    <w:p w:rsidR="002D15F8" w:rsidRPr="002D15F8" w:rsidRDefault="002D15F8" w:rsidP="002D15F8">
      <w:pPr>
        <w:contextualSpacing/>
        <w:jc w:val="both"/>
        <w:rPr>
          <w:rFonts w:ascii="Tahoma" w:eastAsia="Calibri" w:hAnsi="Tahoma" w:cs="Tahoma"/>
          <w:color w:val="000000"/>
          <w:sz w:val="22"/>
          <w:szCs w:val="22"/>
          <w:lang w:eastAsia="en-US"/>
        </w:rPr>
      </w:pPr>
    </w:p>
    <w:p w:rsidR="002D15F8" w:rsidRPr="002D15F8" w:rsidRDefault="002D15F8" w:rsidP="002D15F8">
      <w:pPr>
        <w:spacing w:before="120" w:after="24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Mediante el proyecto de orden sometido a dictamen se pretende aprobar el programa y normativa de deporte escolar para las entidades locales del Territorio Histórico de Álava para la campaña 2020-2021.  En particular, además de facultar al Director del Departamento de Cultura y Deporte para dictar las autorizaciones que sean necesarias para la ejecución de la orden foral y disponer su entrada en vigor al día siguiente de su publicación en el BOTHA, pretende establecer un marco normativo adecuado a través de tres anexos.</w:t>
      </w:r>
    </w:p>
    <w:p w:rsidR="002D15F8" w:rsidRPr="002D15F8" w:rsidRDefault="002D15F8" w:rsidP="002D15F8">
      <w:pPr>
        <w:spacing w:before="120" w:after="24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 xml:space="preserve">El anexo I, bajo el título “Programa de Deporte Escolar del Territorio Histórico de Álava para entidades locales, campaña 2020-2021,  se refiere en su apartado 1 al objeto, en el 2 a la competencia para la elaboración, aprobación y ejecución del programa, en el 3 a categorías y edades incluidas en dicho programa mientras que el 4 y el 5 están dedicados, respectivamente, a sus estructuras participativas y duración.  Posteriormente, el apartado 6 se remite a los anexos II y III para hacer referencia a la normativa aplicable a las actividades deportivas escolares a realizar por los entes locales y al procedimiento de autorización de actividades no incluidas en el citado Programa de Deporte Escolar.  En el apartado 7 se exige la contratación de los seguros necesarios mientras que el 8, 9, 10 y 11 se refieren a la publicación, desarrollo e interpretación del programa así como a los posibles recursos a interponer contra el mismo.   </w:t>
      </w:r>
    </w:p>
    <w:p w:rsidR="002D15F8" w:rsidRPr="002D15F8" w:rsidRDefault="002D15F8" w:rsidP="002D15F8">
      <w:pPr>
        <w:spacing w:before="120" w:after="24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Por último, el apartado 12, bajo la denominación “disposiciones finales”, obliga a las entidades inscritas en el Programa a aceptar las condiciones de carácter general o que se señalen en cada caso, a aceptar la presencia de personas designadas por Diputación para la inspección, seguimiento y comprobación de proyectos aprobados así como a facilitar a dicha Institución, datos y documentación relacionada con las actividades realizadas.  Asimismo, dispone la asunción de todo tipo de responsabilidades por parte de las entidades participantes.</w:t>
      </w:r>
    </w:p>
    <w:p w:rsidR="002D15F8" w:rsidRPr="002D15F8" w:rsidRDefault="002D15F8" w:rsidP="002D15F8">
      <w:pPr>
        <w:spacing w:before="120" w:after="24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 xml:space="preserve">El anexo II, bajo el título “Normativa que regula las actividades deportivas escolares a realizar por las entidades locales dentro de la campaña de deporte escolar 2020-2021”, en su apartado 1 define las entidades beneficiarias, en el 2 las actividades que se </w:t>
      </w:r>
      <w:r w:rsidRPr="002D15F8">
        <w:rPr>
          <w:rFonts w:ascii="Tahoma" w:eastAsiaTheme="minorHAnsi" w:hAnsi="Tahoma" w:cs="Tahoma"/>
          <w:sz w:val="22"/>
          <w:szCs w:val="22"/>
          <w:lang w:eastAsia="en-US"/>
        </w:rPr>
        <w:lastRenderedPageBreak/>
        <w:t>pueden desarrollar, en el 3 su duración, en el 4 las categorías, dedicándose el 5, bajo el título grupos, a exigir la presencia de un monitor-entrenador con una específica titulación, el 6 a los desplazamientos y el 7 a la asunción de responsabilidades.</w:t>
      </w:r>
    </w:p>
    <w:p w:rsidR="002D15F8" w:rsidRPr="002D15F8" w:rsidRDefault="002D15F8" w:rsidP="002D15F8">
      <w:pPr>
        <w:spacing w:before="120" w:after="24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 xml:space="preserve">Por último, el anexo III, bajo el título “Regulación del procedimiento de concesión de autorización para la organización de actividades deportivas escolares no incluidas en el programa escolar de la campaña 2020-2021, organizadas por las entidades locales”, define en su apartado 1 el objeto del citado procedimiento, en el 2 y 3 la presentación de solicitudes y documentación a aportar, refiriéndose el 4 a la resolución.  Además, el apartado 5 atribuye el conocimiento y resolución de las autorizaciones al Jefe del Servicio de Deporte, previendo la posibilidad de someterlas al cumplimiento de determinadas condiciones así como su revocación en caso de incumplimiento de las mismas.  Por último, el número 6 se refiere a posibles competiciones deportivas a realizar sin someterse al procedimiento recogido en este anexo.  </w:t>
      </w:r>
    </w:p>
    <w:p w:rsidR="002D15F8" w:rsidRPr="002D15F8" w:rsidRDefault="002D15F8" w:rsidP="002D15F8">
      <w:pPr>
        <w:spacing w:before="120" w:after="240" w:line="276" w:lineRule="auto"/>
        <w:jc w:val="both"/>
        <w:rPr>
          <w:rFonts w:ascii="Tahoma" w:eastAsiaTheme="minorHAnsi" w:hAnsi="Tahoma" w:cs="Tahoma"/>
          <w:sz w:val="22"/>
          <w:szCs w:val="22"/>
          <w:lang w:eastAsia="en-US"/>
        </w:rPr>
      </w:pPr>
    </w:p>
    <w:p w:rsidR="002D15F8" w:rsidRPr="002D15F8" w:rsidRDefault="002D15F8" w:rsidP="002D15F8">
      <w:pPr>
        <w:numPr>
          <w:ilvl w:val="0"/>
          <w:numId w:val="21"/>
        </w:numPr>
        <w:suppressAutoHyphens/>
        <w:spacing w:after="200" w:line="276" w:lineRule="auto"/>
        <w:contextualSpacing/>
        <w:jc w:val="both"/>
        <w:rPr>
          <w:rFonts w:ascii="Tahoma" w:eastAsia="Calibri" w:hAnsi="Tahoma" w:cs="Tahoma"/>
          <w:b/>
          <w:sz w:val="22"/>
          <w:szCs w:val="22"/>
          <w:lang w:eastAsia="en-US"/>
        </w:rPr>
      </w:pPr>
      <w:r w:rsidRPr="002D15F8">
        <w:rPr>
          <w:rFonts w:ascii="Tahoma" w:eastAsia="Calibri" w:hAnsi="Tahoma" w:cs="Tahoma"/>
          <w:b/>
          <w:sz w:val="22"/>
          <w:szCs w:val="22"/>
          <w:lang w:eastAsia="en-US"/>
        </w:rPr>
        <w:t>ANÁLISIS DEL CONTENIDO DEL PROYECTO.</w:t>
      </w:r>
    </w:p>
    <w:p w:rsidR="002D15F8" w:rsidRPr="002D15F8" w:rsidRDefault="002D15F8" w:rsidP="002D15F8">
      <w:pPr>
        <w:spacing w:after="200" w:line="276" w:lineRule="auto"/>
        <w:jc w:val="both"/>
        <w:rPr>
          <w:rFonts w:ascii="Tahoma" w:eastAsiaTheme="minorHAnsi" w:hAnsi="Tahoma" w:cs="Tahoma"/>
          <w:b/>
          <w:sz w:val="22"/>
          <w:szCs w:val="22"/>
          <w:lang w:eastAsia="en-US"/>
        </w:rPr>
      </w:pPr>
      <w:r w:rsidRPr="002D15F8">
        <w:rPr>
          <w:rFonts w:ascii="Tahoma" w:eastAsiaTheme="minorHAnsi" w:hAnsi="Tahoma" w:cs="Tahoma"/>
          <w:sz w:val="22"/>
          <w:szCs w:val="22"/>
          <w:lang w:eastAsia="en-US"/>
        </w:rPr>
        <w:t>Sin olvidar en ningún momento que, tal y como se ha recogido en las consideraciones jurídicas, la titular del Departamento de Cultura y Deporte carece de competencia para dictar la orden foral sometida a dictamen, se va a proceder a analizar el concreto contenido de la misma.</w:t>
      </w:r>
    </w:p>
    <w:p w:rsidR="002D15F8" w:rsidRPr="002D15F8" w:rsidRDefault="002D15F8" w:rsidP="002D15F8">
      <w:pPr>
        <w:spacing w:after="200" w:line="276" w:lineRule="auto"/>
        <w:jc w:val="both"/>
        <w:rPr>
          <w:rFonts w:ascii="Tahoma" w:eastAsiaTheme="minorHAnsi" w:hAnsi="Tahoma" w:cs="Tahoma"/>
          <w:b/>
          <w:sz w:val="22"/>
          <w:szCs w:val="22"/>
          <w:lang w:eastAsia="en-US"/>
        </w:rPr>
      </w:pPr>
    </w:p>
    <w:p w:rsidR="002D15F8" w:rsidRPr="002D15F8" w:rsidRDefault="002D15F8" w:rsidP="002D15F8">
      <w:pPr>
        <w:spacing w:after="200" w:line="276" w:lineRule="auto"/>
        <w:jc w:val="both"/>
        <w:rPr>
          <w:rFonts w:ascii="Tahoma" w:eastAsiaTheme="minorHAnsi" w:hAnsi="Tahoma" w:cs="Tahoma"/>
          <w:b/>
          <w:sz w:val="22"/>
          <w:szCs w:val="22"/>
          <w:lang w:eastAsia="en-US"/>
        </w:rPr>
      </w:pPr>
      <w:r w:rsidRPr="002D15F8">
        <w:rPr>
          <w:rFonts w:ascii="Tahoma" w:eastAsiaTheme="minorHAnsi" w:hAnsi="Tahoma" w:cs="Tahoma"/>
          <w:b/>
          <w:sz w:val="22"/>
          <w:szCs w:val="22"/>
          <w:lang w:eastAsia="en-US"/>
        </w:rPr>
        <w:t>PARTE EXPOSITIVA</w:t>
      </w: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Tal y como dispone el Anexo IV del Decreto Foral 29/2017, del Consejo de Gobierno de 23 de mayo, la parte expositiva de una disposición ha de explicar el objeto y finalidad de la norma, resumiendo sucintamente su contenido para una mejor comprensión del texto y de las novedades que introduce en la regulación, así como aludir a las competencias y habilitaciones en cuyo ejercicio se dicta.  En este sentido, la parte expositiva de la disposición proyectada establece que ha quedado suficientemente justificada la habilitación del órgano que lo dicta, afirmación con la que no puede estar de acuerdo esta Comisión en base a lo expuesto en el apartado 2 de consideraciones jurídicas de este dictamen.</w:t>
      </w: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 xml:space="preserve">Por otro lado, a la hora de describir el procedimiento de elaboración de la orden foral que nos ocupa, cabe señalar que no aparece correctamente identificada la orden foral de aprobación previa del proyecto. </w:t>
      </w: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Asimismo en dicha parte expositiva se echa en falta una mención a que, conforme a lo establecido en el artículo 23 del Reglamento Orgánico de esta Comisión Consultiva, aprobado por Decreto Foral 40/1999, la orden foral ha sido sometida a su consideración previa y si es conforme o, por el contrario, se separa del dictamen de la Comisión, entendiendo referida la conformidad o disconformidad a las observaciones que puedan ser calificadas de esencial a lo largo del presente dictamen.</w:t>
      </w:r>
    </w:p>
    <w:p w:rsidR="002D15F8" w:rsidRPr="002D15F8" w:rsidRDefault="002D15F8" w:rsidP="002D15F8">
      <w:pPr>
        <w:spacing w:after="200" w:line="276" w:lineRule="auto"/>
        <w:jc w:val="both"/>
        <w:rPr>
          <w:rFonts w:ascii="Tahoma" w:eastAsiaTheme="minorHAnsi" w:hAnsi="Tahoma" w:cs="Tahoma"/>
          <w:sz w:val="22"/>
          <w:szCs w:val="22"/>
          <w:lang w:eastAsia="en-US"/>
        </w:rPr>
      </w:pPr>
    </w:p>
    <w:p w:rsidR="002D15F8" w:rsidRPr="002D15F8" w:rsidRDefault="002D15F8" w:rsidP="002D15F8">
      <w:pPr>
        <w:spacing w:after="200" w:line="276" w:lineRule="auto"/>
        <w:jc w:val="both"/>
        <w:rPr>
          <w:rFonts w:ascii="Tahoma" w:eastAsiaTheme="minorHAnsi" w:hAnsi="Tahoma" w:cs="Tahoma"/>
          <w:b/>
          <w:sz w:val="22"/>
          <w:szCs w:val="22"/>
          <w:lang w:eastAsia="en-US"/>
        </w:rPr>
      </w:pPr>
      <w:r w:rsidRPr="002D15F8">
        <w:rPr>
          <w:rFonts w:ascii="Tahoma" w:eastAsiaTheme="minorHAnsi" w:hAnsi="Tahoma" w:cs="Tahoma"/>
          <w:b/>
          <w:sz w:val="22"/>
          <w:szCs w:val="22"/>
          <w:lang w:eastAsia="en-US"/>
        </w:rPr>
        <w:t>ARTICULADO</w:t>
      </w:r>
    </w:p>
    <w:p w:rsidR="002D15F8" w:rsidRPr="002D15F8" w:rsidRDefault="002D15F8" w:rsidP="002D15F8">
      <w:pPr>
        <w:spacing w:after="200" w:line="276" w:lineRule="auto"/>
        <w:jc w:val="both"/>
        <w:rPr>
          <w:rFonts w:ascii="Tahoma" w:eastAsiaTheme="minorHAnsi" w:hAnsi="Tahoma" w:cs="Tahoma"/>
          <w:b/>
          <w:sz w:val="22"/>
          <w:szCs w:val="22"/>
          <w:lang w:eastAsia="en-US"/>
        </w:rPr>
      </w:pP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La norma en proyecto, como ya hicieran las órdenes forales aprobadas para campañas anteriores, reúne en un único texto, aunque en anexos diferentes, el Programa de Deporte Escolar para entidades locales campaña 2020-2021, su normativa y el procedimiento de concesión de autorizaciones para actividades deportivas no incluidas en el citado Programa.</w:t>
      </w: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 xml:space="preserve">Así, tras aprobar en un artículo único los anexos que se analizarán a continuación, la disposición final primera faculta al Director del Departamento de Cultura y Deporte para dictar las autorizaciones que sean precisas.  Se detecta un error a la hora de identificar dicho órgano habilitado ya que en el Departamento de Cultura y Deporte no existe ninguna Dirección con dicha denominación sino dos, perfectamente diferenciadas, la Dirección de Cultura y la Dirección de Deporte. </w:t>
      </w: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 xml:space="preserve">Por otro lado, la orden foral proyectada contiene una segunda disposición final relativa a la entrada en vigor de la misma que no merece mayor comentario. </w:t>
      </w:r>
    </w:p>
    <w:p w:rsidR="002D15F8" w:rsidRPr="002D15F8" w:rsidRDefault="002D15F8" w:rsidP="002D15F8">
      <w:pPr>
        <w:spacing w:after="200" w:line="276" w:lineRule="auto"/>
        <w:jc w:val="both"/>
        <w:rPr>
          <w:rFonts w:ascii="Tahoma" w:eastAsiaTheme="minorHAnsi" w:hAnsi="Tahoma" w:cs="Tahoma"/>
          <w:sz w:val="22"/>
          <w:szCs w:val="22"/>
          <w:lang w:eastAsia="en-US"/>
        </w:rPr>
      </w:pPr>
    </w:p>
    <w:p w:rsidR="002D15F8" w:rsidRPr="002D15F8" w:rsidRDefault="002D15F8" w:rsidP="002D15F8">
      <w:pPr>
        <w:spacing w:after="200" w:line="276" w:lineRule="auto"/>
        <w:jc w:val="both"/>
        <w:rPr>
          <w:rFonts w:ascii="Tahoma" w:eastAsiaTheme="minorHAnsi" w:hAnsi="Tahoma" w:cs="Tahoma"/>
          <w:sz w:val="22"/>
          <w:szCs w:val="22"/>
          <w:lang w:eastAsia="en-US"/>
        </w:rPr>
      </w:pPr>
    </w:p>
    <w:p w:rsidR="002D15F8" w:rsidRPr="002D15F8" w:rsidRDefault="002D15F8" w:rsidP="002D15F8">
      <w:pPr>
        <w:spacing w:after="200" w:line="276" w:lineRule="auto"/>
        <w:jc w:val="both"/>
        <w:rPr>
          <w:rFonts w:ascii="Tahoma" w:eastAsiaTheme="minorHAnsi" w:hAnsi="Tahoma" w:cs="Tahoma"/>
          <w:b/>
          <w:sz w:val="22"/>
          <w:szCs w:val="22"/>
          <w:lang w:eastAsia="en-US"/>
        </w:rPr>
      </w:pPr>
      <w:r w:rsidRPr="002D15F8">
        <w:rPr>
          <w:rFonts w:ascii="Tahoma" w:eastAsiaTheme="minorHAnsi" w:hAnsi="Tahoma" w:cs="Tahoma"/>
          <w:b/>
          <w:sz w:val="22"/>
          <w:szCs w:val="22"/>
          <w:lang w:eastAsia="en-US"/>
        </w:rPr>
        <w:t>ANEXO I.  PROGRAMA DE DEPORTE ESCOLAR DEL TERRITORIO HISTÓRICO DE ÁLAVA PARA ENTIDADES LOCALES, CAMPAÑA 2020-2021.</w:t>
      </w:r>
    </w:p>
    <w:p w:rsidR="002D15F8" w:rsidRPr="002D15F8" w:rsidRDefault="002D15F8" w:rsidP="002D15F8">
      <w:pPr>
        <w:spacing w:after="200" w:line="276" w:lineRule="auto"/>
        <w:jc w:val="both"/>
        <w:rPr>
          <w:rFonts w:ascii="Tahoma" w:eastAsiaTheme="minorHAnsi" w:hAnsi="Tahoma" w:cs="Tahoma"/>
          <w:b/>
          <w:sz w:val="22"/>
          <w:szCs w:val="22"/>
          <w:lang w:eastAsia="en-US"/>
        </w:rPr>
      </w:pPr>
      <w:r w:rsidRPr="002D15F8">
        <w:rPr>
          <w:rFonts w:ascii="Tahoma" w:eastAsiaTheme="minorHAnsi" w:hAnsi="Tahoma" w:cs="Tahoma"/>
          <w:b/>
          <w:sz w:val="22"/>
          <w:szCs w:val="22"/>
          <w:lang w:eastAsia="en-US"/>
        </w:rPr>
        <w:t>- Parte expositiva:</w:t>
      </w: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Al margen de que en este exposición se indique que corresponde a la Diputación Foral de Álava la elaboración, aprobación y ejecución de programas anuales de deporte escolar, -afirmación del todo discutible tal y como se ha indicado en el apartado 2 de las consideraciones jurídicas-, se apunta que, debido a la pandemia del COVID-19, el desarrollo del programa de deporte escolar estará vinculado a las decisiones que, tanto autoridades sanitarias como desde el sistema educativo, se adopten en relación con el curso escolar.</w:t>
      </w:r>
    </w:p>
    <w:p w:rsidR="002D15F8" w:rsidRPr="002D15F8" w:rsidRDefault="002D15F8" w:rsidP="002D15F8">
      <w:pPr>
        <w:spacing w:after="200" w:line="276" w:lineRule="auto"/>
        <w:jc w:val="both"/>
        <w:rPr>
          <w:rFonts w:ascii="Tahoma" w:eastAsiaTheme="minorHAnsi" w:hAnsi="Tahoma" w:cs="Tahoma"/>
          <w:snapToGrid w:val="0"/>
          <w:sz w:val="22"/>
          <w:szCs w:val="22"/>
          <w:lang w:eastAsia="en-US"/>
        </w:rPr>
      </w:pPr>
      <w:r w:rsidRPr="002D15F8">
        <w:rPr>
          <w:rFonts w:ascii="Tahoma" w:eastAsiaTheme="minorHAnsi" w:hAnsi="Tahoma" w:cs="Tahoma"/>
          <w:snapToGrid w:val="0"/>
          <w:sz w:val="22"/>
          <w:szCs w:val="22"/>
          <w:lang w:eastAsia="en-US"/>
        </w:rPr>
        <w:t>Desde el punto de vista de técnica normativa, merece un comentario particular</w:t>
      </w:r>
      <w:r w:rsidRPr="002D15F8">
        <w:rPr>
          <w:rFonts w:ascii="Tahoma" w:eastAsiaTheme="minorHAnsi" w:hAnsi="Tahoma" w:cs="Tahoma"/>
          <w:sz w:val="22"/>
          <w:szCs w:val="22"/>
          <w:lang w:eastAsia="en-US"/>
        </w:rPr>
        <w:t xml:space="preserve"> la existencia de una parte expositiva en un anexo ya que las directrices de técnica normativa para la elaboración de proyectos de disposiciones de carácter general, aprobadas en el anexo IV del Decreto 29/2017, de 23 de mayo, prevén la posibilidad de establecer un apartado expositivo al inicio de una disposición de carácter general, pero no en sus anexos.  Es más, a la hora de determinar el contenido de los mismos, dichas directrices se refieren a conceptos, reglas, requisitos técnicos, gráficos, relaciones de personas, bienes, lugares, acuerdos o convenios, pero en ningún caso a una parte expositiva de los mismos.  </w:t>
      </w:r>
      <w:r w:rsidRPr="002D15F8">
        <w:rPr>
          <w:rFonts w:ascii="Tahoma" w:eastAsiaTheme="minorHAnsi" w:hAnsi="Tahoma" w:cs="Tahoma"/>
          <w:snapToGrid w:val="0"/>
          <w:sz w:val="22"/>
          <w:szCs w:val="22"/>
          <w:lang w:eastAsia="en-US"/>
        </w:rPr>
        <w:t xml:space="preserve">En consecuencia, se </w:t>
      </w:r>
      <w:r w:rsidRPr="002D15F8">
        <w:rPr>
          <w:rFonts w:ascii="Tahoma" w:eastAsiaTheme="minorHAnsi" w:hAnsi="Tahoma" w:cs="Tahoma"/>
          <w:snapToGrid w:val="0"/>
          <w:sz w:val="22"/>
          <w:szCs w:val="22"/>
          <w:u w:val="single"/>
          <w:lang w:eastAsia="en-US"/>
        </w:rPr>
        <w:t xml:space="preserve">propone suprimir dicha parte </w:t>
      </w:r>
      <w:r w:rsidRPr="002D15F8">
        <w:rPr>
          <w:rFonts w:ascii="Tahoma" w:eastAsiaTheme="minorHAnsi" w:hAnsi="Tahoma" w:cs="Tahoma"/>
          <w:snapToGrid w:val="0"/>
          <w:sz w:val="22"/>
          <w:szCs w:val="22"/>
          <w:u w:val="single"/>
          <w:lang w:eastAsia="en-US"/>
        </w:rPr>
        <w:lastRenderedPageBreak/>
        <w:t xml:space="preserve">explicativa sin perjuicio de trasladar su contenido a la parte expositiva de la orden foral proyectada. </w:t>
      </w:r>
    </w:p>
    <w:p w:rsidR="002D15F8" w:rsidRPr="002D15F8" w:rsidRDefault="002D15F8" w:rsidP="002D15F8">
      <w:pPr>
        <w:spacing w:after="200" w:line="276" w:lineRule="auto"/>
        <w:jc w:val="both"/>
        <w:rPr>
          <w:rFonts w:ascii="Tahoma" w:eastAsiaTheme="minorHAnsi" w:hAnsi="Tahoma" w:cs="Tahoma"/>
          <w:sz w:val="22"/>
          <w:szCs w:val="22"/>
          <w:lang w:eastAsia="en-US"/>
        </w:rPr>
      </w:pP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A continuación, a lo largo de 12 apartados, se definen los aspectos nucleares del citado programa escolar.</w:t>
      </w:r>
    </w:p>
    <w:p w:rsidR="002D15F8" w:rsidRPr="002D15F8" w:rsidRDefault="002D15F8" w:rsidP="002D15F8">
      <w:pPr>
        <w:spacing w:after="200" w:line="276" w:lineRule="auto"/>
        <w:jc w:val="both"/>
        <w:rPr>
          <w:rFonts w:ascii="Tahoma" w:eastAsiaTheme="minorHAnsi" w:hAnsi="Tahoma" w:cs="Tahoma"/>
          <w:b/>
          <w:sz w:val="22"/>
          <w:szCs w:val="22"/>
          <w:lang w:eastAsia="en-US"/>
        </w:rPr>
      </w:pPr>
    </w:p>
    <w:p w:rsidR="002D15F8" w:rsidRPr="002D15F8" w:rsidRDefault="002D15F8" w:rsidP="002D15F8">
      <w:pPr>
        <w:numPr>
          <w:ilvl w:val="0"/>
          <w:numId w:val="22"/>
        </w:numPr>
        <w:suppressAutoHyphens/>
        <w:spacing w:after="200" w:line="276" w:lineRule="auto"/>
        <w:contextualSpacing/>
        <w:jc w:val="both"/>
        <w:rPr>
          <w:rFonts w:ascii="Tahoma" w:eastAsia="Calibri" w:hAnsi="Tahoma" w:cs="Tahoma"/>
          <w:b/>
          <w:sz w:val="22"/>
          <w:szCs w:val="22"/>
          <w:lang w:eastAsia="en-US"/>
        </w:rPr>
      </w:pPr>
      <w:r w:rsidRPr="002D15F8">
        <w:rPr>
          <w:rFonts w:ascii="Tahoma" w:eastAsia="Calibri" w:hAnsi="Tahoma" w:cs="Tahoma"/>
          <w:b/>
          <w:sz w:val="22"/>
          <w:szCs w:val="22"/>
          <w:lang w:eastAsia="en-US"/>
        </w:rPr>
        <w:t xml:space="preserve">1.- Objeto. </w:t>
      </w:r>
    </w:p>
    <w:p w:rsidR="002D15F8" w:rsidRPr="002D15F8" w:rsidRDefault="002D15F8" w:rsidP="002D15F8">
      <w:pPr>
        <w:spacing w:after="200" w:line="276" w:lineRule="auto"/>
        <w:jc w:val="both"/>
        <w:rPr>
          <w:rFonts w:ascii="Tahoma" w:eastAsiaTheme="minorHAnsi" w:hAnsi="Tahoma" w:cs="Tahoma"/>
          <w:sz w:val="22"/>
          <w:szCs w:val="22"/>
          <w:u w:val="single"/>
          <w:lang w:eastAsia="en-US"/>
        </w:rPr>
      </w:pPr>
      <w:r w:rsidRPr="002D15F8">
        <w:rPr>
          <w:rFonts w:ascii="Tahoma" w:eastAsiaTheme="minorHAnsi" w:hAnsi="Tahoma" w:cs="Tahoma"/>
          <w:sz w:val="22"/>
          <w:szCs w:val="22"/>
          <w:lang w:eastAsia="en-US"/>
        </w:rPr>
        <w:t xml:space="preserve">En dicho apartado se traslada la definición de deporte escolar contenida en la Ley 14/1998, de 11 de junio, del Deporte del País Vasco, y se delimita el objeto de la orden foral proyectada.  </w:t>
      </w:r>
    </w:p>
    <w:p w:rsidR="002D15F8" w:rsidRPr="002D15F8" w:rsidRDefault="002D15F8" w:rsidP="002D15F8">
      <w:pPr>
        <w:spacing w:after="200" w:line="276" w:lineRule="auto"/>
        <w:jc w:val="both"/>
        <w:rPr>
          <w:rFonts w:ascii="Tahoma" w:eastAsiaTheme="minorHAnsi" w:hAnsi="Tahoma" w:cs="Tahoma"/>
          <w:sz w:val="22"/>
          <w:szCs w:val="22"/>
          <w:lang w:eastAsia="en-US"/>
        </w:rPr>
      </w:pPr>
    </w:p>
    <w:p w:rsidR="002D15F8" w:rsidRPr="002D15F8" w:rsidRDefault="002D15F8" w:rsidP="002D15F8">
      <w:pPr>
        <w:numPr>
          <w:ilvl w:val="0"/>
          <w:numId w:val="22"/>
        </w:numPr>
        <w:suppressAutoHyphens/>
        <w:spacing w:after="200" w:line="276" w:lineRule="auto"/>
        <w:contextualSpacing/>
        <w:jc w:val="both"/>
        <w:rPr>
          <w:rFonts w:ascii="Tahoma" w:eastAsia="Calibri" w:hAnsi="Tahoma" w:cs="Tahoma"/>
          <w:b/>
          <w:sz w:val="22"/>
          <w:szCs w:val="22"/>
          <w:lang w:eastAsia="en-US"/>
        </w:rPr>
      </w:pPr>
      <w:r w:rsidRPr="002D15F8">
        <w:rPr>
          <w:rFonts w:ascii="Tahoma" w:eastAsia="Calibri" w:hAnsi="Tahoma" w:cs="Tahoma"/>
          <w:b/>
          <w:sz w:val="22"/>
          <w:szCs w:val="22"/>
          <w:lang w:eastAsia="en-US"/>
        </w:rPr>
        <w:t>2.- Competencias.</w:t>
      </w: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 xml:space="preserve">Tras volver a indicar que corresponde a la Diputación la elaboración, aprobación y ejecución de programas anuales de deporte escolar, prevé la posibilidad de que el Departamento de Cultura y Deporte autorice la organización de actividades deportivas no contempladas en el programa de deporte escolar.  </w:t>
      </w: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Sobre ello indicar que tanto la orden foral como sus anexos prevén la posibilidad de autorizar actividades no contempladas en el programa anual y atribuyen la concesión de dichas licencias, aleatoriamente, sin explicación alguna, al Director del Departamento de Cultura y Deporte (disposición final primera de la orden foral), al Departamento de Cultura y Deporte (en este apartado 2 del anexo I y en el apartado 5) o al Jefe del Servicio de Deporte (en el apartado 5 del anexo III).</w:t>
      </w:r>
    </w:p>
    <w:p w:rsidR="002D15F8" w:rsidRPr="002D15F8" w:rsidRDefault="002D15F8" w:rsidP="002D15F8">
      <w:pPr>
        <w:spacing w:after="200" w:line="276" w:lineRule="auto"/>
        <w:jc w:val="both"/>
        <w:rPr>
          <w:rFonts w:ascii="Tahoma" w:eastAsiaTheme="minorHAnsi" w:hAnsi="Tahoma" w:cs="Tahoma"/>
          <w:sz w:val="22"/>
          <w:szCs w:val="22"/>
          <w:lang w:eastAsia="en-US"/>
        </w:rPr>
      </w:pP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Pues bien, al margen de que a lo largo de todo el texto normativo no se hace referencia a la normativa que permite autorizar la celebración de supuestos singulares no contemplados en el programa de actividades de deporte escolar de Álava y que no es otra que el artículo 55.4 de la Ley 14/1998, de 11 de junio, del Deporte del País Vasco, dicho precepto atribuye tal competencia a las Diputaciones Forales.  Combinando esta atribución con el apartado 17 del artículo 40 de la Norma Foral 52/1992, de 18 de diciembre, de Organización, Funcionamiento y Régimen Jurídico de la Diputación Foral de Álava, que asigna a los diputados forales la concesión de licencias, autorizaciones o permisos sobre materias propias de su departamento, resulta evidente que, en principio, la persona competente para autorizar cualquier situación no incluida en el programa de deporte escolar sería la titular del Departamento de Cultura y Deporte.</w:t>
      </w:r>
    </w:p>
    <w:p w:rsidR="002D15F8" w:rsidRPr="002D15F8" w:rsidRDefault="002D15F8" w:rsidP="002D15F8">
      <w:pPr>
        <w:spacing w:after="200" w:line="276" w:lineRule="auto"/>
        <w:jc w:val="both"/>
        <w:rPr>
          <w:rFonts w:ascii="Tahoma" w:eastAsiaTheme="minorHAnsi" w:hAnsi="Tahoma" w:cs="Tahoma"/>
          <w:sz w:val="22"/>
          <w:szCs w:val="22"/>
          <w:lang w:eastAsia="en-US"/>
        </w:rPr>
      </w:pP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 xml:space="preserve">No obstante lo anterior, de acuerdo con lo dispuesto en el artículo 94 de la citada Norma 52/1992, la Diputada de Cultura y Deporte podría delegar en los directores de </w:t>
      </w:r>
      <w:r w:rsidRPr="002D15F8">
        <w:rPr>
          <w:rFonts w:ascii="Tahoma" w:eastAsiaTheme="minorHAnsi" w:hAnsi="Tahoma" w:cs="Tahoma"/>
          <w:sz w:val="22"/>
          <w:szCs w:val="22"/>
          <w:lang w:eastAsia="en-US"/>
        </w:rPr>
        <w:lastRenderedPageBreak/>
        <w:t xml:space="preserve">su Departamento sus atribuciones en torno a la concesión de autorizaciones, lo cual justificaría la habilitación a favor de un director recogida en la disposición final primera de la orden foral propuesta, pero en ningún caso la concesión de licencias por parte del titular de la Jefatura del Servicio de Deporte. </w:t>
      </w:r>
    </w:p>
    <w:p w:rsidR="002D15F8" w:rsidRPr="002D15F8" w:rsidRDefault="002D15F8" w:rsidP="002D15F8">
      <w:pPr>
        <w:spacing w:after="200" w:line="276" w:lineRule="auto"/>
        <w:jc w:val="both"/>
        <w:rPr>
          <w:rFonts w:ascii="Tahoma" w:eastAsiaTheme="minorHAnsi" w:hAnsi="Tahoma" w:cs="Tahoma"/>
          <w:sz w:val="22"/>
          <w:szCs w:val="22"/>
          <w:lang w:eastAsia="en-US"/>
        </w:rPr>
      </w:pPr>
    </w:p>
    <w:p w:rsidR="002D15F8" w:rsidRPr="002D15F8" w:rsidRDefault="002D15F8" w:rsidP="002D15F8">
      <w:pPr>
        <w:spacing w:after="200" w:line="276" w:lineRule="auto"/>
        <w:jc w:val="both"/>
        <w:rPr>
          <w:rFonts w:ascii="Tahoma" w:eastAsiaTheme="minorHAnsi" w:hAnsi="Tahoma" w:cs="Tahoma"/>
          <w:snapToGrid w:val="0"/>
          <w:sz w:val="22"/>
          <w:szCs w:val="22"/>
          <w:lang w:eastAsia="en-US"/>
        </w:rPr>
      </w:pPr>
      <w:r w:rsidRPr="002D15F8">
        <w:rPr>
          <w:rFonts w:ascii="Tahoma" w:eastAsiaTheme="minorHAnsi" w:hAnsi="Tahoma" w:cs="Tahoma"/>
          <w:snapToGrid w:val="0"/>
          <w:sz w:val="22"/>
          <w:szCs w:val="22"/>
          <w:lang w:eastAsia="en-US"/>
        </w:rPr>
        <w:t xml:space="preserve">En consecuencia, en el proyecto normativo sometido a dictamen de esta Comisión, </w:t>
      </w:r>
      <w:r w:rsidRPr="002D15F8">
        <w:rPr>
          <w:rFonts w:ascii="Tahoma" w:eastAsiaTheme="minorHAnsi" w:hAnsi="Tahoma" w:cs="Tahoma"/>
          <w:snapToGrid w:val="0"/>
          <w:sz w:val="22"/>
          <w:szCs w:val="22"/>
          <w:u w:val="single"/>
          <w:lang w:eastAsia="en-US"/>
        </w:rPr>
        <w:t>como observación esencial, debería revisarse la atribución de la competencia para autorizar cualquier situación no incluida en el Programa de Deporte Escolar de Álava para entidades locales al objeto de adecuar las referencias al concreto órgano al que le corresponde tal actuación</w:t>
      </w:r>
      <w:r w:rsidRPr="002D15F8">
        <w:rPr>
          <w:rFonts w:ascii="Tahoma" w:eastAsiaTheme="minorHAnsi" w:hAnsi="Tahoma" w:cs="Tahoma"/>
          <w:snapToGrid w:val="0"/>
          <w:sz w:val="22"/>
          <w:szCs w:val="22"/>
          <w:lang w:eastAsia="en-US"/>
        </w:rPr>
        <w:t xml:space="preserve">.  </w:t>
      </w:r>
    </w:p>
    <w:p w:rsidR="002D15F8" w:rsidRPr="002D15F8" w:rsidRDefault="002D15F8" w:rsidP="002D15F8">
      <w:pPr>
        <w:spacing w:after="200" w:line="276" w:lineRule="auto"/>
        <w:jc w:val="both"/>
        <w:rPr>
          <w:rFonts w:ascii="Tahoma" w:eastAsiaTheme="minorHAnsi" w:hAnsi="Tahoma" w:cs="Tahoma"/>
          <w:sz w:val="22"/>
          <w:szCs w:val="22"/>
          <w:lang w:eastAsia="en-US"/>
        </w:rPr>
      </w:pPr>
    </w:p>
    <w:p w:rsidR="002D15F8" w:rsidRPr="002D15F8" w:rsidRDefault="002D15F8" w:rsidP="002D15F8">
      <w:pPr>
        <w:spacing w:after="200" w:line="276" w:lineRule="auto"/>
        <w:jc w:val="both"/>
        <w:rPr>
          <w:rFonts w:ascii="Tahoma" w:eastAsiaTheme="minorHAnsi" w:hAnsi="Tahoma" w:cs="Tahoma"/>
          <w:sz w:val="22"/>
          <w:szCs w:val="22"/>
          <w:lang w:eastAsia="en-US"/>
        </w:rPr>
      </w:pPr>
    </w:p>
    <w:p w:rsidR="002D15F8" w:rsidRPr="002D15F8" w:rsidRDefault="002D15F8" w:rsidP="002D15F8">
      <w:pPr>
        <w:numPr>
          <w:ilvl w:val="0"/>
          <w:numId w:val="22"/>
        </w:numPr>
        <w:suppressAutoHyphens/>
        <w:spacing w:after="200" w:line="276" w:lineRule="auto"/>
        <w:contextualSpacing/>
        <w:jc w:val="both"/>
        <w:rPr>
          <w:rFonts w:ascii="Tahoma" w:eastAsia="Calibri" w:hAnsi="Tahoma" w:cs="Tahoma"/>
          <w:b/>
          <w:sz w:val="22"/>
          <w:szCs w:val="22"/>
          <w:lang w:eastAsia="en-US"/>
        </w:rPr>
      </w:pPr>
      <w:r w:rsidRPr="002D15F8">
        <w:rPr>
          <w:rFonts w:ascii="Tahoma" w:eastAsia="Calibri" w:hAnsi="Tahoma" w:cs="Tahoma"/>
          <w:b/>
          <w:sz w:val="22"/>
          <w:szCs w:val="22"/>
          <w:lang w:eastAsia="en-US"/>
        </w:rPr>
        <w:t>3.- Categorías y edades.</w:t>
      </w: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 xml:space="preserve">Directamente, sin explicación alguna, se anexa un cuadro con tres campos: categoría, año de nacimiento y curso escolar.  </w:t>
      </w:r>
    </w:p>
    <w:p w:rsidR="002D15F8" w:rsidRPr="002D15F8" w:rsidRDefault="002D15F8" w:rsidP="002D15F8">
      <w:pPr>
        <w:spacing w:after="200" w:line="276" w:lineRule="auto"/>
        <w:jc w:val="both"/>
        <w:rPr>
          <w:rFonts w:ascii="Tahoma" w:eastAsiaTheme="minorHAnsi" w:hAnsi="Tahoma" w:cs="Tahoma"/>
          <w:sz w:val="22"/>
          <w:szCs w:val="22"/>
          <w:lang w:eastAsia="en-US"/>
        </w:rPr>
      </w:pP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u w:val="single"/>
          <w:lang w:eastAsia="en-US"/>
        </w:rPr>
        <w:t>Tal vez resultara oportuno disponer, con carácter previo al cuadro, alguna explicación sobre el citado cuadro</w:t>
      </w:r>
      <w:r w:rsidRPr="002D15F8">
        <w:rPr>
          <w:rFonts w:ascii="Tahoma" w:eastAsiaTheme="minorHAnsi" w:hAnsi="Tahoma" w:cs="Tahoma"/>
          <w:sz w:val="22"/>
          <w:szCs w:val="22"/>
          <w:lang w:eastAsia="en-US"/>
        </w:rPr>
        <w:t xml:space="preserve"> en el sentido de que ésas serán las categorías en las que se desarrollarán las actividades del programa de deporte escolar de Álava. </w:t>
      </w:r>
    </w:p>
    <w:p w:rsidR="002D15F8" w:rsidRPr="002D15F8" w:rsidRDefault="002D15F8" w:rsidP="002D15F8">
      <w:pPr>
        <w:spacing w:after="200" w:line="276" w:lineRule="auto"/>
        <w:jc w:val="both"/>
        <w:rPr>
          <w:rFonts w:ascii="Tahoma" w:eastAsiaTheme="minorHAnsi" w:hAnsi="Tahoma" w:cs="Tahoma"/>
          <w:b/>
          <w:sz w:val="22"/>
          <w:szCs w:val="22"/>
          <w:lang w:eastAsia="en-US"/>
        </w:rPr>
      </w:pPr>
    </w:p>
    <w:p w:rsidR="002D15F8" w:rsidRPr="002D15F8" w:rsidRDefault="002D15F8" w:rsidP="002D15F8">
      <w:pPr>
        <w:numPr>
          <w:ilvl w:val="0"/>
          <w:numId w:val="22"/>
        </w:numPr>
        <w:suppressAutoHyphens/>
        <w:spacing w:after="200" w:line="276" w:lineRule="auto"/>
        <w:contextualSpacing/>
        <w:jc w:val="both"/>
        <w:rPr>
          <w:rFonts w:ascii="Tahoma" w:eastAsia="Calibri" w:hAnsi="Tahoma" w:cs="Tahoma"/>
          <w:b/>
          <w:sz w:val="22"/>
          <w:szCs w:val="22"/>
          <w:lang w:eastAsia="en-US"/>
        </w:rPr>
      </w:pPr>
      <w:r w:rsidRPr="002D15F8">
        <w:rPr>
          <w:rFonts w:ascii="Tahoma" w:eastAsia="Calibri" w:hAnsi="Tahoma" w:cs="Tahoma"/>
          <w:b/>
          <w:sz w:val="22"/>
          <w:szCs w:val="22"/>
          <w:lang w:eastAsia="en-US"/>
        </w:rPr>
        <w:t>4.- Estructuras participativas.</w:t>
      </w: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 xml:space="preserve">Singulariza los entes que pueden participar en el programa de deporte escolar y los circunscribe a entidades locales del Territorio Histórico de Álava o sus órganos de gestión, legalmente constituidos.  </w:t>
      </w:r>
    </w:p>
    <w:p w:rsidR="002D15F8" w:rsidRPr="002D15F8" w:rsidRDefault="002D15F8" w:rsidP="002D15F8">
      <w:pPr>
        <w:spacing w:after="200" w:line="276" w:lineRule="auto"/>
        <w:jc w:val="both"/>
        <w:rPr>
          <w:rFonts w:ascii="Tahoma" w:eastAsiaTheme="minorHAnsi" w:hAnsi="Tahoma" w:cs="Tahoma"/>
          <w:sz w:val="22"/>
          <w:szCs w:val="22"/>
          <w:lang w:eastAsia="en-US"/>
        </w:rPr>
      </w:pPr>
    </w:p>
    <w:p w:rsidR="002D15F8" w:rsidRPr="002D15F8" w:rsidRDefault="002D15F8" w:rsidP="002D15F8">
      <w:pPr>
        <w:numPr>
          <w:ilvl w:val="0"/>
          <w:numId w:val="22"/>
        </w:numPr>
        <w:suppressAutoHyphens/>
        <w:spacing w:after="200" w:line="276" w:lineRule="auto"/>
        <w:contextualSpacing/>
        <w:jc w:val="both"/>
        <w:rPr>
          <w:rFonts w:ascii="Tahoma" w:eastAsia="Calibri" w:hAnsi="Tahoma" w:cs="Tahoma"/>
          <w:b/>
          <w:sz w:val="22"/>
          <w:szCs w:val="22"/>
          <w:lang w:eastAsia="en-US"/>
        </w:rPr>
      </w:pPr>
      <w:r w:rsidRPr="002D15F8">
        <w:rPr>
          <w:rFonts w:ascii="Tahoma" w:eastAsia="Calibri" w:hAnsi="Tahoma" w:cs="Tahoma"/>
          <w:b/>
          <w:sz w:val="22"/>
          <w:szCs w:val="22"/>
          <w:lang w:eastAsia="en-US"/>
        </w:rPr>
        <w:t>5.- Duración del programa.</w:t>
      </w: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 xml:space="preserve">Lógicamente, al tratarse de deporte escolar, establece una duración coincidente con el curso escolar sin perjuicio de la posibilidad de que el Departamento de Cultura y Deporte autorice u organice actividades con fecha de inicio y fin diferentes a las señaladas.  </w:t>
      </w:r>
      <w:r w:rsidRPr="002D15F8">
        <w:rPr>
          <w:rFonts w:ascii="Tahoma" w:eastAsiaTheme="minorHAnsi" w:hAnsi="Tahoma" w:cs="Tahoma"/>
          <w:sz w:val="22"/>
          <w:szCs w:val="22"/>
          <w:u w:val="single"/>
          <w:lang w:eastAsia="en-US"/>
        </w:rPr>
        <w:t>En relación a esta autorización procede una remisión a lo expuesto en el apartado 2, sobre competencias, de este anexo</w:t>
      </w:r>
      <w:r w:rsidRPr="002D15F8">
        <w:rPr>
          <w:rFonts w:ascii="Tahoma" w:eastAsiaTheme="minorHAnsi" w:hAnsi="Tahoma" w:cs="Tahoma"/>
          <w:sz w:val="22"/>
          <w:szCs w:val="22"/>
          <w:lang w:eastAsia="en-US"/>
        </w:rPr>
        <w:t xml:space="preserve">. </w:t>
      </w:r>
    </w:p>
    <w:p w:rsidR="002D15F8" w:rsidRPr="002D15F8" w:rsidRDefault="002D15F8" w:rsidP="002D15F8">
      <w:pPr>
        <w:spacing w:after="200" w:line="276" w:lineRule="auto"/>
        <w:jc w:val="both"/>
        <w:rPr>
          <w:rFonts w:ascii="Tahoma" w:eastAsiaTheme="minorHAnsi" w:hAnsi="Tahoma" w:cs="Tahoma"/>
          <w:sz w:val="22"/>
          <w:szCs w:val="22"/>
          <w:lang w:eastAsia="en-US"/>
        </w:rPr>
      </w:pPr>
    </w:p>
    <w:p w:rsidR="002D15F8" w:rsidRPr="002D15F8" w:rsidRDefault="002D15F8" w:rsidP="002D15F8">
      <w:pPr>
        <w:numPr>
          <w:ilvl w:val="0"/>
          <w:numId w:val="22"/>
        </w:numPr>
        <w:suppressAutoHyphens/>
        <w:spacing w:after="200" w:line="276" w:lineRule="auto"/>
        <w:contextualSpacing/>
        <w:jc w:val="both"/>
        <w:rPr>
          <w:rFonts w:ascii="Tahoma" w:eastAsia="Calibri" w:hAnsi="Tahoma" w:cs="Tahoma"/>
          <w:b/>
          <w:sz w:val="22"/>
          <w:szCs w:val="22"/>
          <w:lang w:eastAsia="en-US"/>
        </w:rPr>
      </w:pPr>
      <w:r w:rsidRPr="002D15F8">
        <w:rPr>
          <w:rFonts w:ascii="Tahoma" w:eastAsia="Calibri" w:hAnsi="Tahoma" w:cs="Tahoma"/>
          <w:b/>
          <w:sz w:val="22"/>
          <w:szCs w:val="22"/>
          <w:lang w:eastAsia="en-US"/>
        </w:rPr>
        <w:t>6.- Normativa de desarrollo del programa de deporte escolar.</w:t>
      </w: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Se remite a la normativa recogida en los anexos II y III de la orden foral analizada.</w:t>
      </w:r>
    </w:p>
    <w:p w:rsidR="002D15F8" w:rsidRDefault="002D15F8" w:rsidP="002D15F8">
      <w:pPr>
        <w:spacing w:after="200" w:line="276" w:lineRule="auto"/>
        <w:jc w:val="both"/>
        <w:rPr>
          <w:rFonts w:ascii="Tahoma" w:eastAsiaTheme="minorHAnsi" w:hAnsi="Tahoma" w:cs="Tahoma"/>
          <w:sz w:val="22"/>
          <w:szCs w:val="22"/>
          <w:lang w:eastAsia="en-US"/>
        </w:rPr>
      </w:pPr>
    </w:p>
    <w:p w:rsidR="002D15F8" w:rsidRPr="002D15F8" w:rsidRDefault="002D15F8" w:rsidP="002D15F8">
      <w:pPr>
        <w:spacing w:after="200" w:line="276" w:lineRule="auto"/>
        <w:jc w:val="both"/>
        <w:rPr>
          <w:rFonts w:ascii="Tahoma" w:eastAsiaTheme="minorHAnsi" w:hAnsi="Tahoma" w:cs="Tahoma"/>
          <w:sz w:val="22"/>
          <w:szCs w:val="22"/>
          <w:lang w:eastAsia="en-US"/>
        </w:rPr>
      </w:pPr>
    </w:p>
    <w:p w:rsidR="002D15F8" w:rsidRPr="002D15F8" w:rsidRDefault="002D15F8" w:rsidP="002D15F8">
      <w:pPr>
        <w:numPr>
          <w:ilvl w:val="0"/>
          <w:numId w:val="22"/>
        </w:numPr>
        <w:suppressAutoHyphens/>
        <w:spacing w:after="200" w:line="276" w:lineRule="auto"/>
        <w:contextualSpacing/>
        <w:jc w:val="both"/>
        <w:rPr>
          <w:rFonts w:ascii="Tahoma" w:eastAsia="Calibri" w:hAnsi="Tahoma" w:cs="Tahoma"/>
          <w:b/>
          <w:sz w:val="22"/>
          <w:szCs w:val="22"/>
          <w:lang w:eastAsia="en-US"/>
        </w:rPr>
      </w:pPr>
      <w:r w:rsidRPr="002D15F8">
        <w:rPr>
          <w:rFonts w:ascii="Tahoma" w:eastAsia="Calibri" w:hAnsi="Tahoma" w:cs="Tahoma"/>
          <w:b/>
          <w:sz w:val="22"/>
          <w:szCs w:val="22"/>
          <w:lang w:eastAsia="en-US"/>
        </w:rPr>
        <w:lastRenderedPageBreak/>
        <w:t>7.- Seguros.</w:t>
      </w: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 xml:space="preserve">Prevé la contratación de seguros por los entes locales así como la comunicación de sus condiciones a los participantes </w:t>
      </w:r>
    </w:p>
    <w:p w:rsidR="002D15F8" w:rsidRPr="002D15F8" w:rsidRDefault="002D15F8" w:rsidP="002D15F8">
      <w:pPr>
        <w:spacing w:after="200" w:line="276" w:lineRule="auto"/>
        <w:jc w:val="both"/>
        <w:rPr>
          <w:rFonts w:ascii="Tahoma" w:eastAsiaTheme="minorHAnsi" w:hAnsi="Tahoma" w:cs="Tahoma"/>
          <w:color w:val="000000"/>
          <w:sz w:val="22"/>
          <w:szCs w:val="22"/>
          <w:lang w:eastAsia="en-US"/>
        </w:rPr>
      </w:pPr>
      <w:r w:rsidRPr="002D15F8">
        <w:rPr>
          <w:rFonts w:ascii="Tahoma" w:eastAsiaTheme="minorHAnsi" w:hAnsi="Tahoma" w:cs="Tahoma"/>
          <w:sz w:val="22"/>
          <w:szCs w:val="22"/>
          <w:lang w:eastAsia="en-US"/>
        </w:rPr>
        <w:t xml:space="preserve">Ahora bien, a la hora de identificar los seguros que debe contratar una entidad local para cubrir posibles contingencias, lo hace de una forma muy genérica e indeterminada al referirse a la necesidad de contar con los suficientes y necesarios seguros que permitan cubrir cualquier tipo de incidencia. Es por ello que </w:t>
      </w:r>
      <w:r w:rsidRPr="002D15F8">
        <w:rPr>
          <w:rFonts w:ascii="Tahoma" w:eastAsiaTheme="minorHAnsi" w:hAnsi="Tahoma" w:cs="Tahoma"/>
          <w:sz w:val="22"/>
          <w:szCs w:val="22"/>
          <w:u w:val="single"/>
          <w:lang w:eastAsia="en-US"/>
        </w:rPr>
        <w:t>se sugiere revisar dicha terminología y tratar de identificar mejor las coberturas de las pólizas de seguro a contratar por los entes locales, tal y como se hace en el programa de deporte escolar para entidades sin ánimo de lucro</w:t>
      </w:r>
    </w:p>
    <w:p w:rsidR="002D15F8" w:rsidRPr="002D15F8" w:rsidRDefault="002D15F8" w:rsidP="002D15F8">
      <w:pPr>
        <w:spacing w:after="200" w:line="276" w:lineRule="auto"/>
        <w:jc w:val="both"/>
        <w:rPr>
          <w:rFonts w:ascii="Tahoma" w:eastAsiaTheme="minorHAnsi" w:hAnsi="Tahoma" w:cs="Tahoma"/>
          <w:b/>
          <w:sz w:val="22"/>
          <w:szCs w:val="22"/>
          <w:u w:val="single"/>
          <w:lang w:eastAsia="en-US"/>
        </w:rPr>
      </w:pPr>
    </w:p>
    <w:p w:rsidR="002D15F8" w:rsidRPr="002D15F8" w:rsidRDefault="002D15F8" w:rsidP="002D15F8">
      <w:pPr>
        <w:numPr>
          <w:ilvl w:val="0"/>
          <w:numId w:val="22"/>
        </w:numPr>
        <w:suppressAutoHyphens/>
        <w:spacing w:after="200" w:line="276" w:lineRule="auto"/>
        <w:contextualSpacing/>
        <w:jc w:val="both"/>
        <w:rPr>
          <w:rFonts w:ascii="Tahoma" w:eastAsia="Calibri" w:hAnsi="Tahoma" w:cs="Tahoma"/>
          <w:b/>
          <w:sz w:val="22"/>
          <w:szCs w:val="22"/>
          <w:lang w:eastAsia="en-US"/>
        </w:rPr>
      </w:pPr>
      <w:r w:rsidRPr="002D15F8">
        <w:rPr>
          <w:rFonts w:ascii="Tahoma" w:eastAsia="Calibri" w:hAnsi="Tahoma" w:cs="Tahoma"/>
          <w:b/>
          <w:sz w:val="22"/>
          <w:szCs w:val="22"/>
          <w:lang w:eastAsia="en-US"/>
        </w:rPr>
        <w:t xml:space="preserve">8.- Publicidad. </w:t>
      </w: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Este apartado dispone la publicación del programa de deporte en el BOTHA, procurándose su máxima difusión.</w:t>
      </w: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 xml:space="preserve">Al margen de que la pretendida publicación de este anexo en el BOTHA es reiterativa ya que la disposición final segunda de la orden foral prevé su publicación en el diario oficial y se entiende que dicha publicación será completa, con anexos incluidos, no queda claro si la máxima difusión que se pretende se entiende obtenida con esa publicación o, si, además, la misma ha de procurarse a través de otros medios.  </w:t>
      </w:r>
      <w:r w:rsidRPr="002D15F8">
        <w:rPr>
          <w:rFonts w:ascii="Tahoma" w:eastAsiaTheme="minorHAnsi" w:hAnsi="Tahoma" w:cs="Tahoma"/>
          <w:sz w:val="22"/>
          <w:szCs w:val="22"/>
          <w:u w:val="single"/>
          <w:lang w:eastAsia="en-US"/>
        </w:rPr>
        <w:t>Por tanto, sería conveniente revisar la redacción de este apartado</w:t>
      </w:r>
      <w:r w:rsidRPr="002D15F8">
        <w:rPr>
          <w:rFonts w:ascii="Tahoma" w:eastAsiaTheme="minorHAnsi" w:hAnsi="Tahoma" w:cs="Tahoma"/>
          <w:sz w:val="22"/>
          <w:szCs w:val="22"/>
          <w:lang w:eastAsia="en-US"/>
        </w:rPr>
        <w:t xml:space="preserve">. </w:t>
      </w:r>
    </w:p>
    <w:p w:rsidR="002D15F8" w:rsidRPr="002D15F8" w:rsidRDefault="002D15F8" w:rsidP="002D15F8">
      <w:pPr>
        <w:spacing w:after="200" w:line="276" w:lineRule="auto"/>
        <w:jc w:val="both"/>
        <w:rPr>
          <w:rFonts w:ascii="Tahoma" w:eastAsiaTheme="minorHAnsi" w:hAnsi="Tahoma" w:cs="Tahoma"/>
          <w:sz w:val="22"/>
          <w:szCs w:val="22"/>
          <w:u w:val="single"/>
          <w:lang w:eastAsia="en-US"/>
        </w:rPr>
      </w:pPr>
    </w:p>
    <w:p w:rsidR="002D15F8" w:rsidRPr="002D15F8" w:rsidRDefault="002D15F8" w:rsidP="002D15F8">
      <w:pPr>
        <w:numPr>
          <w:ilvl w:val="0"/>
          <w:numId w:val="22"/>
        </w:numPr>
        <w:suppressAutoHyphens/>
        <w:spacing w:after="200" w:line="276" w:lineRule="auto"/>
        <w:contextualSpacing/>
        <w:jc w:val="both"/>
        <w:rPr>
          <w:rFonts w:ascii="Tahoma" w:eastAsia="Calibri" w:hAnsi="Tahoma" w:cs="Tahoma"/>
          <w:b/>
          <w:sz w:val="22"/>
          <w:szCs w:val="22"/>
          <w:lang w:eastAsia="en-US"/>
        </w:rPr>
      </w:pPr>
      <w:r w:rsidRPr="002D15F8">
        <w:rPr>
          <w:rFonts w:ascii="Tahoma" w:eastAsia="Calibri" w:hAnsi="Tahoma" w:cs="Tahoma"/>
          <w:b/>
          <w:sz w:val="22"/>
          <w:szCs w:val="22"/>
          <w:lang w:eastAsia="en-US"/>
        </w:rPr>
        <w:t xml:space="preserve">9.- Desarrollo. </w:t>
      </w:r>
    </w:p>
    <w:p w:rsidR="002D15F8" w:rsidRPr="002D15F8" w:rsidRDefault="002D15F8" w:rsidP="002D15F8">
      <w:pPr>
        <w:spacing w:after="200" w:line="276" w:lineRule="auto"/>
        <w:jc w:val="both"/>
        <w:rPr>
          <w:rFonts w:ascii="Tahoma" w:eastAsiaTheme="minorHAnsi" w:hAnsi="Tahoma" w:cs="Tahoma"/>
          <w:sz w:val="22"/>
          <w:szCs w:val="22"/>
          <w:u w:val="single"/>
          <w:lang w:eastAsia="en-US"/>
        </w:rPr>
      </w:pPr>
      <w:r w:rsidRPr="002D15F8">
        <w:rPr>
          <w:rFonts w:ascii="Tahoma" w:eastAsiaTheme="minorHAnsi" w:hAnsi="Tahoma" w:cs="Tahoma"/>
          <w:sz w:val="22"/>
          <w:szCs w:val="22"/>
          <w:lang w:eastAsia="en-US"/>
        </w:rPr>
        <w:t xml:space="preserve">Aparte de resultar indeterminada la previsión de emisión, por parte de la persona titular del Departamento de Cultura y Deporte, de resoluciones para el desarrollo de las diferentes normativas de desarrollo, la misma resulta del todo prescindible ya que, según el apartado 10 del artículo 40 de la Norma Foral 52/1992, de 18 de diciembre, de Organización, Funcionamiento y Régimen Jurídico de la Diputación Foral de Álava, corresponde a los diputados forales dictar los actos o resoluciones administrativas que procedan en materia de su departamento.  </w:t>
      </w:r>
      <w:r w:rsidRPr="002D15F8">
        <w:rPr>
          <w:rFonts w:ascii="Tahoma" w:eastAsiaTheme="minorHAnsi" w:hAnsi="Tahoma" w:cs="Tahoma"/>
          <w:sz w:val="22"/>
          <w:szCs w:val="22"/>
          <w:u w:val="single"/>
          <w:lang w:eastAsia="en-US"/>
        </w:rPr>
        <w:t>Es por ello que se recomienda la supresión de este apartado.</w:t>
      </w:r>
    </w:p>
    <w:p w:rsidR="002D15F8" w:rsidRPr="002D15F8" w:rsidRDefault="002D15F8" w:rsidP="002D15F8">
      <w:pPr>
        <w:spacing w:after="200" w:line="276" w:lineRule="auto"/>
        <w:jc w:val="both"/>
        <w:rPr>
          <w:rFonts w:ascii="Tahoma" w:eastAsiaTheme="minorHAnsi" w:hAnsi="Tahoma" w:cs="Tahoma"/>
          <w:sz w:val="22"/>
          <w:szCs w:val="22"/>
          <w:u w:val="single"/>
          <w:lang w:eastAsia="en-US"/>
        </w:rPr>
      </w:pPr>
    </w:p>
    <w:p w:rsidR="002D15F8" w:rsidRPr="002D15F8" w:rsidRDefault="002D15F8" w:rsidP="002D15F8">
      <w:pPr>
        <w:numPr>
          <w:ilvl w:val="0"/>
          <w:numId w:val="22"/>
        </w:numPr>
        <w:suppressAutoHyphens/>
        <w:spacing w:after="200" w:line="276" w:lineRule="auto"/>
        <w:contextualSpacing/>
        <w:jc w:val="both"/>
        <w:rPr>
          <w:rFonts w:ascii="Tahoma" w:eastAsia="Calibri" w:hAnsi="Tahoma" w:cs="Tahoma"/>
          <w:b/>
          <w:sz w:val="22"/>
          <w:szCs w:val="22"/>
          <w:lang w:eastAsia="en-US"/>
        </w:rPr>
      </w:pPr>
      <w:r w:rsidRPr="002D15F8">
        <w:rPr>
          <w:rFonts w:ascii="Tahoma" w:eastAsia="Calibri" w:hAnsi="Tahoma" w:cs="Tahoma"/>
          <w:b/>
          <w:sz w:val="22"/>
          <w:szCs w:val="22"/>
          <w:lang w:eastAsia="en-US"/>
        </w:rPr>
        <w:t>10.- Interpretación.</w:t>
      </w:r>
    </w:p>
    <w:p w:rsidR="002D15F8" w:rsidRDefault="002D15F8" w:rsidP="002D15F8">
      <w:pPr>
        <w:spacing w:after="200" w:line="276" w:lineRule="auto"/>
        <w:jc w:val="both"/>
        <w:rPr>
          <w:rFonts w:ascii="Tahoma" w:eastAsiaTheme="minorHAnsi" w:hAnsi="Tahoma" w:cs="Tahoma"/>
          <w:sz w:val="22"/>
          <w:szCs w:val="22"/>
          <w:u w:val="single"/>
          <w:lang w:eastAsia="en-US"/>
        </w:rPr>
      </w:pPr>
      <w:r w:rsidRPr="002D15F8">
        <w:rPr>
          <w:rFonts w:ascii="Tahoma" w:eastAsiaTheme="minorHAnsi" w:hAnsi="Tahoma" w:cs="Tahoma"/>
          <w:sz w:val="22"/>
          <w:szCs w:val="22"/>
          <w:lang w:eastAsia="en-US"/>
        </w:rPr>
        <w:t xml:space="preserve">Entre las atribuciones de un diputado foral no se encuentra la de determinar a quién o a qué órgano le corresponde resolver las dudas que puedan surgir en torno a normativa de su departamento por lo que, </w:t>
      </w:r>
      <w:r w:rsidRPr="002D15F8">
        <w:rPr>
          <w:rFonts w:ascii="Tahoma" w:eastAsiaTheme="minorHAnsi" w:hAnsi="Tahoma" w:cs="Tahoma"/>
          <w:sz w:val="22"/>
          <w:szCs w:val="22"/>
          <w:u w:val="single"/>
          <w:lang w:eastAsia="en-US"/>
        </w:rPr>
        <w:t>con carácter esencial, se propone eliminar este apartado.</w:t>
      </w:r>
    </w:p>
    <w:p w:rsidR="002D15F8" w:rsidRPr="002D15F8" w:rsidRDefault="002D15F8" w:rsidP="002D15F8">
      <w:pPr>
        <w:spacing w:after="200" w:line="276" w:lineRule="auto"/>
        <w:jc w:val="both"/>
        <w:rPr>
          <w:rFonts w:ascii="Tahoma" w:eastAsiaTheme="minorHAnsi" w:hAnsi="Tahoma" w:cs="Tahoma"/>
          <w:sz w:val="22"/>
          <w:szCs w:val="22"/>
          <w:lang w:eastAsia="en-US"/>
        </w:rPr>
      </w:pPr>
    </w:p>
    <w:p w:rsidR="002D15F8" w:rsidRPr="002D15F8" w:rsidRDefault="002D15F8" w:rsidP="002D15F8">
      <w:pPr>
        <w:spacing w:after="200" w:line="276" w:lineRule="auto"/>
        <w:jc w:val="both"/>
        <w:rPr>
          <w:rFonts w:ascii="Tahoma" w:eastAsiaTheme="minorHAnsi" w:hAnsi="Tahoma" w:cs="Tahoma"/>
          <w:sz w:val="22"/>
          <w:szCs w:val="22"/>
          <w:lang w:eastAsia="en-US"/>
        </w:rPr>
      </w:pPr>
    </w:p>
    <w:p w:rsidR="002D15F8" w:rsidRDefault="002D15F8" w:rsidP="002D15F8">
      <w:pPr>
        <w:numPr>
          <w:ilvl w:val="0"/>
          <w:numId w:val="22"/>
        </w:numPr>
        <w:suppressAutoHyphens/>
        <w:spacing w:after="200" w:line="276" w:lineRule="auto"/>
        <w:contextualSpacing/>
        <w:jc w:val="both"/>
        <w:rPr>
          <w:rFonts w:ascii="Tahoma" w:eastAsia="Calibri" w:hAnsi="Tahoma" w:cs="Tahoma"/>
          <w:b/>
          <w:sz w:val="22"/>
          <w:szCs w:val="22"/>
          <w:lang w:eastAsia="en-US"/>
        </w:rPr>
      </w:pPr>
      <w:r w:rsidRPr="002D15F8">
        <w:rPr>
          <w:rFonts w:ascii="Tahoma" w:eastAsia="Calibri" w:hAnsi="Tahoma" w:cs="Tahoma"/>
          <w:b/>
          <w:sz w:val="22"/>
          <w:szCs w:val="22"/>
          <w:lang w:eastAsia="en-US"/>
        </w:rPr>
        <w:lastRenderedPageBreak/>
        <w:t xml:space="preserve">11.- Recursos.  </w:t>
      </w:r>
    </w:p>
    <w:p w:rsidR="002D15F8" w:rsidRPr="002D15F8" w:rsidRDefault="002D15F8" w:rsidP="002D15F8">
      <w:pPr>
        <w:suppressAutoHyphens/>
        <w:spacing w:after="200" w:line="276" w:lineRule="auto"/>
        <w:ind w:left="360"/>
        <w:contextualSpacing/>
        <w:jc w:val="both"/>
        <w:rPr>
          <w:rFonts w:ascii="Tahoma" w:eastAsia="Calibri" w:hAnsi="Tahoma" w:cs="Tahoma"/>
          <w:b/>
          <w:sz w:val="22"/>
          <w:szCs w:val="22"/>
          <w:lang w:eastAsia="en-US"/>
        </w:rPr>
      </w:pP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 xml:space="preserve">Se indica que el programa de deporte escolar y los actos administrativos que se deriven de él podrán ser impugnados en los casos y en la forma establecida en la Ley de Régimen Jurídico de las Administraciones Públicas y del Procedimiento Administrativo Común.  </w:t>
      </w: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 xml:space="preserve">En primer lugar, procede señalar que la orden foral proyectada no es una resolución o acto administrativo sino una disposición de carácter general, contra la cual, según el apartado 3 del citado artículo 112 Ley 39/2015, de 1 de octubre, de Régimen Jurídico de las Administraciones Públicas y del Procedimiento Administrativo Común, no cabe recurso en vía administrativa. </w:t>
      </w:r>
    </w:p>
    <w:p w:rsidR="002D15F8" w:rsidRPr="002D15F8" w:rsidRDefault="002D15F8" w:rsidP="002D15F8">
      <w:pPr>
        <w:spacing w:after="200" w:line="276" w:lineRule="auto"/>
        <w:jc w:val="both"/>
        <w:rPr>
          <w:rFonts w:ascii="Tahoma" w:eastAsiaTheme="minorHAnsi" w:hAnsi="Tahoma" w:cs="Tahoma"/>
          <w:sz w:val="22"/>
          <w:szCs w:val="22"/>
          <w:lang w:eastAsia="en-US"/>
        </w:rPr>
      </w:pP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Además, ubicar aquí la advertencia de posible recurso administrativo contra los actos administrativos derivados del programa escolar, tal vez no sea lo más oportuno ya que, de conformidad con lo dispuesto en los artículos 40 y 88 de la Ley 39/2015, es en la notificación y en el contenido de cada uno de los actos administrativos donde deberá expresarse la expresión de los recursos que procedan, en su caso, en vía administrativa y judicial, el órgano ante el que hubieran de presentarse y el plazo para interponerlos.</w:t>
      </w:r>
    </w:p>
    <w:p w:rsidR="002D15F8" w:rsidRPr="002D15F8" w:rsidRDefault="002D15F8" w:rsidP="002D15F8">
      <w:pPr>
        <w:spacing w:after="200" w:line="276" w:lineRule="auto"/>
        <w:jc w:val="both"/>
        <w:rPr>
          <w:rFonts w:ascii="Tahoma" w:eastAsiaTheme="minorHAnsi" w:hAnsi="Tahoma" w:cs="Tahoma"/>
          <w:sz w:val="22"/>
          <w:szCs w:val="22"/>
          <w:u w:val="single"/>
          <w:lang w:eastAsia="en-US"/>
        </w:rPr>
      </w:pPr>
      <w:r w:rsidRPr="002D15F8">
        <w:rPr>
          <w:rFonts w:ascii="Tahoma" w:eastAsiaTheme="minorHAnsi" w:hAnsi="Tahoma" w:cs="Tahoma"/>
          <w:sz w:val="22"/>
          <w:szCs w:val="22"/>
          <w:u w:val="single"/>
          <w:lang w:eastAsia="en-US"/>
        </w:rPr>
        <w:t>Por todo ello, como observación esencial, se sugiere la eliminación de este apartado.</w:t>
      </w:r>
    </w:p>
    <w:p w:rsidR="002D15F8" w:rsidRPr="002D15F8" w:rsidRDefault="002D15F8" w:rsidP="002D15F8">
      <w:pPr>
        <w:spacing w:after="200" w:line="276" w:lineRule="auto"/>
        <w:jc w:val="both"/>
        <w:rPr>
          <w:rFonts w:ascii="Tahoma" w:eastAsiaTheme="minorHAnsi" w:hAnsi="Tahoma" w:cs="Tahoma"/>
          <w:sz w:val="22"/>
          <w:szCs w:val="22"/>
          <w:u w:val="single"/>
          <w:lang w:eastAsia="en-US"/>
        </w:rPr>
      </w:pPr>
    </w:p>
    <w:p w:rsidR="002D15F8" w:rsidRDefault="002D15F8" w:rsidP="002D15F8">
      <w:pPr>
        <w:numPr>
          <w:ilvl w:val="0"/>
          <w:numId w:val="22"/>
        </w:numPr>
        <w:suppressAutoHyphens/>
        <w:spacing w:after="200" w:line="276" w:lineRule="auto"/>
        <w:contextualSpacing/>
        <w:jc w:val="both"/>
        <w:rPr>
          <w:rFonts w:ascii="Tahoma" w:eastAsia="Calibri" w:hAnsi="Tahoma" w:cs="Tahoma"/>
          <w:b/>
          <w:sz w:val="22"/>
          <w:szCs w:val="22"/>
          <w:lang w:eastAsia="en-US"/>
        </w:rPr>
      </w:pPr>
      <w:r w:rsidRPr="002D15F8">
        <w:rPr>
          <w:rFonts w:ascii="Tahoma" w:eastAsia="Calibri" w:hAnsi="Tahoma" w:cs="Tahoma"/>
          <w:b/>
          <w:sz w:val="22"/>
          <w:szCs w:val="22"/>
          <w:lang w:eastAsia="en-US"/>
        </w:rPr>
        <w:t>12.- Disposiciones finales.</w:t>
      </w:r>
    </w:p>
    <w:p w:rsidR="002D15F8" w:rsidRPr="002D15F8" w:rsidRDefault="002D15F8" w:rsidP="002D15F8">
      <w:pPr>
        <w:suppressAutoHyphens/>
        <w:spacing w:after="200" w:line="276" w:lineRule="auto"/>
        <w:ind w:left="360"/>
        <w:contextualSpacing/>
        <w:jc w:val="both"/>
        <w:rPr>
          <w:rFonts w:ascii="Tahoma" w:eastAsia="Calibri" w:hAnsi="Tahoma" w:cs="Tahoma"/>
          <w:b/>
          <w:sz w:val="22"/>
          <w:szCs w:val="22"/>
          <w:lang w:eastAsia="en-US"/>
        </w:rPr>
      </w:pP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Concluye este apartado con la obligada aceptación, por parte de los entes inscritos en el programa de deporte escolar, de las condiciones de carácter general o que se señalen en cada caso, de la presencia de personas designadas para la inspección, seguimiento y comprobación del programa así como de la asunción de responsabilidades de todo tipo que pudieran derivarse de la realización de las actividades.</w:t>
      </w:r>
    </w:p>
    <w:p w:rsid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 xml:space="preserve">De una lectura del anexo I y del contenido del resto de la orden foral proyectada no se pueden llegar a identificar las condiciones de carácter general mencionadas en el punto 1.  Asimismo la indeterminación de las responsabilidades a asumir por los entes locales es absoluta por lo que </w:t>
      </w:r>
      <w:r w:rsidRPr="002D15F8">
        <w:rPr>
          <w:rFonts w:ascii="Tahoma" w:eastAsiaTheme="minorHAnsi" w:hAnsi="Tahoma" w:cs="Tahoma"/>
          <w:sz w:val="22"/>
          <w:szCs w:val="22"/>
          <w:u w:val="single"/>
          <w:lang w:eastAsia="en-US"/>
        </w:rPr>
        <w:t>se propone una mayor concreción en los términos empleados en ambos puntos de estas disposiciones finales</w:t>
      </w:r>
      <w:r w:rsidRPr="002D15F8">
        <w:rPr>
          <w:rFonts w:ascii="Tahoma" w:eastAsiaTheme="minorHAnsi" w:hAnsi="Tahoma" w:cs="Tahoma"/>
          <w:sz w:val="22"/>
          <w:szCs w:val="22"/>
          <w:lang w:eastAsia="en-US"/>
        </w:rPr>
        <w:t>.</w:t>
      </w:r>
    </w:p>
    <w:p w:rsidR="002D15F8" w:rsidRDefault="002D15F8" w:rsidP="002D15F8">
      <w:pPr>
        <w:spacing w:after="200" w:line="276" w:lineRule="auto"/>
        <w:jc w:val="both"/>
        <w:rPr>
          <w:rFonts w:ascii="Tahoma" w:eastAsiaTheme="minorHAnsi" w:hAnsi="Tahoma" w:cs="Tahoma"/>
          <w:sz w:val="22"/>
          <w:szCs w:val="22"/>
          <w:lang w:eastAsia="en-US"/>
        </w:rPr>
      </w:pPr>
    </w:p>
    <w:p w:rsidR="002D15F8" w:rsidRDefault="002D15F8" w:rsidP="002D15F8">
      <w:pPr>
        <w:spacing w:after="200" w:line="276" w:lineRule="auto"/>
        <w:jc w:val="both"/>
        <w:rPr>
          <w:rFonts w:ascii="Tahoma" w:eastAsiaTheme="minorHAnsi" w:hAnsi="Tahoma" w:cs="Tahoma"/>
          <w:sz w:val="22"/>
          <w:szCs w:val="22"/>
          <w:lang w:eastAsia="en-US"/>
        </w:rPr>
      </w:pPr>
    </w:p>
    <w:p w:rsidR="002D15F8" w:rsidRPr="002D15F8" w:rsidRDefault="002D15F8" w:rsidP="002D15F8">
      <w:pPr>
        <w:spacing w:after="200" w:line="276" w:lineRule="auto"/>
        <w:jc w:val="both"/>
        <w:rPr>
          <w:rFonts w:ascii="Tahoma" w:eastAsiaTheme="minorHAnsi" w:hAnsi="Tahoma" w:cs="Tahoma"/>
          <w:sz w:val="22"/>
          <w:szCs w:val="22"/>
          <w:lang w:eastAsia="en-US"/>
        </w:rPr>
      </w:pPr>
    </w:p>
    <w:p w:rsidR="002D15F8" w:rsidRPr="002D15F8" w:rsidRDefault="002D15F8" w:rsidP="002D15F8">
      <w:pPr>
        <w:contextualSpacing/>
        <w:jc w:val="both"/>
        <w:rPr>
          <w:rFonts w:ascii="Tahoma" w:eastAsia="Calibri" w:hAnsi="Tahoma" w:cs="Tahoma"/>
          <w:b/>
          <w:sz w:val="22"/>
          <w:szCs w:val="22"/>
          <w:lang w:eastAsia="en-US"/>
        </w:rPr>
      </w:pPr>
    </w:p>
    <w:p w:rsidR="002D15F8" w:rsidRPr="002D15F8" w:rsidRDefault="002D15F8" w:rsidP="002D15F8">
      <w:pPr>
        <w:spacing w:after="200" w:line="276" w:lineRule="auto"/>
        <w:jc w:val="both"/>
        <w:rPr>
          <w:rFonts w:ascii="Tahoma" w:eastAsiaTheme="minorHAnsi" w:hAnsi="Tahoma" w:cs="Tahoma"/>
          <w:b/>
          <w:sz w:val="22"/>
          <w:szCs w:val="22"/>
          <w:lang w:eastAsia="en-US"/>
        </w:rPr>
      </w:pPr>
      <w:r w:rsidRPr="002D15F8">
        <w:rPr>
          <w:rFonts w:ascii="Tahoma" w:eastAsiaTheme="minorHAnsi" w:hAnsi="Tahoma" w:cs="Tahoma"/>
          <w:b/>
          <w:sz w:val="22"/>
          <w:szCs w:val="22"/>
          <w:lang w:eastAsia="en-US"/>
        </w:rPr>
        <w:lastRenderedPageBreak/>
        <w:t>ANEXO II.  NORMATIVA QUE REGULA LAS ACTIVIDADES ESCOLARES A REALIZAR POR LAS ENTIDADES LOCALES DENTRO DE LA CAMPAÑA DE DEPORTE ESCOLAR 2020-2021.</w:t>
      </w:r>
    </w:p>
    <w:p w:rsidR="002D15F8" w:rsidRPr="002D15F8" w:rsidRDefault="002D15F8" w:rsidP="002D15F8">
      <w:pPr>
        <w:spacing w:after="200" w:line="276" w:lineRule="auto"/>
        <w:jc w:val="both"/>
        <w:rPr>
          <w:rFonts w:ascii="Tahoma" w:eastAsiaTheme="minorHAnsi" w:hAnsi="Tahoma" w:cs="Tahoma"/>
          <w:b/>
          <w:sz w:val="22"/>
          <w:szCs w:val="22"/>
          <w:lang w:eastAsia="en-US"/>
        </w:rPr>
      </w:pPr>
    </w:p>
    <w:p w:rsidR="002D15F8" w:rsidRPr="002D15F8" w:rsidRDefault="002D15F8" w:rsidP="002D15F8">
      <w:pPr>
        <w:numPr>
          <w:ilvl w:val="0"/>
          <w:numId w:val="22"/>
        </w:numPr>
        <w:suppressAutoHyphens/>
        <w:spacing w:after="200" w:line="276" w:lineRule="auto"/>
        <w:contextualSpacing/>
        <w:jc w:val="both"/>
        <w:rPr>
          <w:rFonts w:ascii="Tahoma" w:eastAsia="Calibri" w:hAnsi="Tahoma" w:cs="Tahoma"/>
          <w:b/>
          <w:sz w:val="22"/>
          <w:szCs w:val="22"/>
          <w:lang w:eastAsia="en-US"/>
        </w:rPr>
      </w:pPr>
      <w:r w:rsidRPr="002D15F8">
        <w:rPr>
          <w:rFonts w:ascii="Tahoma" w:eastAsia="Calibri" w:hAnsi="Tahoma" w:cs="Tahoma"/>
          <w:b/>
          <w:sz w:val="22"/>
          <w:szCs w:val="22"/>
          <w:lang w:eastAsia="en-US"/>
        </w:rPr>
        <w:t>1.- Entidades beneficiarias.</w:t>
      </w: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 xml:space="preserve">Repite el contenido recogido en el apartado 4 del anexo I, relativo a estructuras participativas, por lo que cabe una remisión a lo comentado en dicho apartado. </w:t>
      </w:r>
    </w:p>
    <w:p w:rsidR="002D15F8" w:rsidRPr="002D15F8" w:rsidRDefault="002D15F8" w:rsidP="002D15F8">
      <w:pPr>
        <w:spacing w:after="200" w:line="276" w:lineRule="auto"/>
        <w:jc w:val="both"/>
        <w:rPr>
          <w:rFonts w:ascii="Tahoma" w:eastAsiaTheme="minorHAnsi" w:hAnsi="Tahoma" w:cs="Tahoma"/>
          <w:sz w:val="22"/>
          <w:szCs w:val="22"/>
          <w:lang w:eastAsia="en-US"/>
        </w:rPr>
      </w:pPr>
    </w:p>
    <w:p w:rsidR="002D15F8" w:rsidRPr="002D15F8" w:rsidRDefault="002D15F8" w:rsidP="002D15F8">
      <w:pPr>
        <w:numPr>
          <w:ilvl w:val="0"/>
          <w:numId w:val="22"/>
        </w:numPr>
        <w:suppressAutoHyphens/>
        <w:spacing w:after="200" w:line="276" w:lineRule="auto"/>
        <w:contextualSpacing/>
        <w:jc w:val="both"/>
        <w:rPr>
          <w:rFonts w:ascii="Tahoma" w:eastAsia="Calibri" w:hAnsi="Tahoma" w:cs="Tahoma"/>
          <w:b/>
          <w:sz w:val="22"/>
          <w:szCs w:val="22"/>
          <w:lang w:eastAsia="en-US"/>
        </w:rPr>
      </w:pPr>
      <w:r w:rsidRPr="002D15F8">
        <w:rPr>
          <w:rFonts w:ascii="Tahoma" w:eastAsia="Calibri" w:hAnsi="Tahoma" w:cs="Tahoma"/>
          <w:b/>
          <w:sz w:val="22"/>
          <w:szCs w:val="22"/>
          <w:lang w:eastAsia="en-US"/>
        </w:rPr>
        <w:t>2.- Actividades.</w:t>
      </w:r>
    </w:p>
    <w:p w:rsidR="002D15F8" w:rsidRPr="002D15F8" w:rsidRDefault="002D15F8" w:rsidP="002D15F8">
      <w:pPr>
        <w:spacing w:after="200" w:line="276" w:lineRule="auto"/>
        <w:jc w:val="both"/>
        <w:rPr>
          <w:rFonts w:ascii="Tahoma" w:eastAsiaTheme="minorHAnsi" w:hAnsi="Tahoma" w:cs="Tahoma"/>
          <w:sz w:val="22"/>
          <w:szCs w:val="22"/>
          <w:u w:val="single"/>
          <w:lang w:eastAsia="en-US"/>
        </w:rPr>
      </w:pPr>
      <w:r w:rsidRPr="002D15F8">
        <w:rPr>
          <w:rFonts w:ascii="Tahoma" w:eastAsiaTheme="minorHAnsi" w:hAnsi="Tahoma" w:cs="Tahoma"/>
          <w:sz w:val="22"/>
          <w:szCs w:val="22"/>
          <w:lang w:eastAsia="en-US"/>
        </w:rPr>
        <w:t>A la hora de definir las actividades deportivas escolares a realizar por los entes locales, no se establece una lista cerrada de actividades sino que se indica que “</w:t>
      </w:r>
      <w:r w:rsidRPr="002D15F8">
        <w:rPr>
          <w:rFonts w:ascii="Tahoma" w:eastAsiaTheme="minorHAnsi" w:hAnsi="Tahoma" w:cs="Tahoma"/>
          <w:i/>
          <w:sz w:val="22"/>
          <w:szCs w:val="22"/>
          <w:lang w:eastAsia="en-US"/>
        </w:rPr>
        <w:t xml:space="preserve">se podrán realizar, entre otras, actividades como las siguientes”.  </w:t>
      </w:r>
      <w:r w:rsidRPr="002D15F8">
        <w:rPr>
          <w:rFonts w:ascii="Tahoma" w:eastAsiaTheme="minorHAnsi" w:hAnsi="Tahoma" w:cs="Tahoma"/>
          <w:sz w:val="22"/>
          <w:szCs w:val="22"/>
          <w:lang w:eastAsia="en-US"/>
        </w:rPr>
        <w:t xml:space="preserve">Dicha afirmación puede inducir a pensar que están permitidas otro tipo de actividades distintas a las enumeradas en este apartado.  Efectivamente, tal y como se ha visto anteriormente, es posible desarrollar actuaciones no recogidas en el programa escolar, pero no hay que olvidar que esos supuestos singulares no previstos requieren una autorización expresa.  </w:t>
      </w:r>
      <w:r w:rsidRPr="002D15F8">
        <w:rPr>
          <w:rFonts w:ascii="Tahoma" w:eastAsiaTheme="minorHAnsi" w:hAnsi="Tahoma" w:cs="Tahoma"/>
          <w:sz w:val="22"/>
          <w:szCs w:val="22"/>
          <w:u w:val="single"/>
          <w:lang w:eastAsia="en-US"/>
        </w:rPr>
        <w:t>Es por ello que esta redacción puede generar dudas en torno a las actividades que efectivamente tienen encaje, sin necesidad de autorización previa, en el Programa de Deporte Escolar, por lo que se sugiere una revisión de la misma.</w:t>
      </w:r>
    </w:p>
    <w:p w:rsidR="002D15F8" w:rsidRPr="002D15F8" w:rsidRDefault="002D15F8" w:rsidP="002D15F8">
      <w:pPr>
        <w:spacing w:after="200" w:line="276" w:lineRule="auto"/>
        <w:jc w:val="both"/>
        <w:rPr>
          <w:rFonts w:ascii="Tahoma" w:eastAsiaTheme="minorHAnsi" w:hAnsi="Tahoma" w:cs="Tahoma"/>
          <w:sz w:val="22"/>
          <w:szCs w:val="22"/>
          <w:u w:val="single"/>
          <w:lang w:eastAsia="en-US"/>
        </w:rPr>
      </w:pPr>
    </w:p>
    <w:p w:rsidR="002D15F8" w:rsidRPr="002D15F8" w:rsidRDefault="002D15F8" w:rsidP="002D15F8">
      <w:pPr>
        <w:numPr>
          <w:ilvl w:val="0"/>
          <w:numId w:val="22"/>
        </w:numPr>
        <w:suppressAutoHyphens/>
        <w:spacing w:after="200" w:line="276" w:lineRule="auto"/>
        <w:contextualSpacing/>
        <w:jc w:val="both"/>
        <w:rPr>
          <w:rFonts w:ascii="Tahoma" w:eastAsia="Calibri" w:hAnsi="Tahoma" w:cs="Tahoma"/>
          <w:b/>
          <w:sz w:val="22"/>
          <w:szCs w:val="22"/>
          <w:lang w:eastAsia="en-US"/>
        </w:rPr>
      </w:pPr>
      <w:r w:rsidRPr="002D15F8">
        <w:rPr>
          <w:rFonts w:ascii="Tahoma" w:eastAsia="Calibri" w:hAnsi="Tahoma" w:cs="Tahoma"/>
          <w:b/>
          <w:sz w:val="22"/>
          <w:szCs w:val="22"/>
          <w:lang w:eastAsia="en-US"/>
        </w:rPr>
        <w:t>3.- Duración de las actividades.</w:t>
      </w: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 xml:space="preserve">Repite el contenido recogido en el apartado 5 del anexo I, relativo a duración del programa, por lo que cabe una remisión a lo comentado en dicho apartado. </w:t>
      </w:r>
    </w:p>
    <w:p w:rsidR="002D15F8" w:rsidRPr="002D15F8" w:rsidRDefault="002D15F8" w:rsidP="002D15F8">
      <w:pPr>
        <w:spacing w:after="200" w:line="276" w:lineRule="auto"/>
        <w:jc w:val="both"/>
        <w:rPr>
          <w:rFonts w:ascii="Tahoma" w:eastAsiaTheme="minorHAnsi" w:hAnsi="Tahoma" w:cs="Tahoma"/>
          <w:sz w:val="22"/>
          <w:szCs w:val="22"/>
          <w:lang w:eastAsia="en-US"/>
        </w:rPr>
      </w:pPr>
    </w:p>
    <w:p w:rsidR="002D15F8" w:rsidRPr="002D15F8" w:rsidRDefault="002D15F8" w:rsidP="002D15F8">
      <w:pPr>
        <w:numPr>
          <w:ilvl w:val="0"/>
          <w:numId w:val="22"/>
        </w:numPr>
        <w:suppressAutoHyphens/>
        <w:spacing w:after="200" w:line="276" w:lineRule="auto"/>
        <w:contextualSpacing/>
        <w:jc w:val="both"/>
        <w:rPr>
          <w:rFonts w:ascii="Tahoma" w:eastAsia="Calibri" w:hAnsi="Tahoma" w:cs="Tahoma"/>
          <w:b/>
          <w:sz w:val="22"/>
          <w:szCs w:val="22"/>
          <w:lang w:eastAsia="en-US"/>
        </w:rPr>
      </w:pPr>
      <w:r w:rsidRPr="002D15F8">
        <w:rPr>
          <w:rFonts w:ascii="Tahoma" w:eastAsia="Calibri" w:hAnsi="Tahoma" w:cs="Tahoma"/>
          <w:b/>
          <w:sz w:val="22"/>
          <w:szCs w:val="22"/>
          <w:lang w:eastAsia="en-US"/>
        </w:rPr>
        <w:t>4.- Categorías.</w:t>
      </w: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 xml:space="preserve">Repite el contenido recogido en el apartado 3 del anexo I, relativo a categorías y edades, por lo que cabe una remisión a lo comentado en dicho apartado. </w:t>
      </w:r>
    </w:p>
    <w:p w:rsidR="002D15F8" w:rsidRPr="002D15F8" w:rsidRDefault="002D15F8" w:rsidP="002D15F8">
      <w:pPr>
        <w:spacing w:after="200" w:line="276" w:lineRule="auto"/>
        <w:jc w:val="both"/>
        <w:rPr>
          <w:rFonts w:ascii="Tahoma" w:eastAsiaTheme="minorHAnsi" w:hAnsi="Tahoma" w:cs="Tahoma"/>
          <w:sz w:val="22"/>
          <w:szCs w:val="22"/>
          <w:lang w:eastAsia="en-US"/>
        </w:rPr>
      </w:pPr>
    </w:p>
    <w:p w:rsidR="002D15F8" w:rsidRPr="002D15F8" w:rsidRDefault="002D15F8" w:rsidP="002D15F8">
      <w:pPr>
        <w:numPr>
          <w:ilvl w:val="0"/>
          <w:numId w:val="22"/>
        </w:numPr>
        <w:suppressAutoHyphens/>
        <w:spacing w:after="200" w:line="276" w:lineRule="auto"/>
        <w:contextualSpacing/>
        <w:jc w:val="both"/>
        <w:rPr>
          <w:rFonts w:ascii="Tahoma" w:eastAsia="Calibri" w:hAnsi="Tahoma" w:cs="Tahoma"/>
          <w:b/>
          <w:sz w:val="22"/>
          <w:szCs w:val="22"/>
          <w:lang w:eastAsia="en-US"/>
        </w:rPr>
      </w:pPr>
      <w:r w:rsidRPr="002D15F8">
        <w:rPr>
          <w:rFonts w:ascii="Tahoma" w:eastAsia="Calibri" w:hAnsi="Tahoma" w:cs="Tahoma"/>
          <w:b/>
          <w:sz w:val="22"/>
          <w:szCs w:val="22"/>
          <w:lang w:eastAsia="en-US"/>
        </w:rPr>
        <w:t>5.- Grupos.</w:t>
      </w: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 xml:space="preserve">Por un lado, se exige que los grupos cuenten con un monitor-entrenador con titulación deportiva correspondiente, sin especificar nada más. </w:t>
      </w: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Por otro lado, se recomienda que el número de deportistas a su cargo no exceda de 25.</w:t>
      </w:r>
    </w:p>
    <w:p w:rsidR="002D15F8" w:rsidRPr="002D15F8" w:rsidRDefault="002D15F8" w:rsidP="002D15F8">
      <w:pPr>
        <w:spacing w:after="200" w:line="276" w:lineRule="auto"/>
        <w:jc w:val="both"/>
        <w:rPr>
          <w:rFonts w:ascii="Tahoma" w:eastAsiaTheme="minorHAnsi" w:hAnsi="Tahoma" w:cs="Tahoma"/>
          <w:sz w:val="22"/>
          <w:szCs w:val="22"/>
          <w:lang w:eastAsia="en-US"/>
        </w:rPr>
      </w:pPr>
    </w:p>
    <w:p w:rsidR="002D15F8" w:rsidRPr="002D15F8" w:rsidRDefault="002D15F8" w:rsidP="002D15F8">
      <w:pPr>
        <w:numPr>
          <w:ilvl w:val="0"/>
          <w:numId w:val="22"/>
        </w:numPr>
        <w:suppressAutoHyphens/>
        <w:spacing w:after="200" w:line="276" w:lineRule="auto"/>
        <w:contextualSpacing/>
        <w:jc w:val="both"/>
        <w:rPr>
          <w:rFonts w:ascii="Tahoma" w:eastAsia="Calibri" w:hAnsi="Tahoma" w:cs="Tahoma"/>
          <w:b/>
          <w:sz w:val="22"/>
          <w:szCs w:val="22"/>
          <w:lang w:eastAsia="en-US"/>
        </w:rPr>
      </w:pPr>
      <w:r w:rsidRPr="002D15F8">
        <w:rPr>
          <w:rFonts w:ascii="Tahoma" w:eastAsia="Calibri" w:hAnsi="Tahoma" w:cs="Tahoma"/>
          <w:b/>
          <w:sz w:val="22"/>
          <w:szCs w:val="22"/>
          <w:lang w:eastAsia="en-US"/>
        </w:rPr>
        <w:t>6.- Desplazamientos.</w:t>
      </w:r>
    </w:p>
    <w:p w:rsidR="002D15F8" w:rsidRPr="002D15F8" w:rsidRDefault="002D15F8" w:rsidP="002D15F8">
      <w:pPr>
        <w:spacing w:after="200" w:line="276" w:lineRule="auto"/>
        <w:jc w:val="both"/>
        <w:rPr>
          <w:rFonts w:ascii="Tahoma" w:eastAsiaTheme="minorHAnsi" w:hAnsi="Tahoma" w:cs="Tahoma"/>
          <w:b/>
          <w:sz w:val="22"/>
          <w:szCs w:val="22"/>
          <w:lang w:eastAsia="en-US"/>
        </w:rPr>
      </w:pPr>
      <w:r w:rsidRPr="002D15F8">
        <w:rPr>
          <w:rFonts w:ascii="Tahoma" w:eastAsiaTheme="minorHAnsi" w:hAnsi="Tahoma" w:cs="Tahoma"/>
          <w:sz w:val="22"/>
          <w:szCs w:val="22"/>
          <w:lang w:eastAsia="en-US"/>
        </w:rPr>
        <w:t xml:space="preserve">Dicho apartado dispone que el gasto de los desplazamientos por actividades incluidas en el programa de deporte escolar </w:t>
      </w:r>
      <w:proofErr w:type="gramStart"/>
      <w:r w:rsidRPr="002D15F8">
        <w:rPr>
          <w:rFonts w:ascii="Tahoma" w:eastAsiaTheme="minorHAnsi" w:hAnsi="Tahoma" w:cs="Tahoma"/>
          <w:sz w:val="22"/>
          <w:szCs w:val="22"/>
          <w:lang w:eastAsia="en-US"/>
        </w:rPr>
        <w:t>será</w:t>
      </w:r>
      <w:proofErr w:type="gramEnd"/>
      <w:r w:rsidRPr="002D15F8">
        <w:rPr>
          <w:rFonts w:ascii="Tahoma" w:eastAsiaTheme="minorHAnsi" w:hAnsi="Tahoma" w:cs="Tahoma"/>
          <w:sz w:val="22"/>
          <w:szCs w:val="22"/>
          <w:lang w:eastAsia="en-US"/>
        </w:rPr>
        <w:t xml:space="preserve"> por cuenta de las entidades locales </w:t>
      </w:r>
      <w:r w:rsidRPr="002D15F8">
        <w:rPr>
          <w:rFonts w:ascii="Tahoma" w:eastAsiaTheme="minorHAnsi" w:hAnsi="Tahoma" w:cs="Tahoma"/>
          <w:sz w:val="22"/>
          <w:szCs w:val="22"/>
          <w:lang w:eastAsia="en-US"/>
        </w:rPr>
        <w:lastRenderedPageBreak/>
        <w:t>organizadoras, aclarando que dicho importe será tenido en cuenta a la hora del cálculo de la correspondiente subvención.</w:t>
      </w:r>
      <w:r w:rsidRPr="002D15F8">
        <w:rPr>
          <w:rFonts w:ascii="Tahoma" w:eastAsiaTheme="minorHAnsi" w:hAnsi="Tahoma" w:cs="Tahoma"/>
          <w:b/>
          <w:sz w:val="22"/>
          <w:szCs w:val="22"/>
          <w:lang w:eastAsia="en-US"/>
        </w:rPr>
        <w:t xml:space="preserve">  </w:t>
      </w:r>
      <w:r w:rsidRPr="002D15F8">
        <w:rPr>
          <w:rFonts w:ascii="Tahoma" w:eastAsiaTheme="minorHAnsi" w:hAnsi="Tahoma" w:cs="Tahoma"/>
          <w:sz w:val="22"/>
          <w:szCs w:val="22"/>
          <w:u w:val="single"/>
          <w:lang w:eastAsia="en-US"/>
        </w:rPr>
        <w:t>Al respecto tal vez convendría identificar un poco mejor la subvención a la que se refiere</w:t>
      </w:r>
      <w:r w:rsidRPr="002D15F8">
        <w:rPr>
          <w:rFonts w:ascii="Tahoma" w:eastAsiaTheme="minorHAnsi" w:hAnsi="Tahoma" w:cs="Tahoma"/>
          <w:b/>
          <w:sz w:val="22"/>
          <w:szCs w:val="22"/>
          <w:lang w:eastAsia="en-US"/>
        </w:rPr>
        <w:t>.</w:t>
      </w: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 xml:space="preserve">Asimismo, de forma excepcional, contempla la posibilidad de que los desplazamientos de determinadas actividades (natación escolar, </w:t>
      </w:r>
      <w:proofErr w:type="spellStart"/>
      <w:r w:rsidRPr="002D15F8">
        <w:rPr>
          <w:rFonts w:ascii="Tahoma" w:eastAsiaTheme="minorHAnsi" w:hAnsi="Tahoma" w:cs="Tahoma"/>
          <w:sz w:val="22"/>
          <w:szCs w:val="22"/>
          <w:lang w:eastAsia="en-US"/>
        </w:rPr>
        <w:t>topaketak</w:t>
      </w:r>
      <w:proofErr w:type="spellEnd"/>
      <w:r w:rsidRPr="002D15F8">
        <w:rPr>
          <w:rFonts w:ascii="Tahoma" w:eastAsiaTheme="minorHAnsi" w:hAnsi="Tahoma" w:cs="Tahoma"/>
          <w:sz w:val="22"/>
          <w:szCs w:val="22"/>
          <w:lang w:eastAsia="en-US"/>
        </w:rPr>
        <w:t xml:space="preserve"> de </w:t>
      </w:r>
      <w:proofErr w:type="spellStart"/>
      <w:r w:rsidRPr="002D15F8">
        <w:rPr>
          <w:rFonts w:ascii="Tahoma" w:eastAsiaTheme="minorHAnsi" w:hAnsi="Tahoma" w:cs="Tahoma"/>
          <w:sz w:val="22"/>
          <w:szCs w:val="22"/>
          <w:lang w:eastAsia="en-US"/>
        </w:rPr>
        <w:t>herri</w:t>
      </w:r>
      <w:proofErr w:type="spellEnd"/>
      <w:r w:rsidRPr="002D15F8">
        <w:rPr>
          <w:rFonts w:ascii="Tahoma" w:eastAsiaTheme="minorHAnsi" w:hAnsi="Tahoma" w:cs="Tahoma"/>
          <w:sz w:val="22"/>
          <w:szCs w:val="22"/>
          <w:lang w:eastAsia="en-US"/>
        </w:rPr>
        <w:t xml:space="preserve"> </w:t>
      </w:r>
      <w:proofErr w:type="spellStart"/>
      <w:r w:rsidRPr="002D15F8">
        <w:rPr>
          <w:rFonts w:ascii="Tahoma" w:eastAsiaTheme="minorHAnsi" w:hAnsi="Tahoma" w:cs="Tahoma"/>
          <w:sz w:val="22"/>
          <w:szCs w:val="22"/>
          <w:lang w:eastAsia="en-US"/>
        </w:rPr>
        <w:t>eskola</w:t>
      </w:r>
      <w:proofErr w:type="spellEnd"/>
      <w:r w:rsidRPr="002D15F8">
        <w:rPr>
          <w:rFonts w:ascii="Tahoma" w:eastAsiaTheme="minorHAnsi" w:hAnsi="Tahoma" w:cs="Tahoma"/>
          <w:sz w:val="22"/>
          <w:szCs w:val="22"/>
          <w:lang w:eastAsia="en-US"/>
        </w:rPr>
        <w:t xml:space="preserve">/pelota vasca) sean proporcionados por el Servicio de Deporte del Departamento de Cultura y Deporte. </w:t>
      </w:r>
    </w:p>
    <w:p w:rsidR="002D15F8" w:rsidRPr="002D15F8" w:rsidRDefault="002D15F8" w:rsidP="002D15F8">
      <w:pPr>
        <w:spacing w:after="200" w:line="276" w:lineRule="auto"/>
        <w:jc w:val="both"/>
        <w:rPr>
          <w:rFonts w:ascii="Tahoma" w:eastAsiaTheme="minorHAnsi" w:hAnsi="Tahoma" w:cs="Tahoma"/>
          <w:sz w:val="22"/>
          <w:szCs w:val="22"/>
          <w:lang w:eastAsia="en-US"/>
        </w:rPr>
      </w:pPr>
    </w:p>
    <w:p w:rsidR="002D15F8" w:rsidRPr="002D15F8" w:rsidRDefault="002D15F8" w:rsidP="002D15F8">
      <w:pPr>
        <w:spacing w:after="200" w:line="276" w:lineRule="auto"/>
        <w:jc w:val="both"/>
        <w:rPr>
          <w:rFonts w:ascii="Tahoma" w:eastAsiaTheme="minorHAnsi" w:hAnsi="Tahoma" w:cs="Tahoma"/>
          <w:sz w:val="22"/>
          <w:szCs w:val="22"/>
          <w:lang w:eastAsia="en-US"/>
        </w:rPr>
      </w:pPr>
    </w:p>
    <w:p w:rsidR="002D15F8" w:rsidRPr="002D15F8" w:rsidRDefault="002D15F8" w:rsidP="002D15F8">
      <w:pPr>
        <w:numPr>
          <w:ilvl w:val="0"/>
          <w:numId w:val="22"/>
        </w:numPr>
        <w:suppressAutoHyphens/>
        <w:spacing w:after="200" w:line="276" w:lineRule="auto"/>
        <w:contextualSpacing/>
        <w:jc w:val="both"/>
        <w:rPr>
          <w:rFonts w:ascii="Tahoma" w:eastAsia="Calibri" w:hAnsi="Tahoma" w:cs="Tahoma"/>
          <w:b/>
          <w:sz w:val="22"/>
          <w:szCs w:val="22"/>
          <w:lang w:eastAsia="en-US"/>
        </w:rPr>
      </w:pPr>
      <w:r w:rsidRPr="002D15F8">
        <w:rPr>
          <w:rFonts w:ascii="Tahoma" w:eastAsia="Calibri" w:hAnsi="Tahoma" w:cs="Tahoma"/>
          <w:b/>
          <w:sz w:val="22"/>
          <w:szCs w:val="22"/>
          <w:lang w:eastAsia="en-US"/>
        </w:rPr>
        <w:t>7.- Asunción de responsabilidades.</w:t>
      </w:r>
    </w:p>
    <w:p w:rsidR="002D15F8" w:rsidRPr="002D15F8" w:rsidRDefault="002D15F8" w:rsidP="002D15F8">
      <w:pPr>
        <w:spacing w:after="200" w:line="276" w:lineRule="auto"/>
        <w:jc w:val="both"/>
        <w:rPr>
          <w:rFonts w:ascii="Tahoma" w:eastAsiaTheme="minorHAnsi" w:hAnsi="Tahoma" w:cs="Tahoma"/>
          <w:sz w:val="22"/>
          <w:szCs w:val="22"/>
          <w:u w:val="single"/>
          <w:lang w:eastAsia="en-US"/>
        </w:rPr>
      </w:pPr>
      <w:r w:rsidRPr="002D15F8">
        <w:rPr>
          <w:rFonts w:ascii="Tahoma" w:eastAsiaTheme="minorHAnsi" w:hAnsi="Tahoma" w:cs="Tahoma"/>
          <w:sz w:val="22"/>
          <w:szCs w:val="22"/>
          <w:lang w:eastAsia="en-US"/>
        </w:rPr>
        <w:t xml:space="preserve">Concluye este anexo indicando que las entidades beneficiarias de las ayudas deberán asumir todas las responsabilidades que pudieran derivarse de la realización y ejecución de sus competencias.  De una simple lectura de dicho apartado surgen varias dudas en torno las entidades que asumen responsabilidades: la primera, por emplear el término “ayudas” sin haber mencionado ni identificado ayuda alguna previamente; la segunda, al hablar de competencias de forma general, sin concretar las mismas. </w:t>
      </w:r>
      <w:r w:rsidRPr="002D15F8">
        <w:rPr>
          <w:rFonts w:ascii="Tahoma" w:eastAsiaTheme="minorHAnsi" w:hAnsi="Tahoma" w:cs="Tahoma"/>
          <w:sz w:val="22"/>
          <w:szCs w:val="22"/>
          <w:u w:val="single"/>
          <w:lang w:eastAsia="en-US"/>
        </w:rPr>
        <w:t>Se recomienda una mayor concreción de los términos empleados.</w:t>
      </w:r>
    </w:p>
    <w:p w:rsidR="002D15F8" w:rsidRPr="002D15F8" w:rsidRDefault="002D15F8" w:rsidP="002D15F8">
      <w:pPr>
        <w:spacing w:after="200" w:line="276" w:lineRule="auto"/>
        <w:jc w:val="both"/>
        <w:rPr>
          <w:rFonts w:ascii="Tahoma" w:eastAsiaTheme="minorHAnsi" w:hAnsi="Tahoma" w:cs="Tahoma"/>
          <w:sz w:val="22"/>
          <w:szCs w:val="22"/>
          <w:u w:val="single"/>
          <w:lang w:eastAsia="en-US"/>
        </w:rPr>
      </w:pPr>
    </w:p>
    <w:p w:rsid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 xml:space="preserve">A la vista de la reiteración de contenidos de los anexos I y II y de las observaciones realizadas por esta Comisión al analizar los mismos, claramente podría recogerse en un único anexo el contenido de ambos.  </w:t>
      </w:r>
      <w:r w:rsidRPr="002D15F8">
        <w:rPr>
          <w:rFonts w:ascii="Tahoma" w:eastAsiaTheme="minorHAnsi" w:hAnsi="Tahoma" w:cs="Tahoma"/>
          <w:sz w:val="22"/>
          <w:szCs w:val="22"/>
          <w:u w:val="single"/>
          <w:lang w:eastAsia="en-US"/>
        </w:rPr>
        <w:t>En consecuencia, bajo el título “Normativa reguladora del programa de deporte escolar para las entidades locales del Territorio Histórico de Álava”, se propone unificar los dos anexos en uno solo o, mejor aún, incorporar su contenido al texto articulado de la orden foral proyectada por resultar más correcto desde un punto de vista de técnica normativa</w:t>
      </w:r>
      <w:r w:rsidRPr="002D15F8">
        <w:rPr>
          <w:rFonts w:ascii="Tahoma" w:eastAsiaTheme="minorHAnsi" w:hAnsi="Tahoma" w:cs="Tahoma"/>
          <w:sz w:val="22"/>
          <w:szCs w:val="22"/>
          <w:lang w:eastAsia="en-US"/>
        </w:rPr>
        <w:t xml:space="preserve">. </w:t>
      </w:r>
    </w:p>
    <w:p w:rsidR="002D15F8" w:rsidRPr="002D15F8" w:rsidRDefault="002D15F8" w:rsidP="002D15F8">
      <w:pPr>
        <w:spacing w:after="200" w:line="276" w:lineRule="auto"/>
        <w:jc w:val="both"/>
        <w:rPr>
          <w:rFonts w:ascii="Tahoma" w:eastAsiaTheme="minorHAnsi" w:hAnsi="Tahoma" w:cs="Tahoma"/>
          <w:sz w:val="22"/>
          <w:szCs w:val="22"/>
          <w:lang w:eastAsia="en-US"/>
        </w:rPr>
      </w:pPr>
    </w:p>
    <w:p w:rsidR="002D15F8" w:rsidRPr="002D15F8" w:rsidRDefault="002D15F8" w:rsidP="002D15F8">
      <w:pPr>
        <w:spacing w:after="200" w:line="276" w:lineRule="auto"/>
        <w:jc w:val="both"/>
        <w:rPr>
          <w:rFonts w:ascii="Tahoma" w:eastAsiaTheme="minorHAnsi" w:hAnsi="Tahoma" w:cs="Tahoma"/>
          <w:b/>
          <w:sz w:val="22"/>
          <w:szCs w:val="22"/>
          <w:lang w:eastAsia="en-US"/>
        </w:rPr>
      </w:pPr>
      <w:r w:rsidRPr="002D15F8">
        <w:rPr>
          <w:rFonts w:ascii="Tahoma" w:eastAsiaTheme="minorHAnsi" w:hAnsi="Tahoma" w:cs="Tahoma"/>
          <w:b/>
          <w:sz w:val="22"/>
          <w:szCs w:val="22"/>
          <w:lang w:eastAsia="en-US"/>
        </w:rPr>
        <w:t xml:space="preserve">ANEXO III. REGULACIÓN DEL PROCEDIMIENTO DE CONCESIÓN DE AUTORIZACIÓN PARA LA ORGANIZACIÓN DE ACTIVIDADES DEPORTIVAS NO INCLUIDAS EN EL PROGRAMA ESCOLAR DE LA CAMPAÑA 2020-2021, ORGANIZADAS POR LAS ENTIDADES LOCALES. </w:t>
      </w:r>
    </w:p>
    <w:p w:rsidR="002D15F8" w:rsidRPr="002D15F8" w:rsidRDefault="002D15F8" w:rsidP="002D15F8">
      <w:pPr>
        <w:spacing w:after="200" w:line="276" w:lineRule="auto"/>
        <w:jc w:val="both"/>
        <w:rPr>
          <w:rFonts w:ascii="Tahoma" w:eastAsiaTheme="minorHAnsi" w:hAnsi="Tahoma" w:cs="Tahoma"/>
          <w:b/>
          <w:sz w:val="22"/>
          <w:szCs w:val="22"/>
          <w:lang w:eastAsia="en-US"/>
        </w:rPr>
      </w:pPr>
      <w:r w:rsidRPr="002D15F8">
        <w:rPr>
          <w:rFonts w:ascii="Tahoma" w:eastAsiaTheme="minorHAnsi" w:hAnsi="Tahoma" w:cs="Tahoma"/>
          <w:b/>
          <w:sz w:val="22"/>
          <w:szCs w:val="22"/>
          <w:lang w:eastAsia="en-US"/>
        </w:rPr>
        <w:t>- Parte expositiva:</w:t>
      </w: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 xml:space="preserve">En este apartado, tras indicar que corresponde a la Diputación Foral de Álava la elaboración, aprobación y ejecución de programas anuales de deporte escolar, -afirmación del todo discutible tal y como se ha indicado en el apartado 2 de las consideraciones jurídicas-, se indica que los órganos competentes de los territorios históricos podrán autorizar excepcionalmente la organización de actividades deportivas no contempladas en los programas anuales. </w:t>
      </w:r>
    </w:p>
    <w:p w:rsidR="002D15F8" w:rsidRPr="002D15F8" w:rsidRDefault="002D15F8" w:rsidP="002D15F8">
      <w:pPr>
        <w:spacing w:after="200" w:line="276" w:lineRule="auto"/>
        <w:jc w:val="both"/>
        <w:rPr>
          <w:rFonts w:ascii="Tahoma" w:eastAsiaTheme="minorHAnsi" w:hAnsi="Tahoma" w:cs="Tahoma"/>
          <w:snapToGrid w:val="0"/>
          <w:sz w:val="22"/>
          <w:szCs w:val="22"/>
          <w:lang w:eastAsia="en-US"/>
        </w:rPr>
      </w:pPr>
      <w:r w:rsidRPr="002D15F8">
        <w:rPr>
          <w:rFonts w:ascii="Tahoma" w:eastAsiaTheme="minorHAnsi" w:hAnsi="Tahoma" w:cs="Tahoma"/>
          <w:sz w:val="22"/>
          <w:szCs w:val="22"/>
          <w:lang w:eastAsia="en-US"/>
        </w:rPr>
        <w:lastRenderedPageBreak/>
        <w:t xml:space="preserve">Tal y como se ha expuesto al analizar la parte expositiva del anexo I, </w:t>
      </w:r>
      <w:r w:rsidRPr="002D15F8">
        <w:rPr>
          <w:rFonts w:ascii="Tahoma" w:eastAsiaTheme="minorHAnsi" w:hAnsi="Tahoma" w:cs="Tahoma"/>
          <w:snapToGrid w:val="0"/>
          <w:sz w:val="22"/>
          <w:szCs w:val="22"/>
          <w:lang w:eastAsia="en-US"/>
        </w:rPr>
        <w:t>desde el punto de vista de técnica normativa, no procede incluir una parte explicativa en un anexo por lo que</w:t>
      </w:r>
      <w:r w:rsidRPr="002D15F8">
        <w:rPr>
          <w:rFonts w:ascii="Tahoma" w:eastAsiaTheme="minorHAnsi" w:hAnsi="Tahoma" w:cs="Tahoma"/>
          <w:sz w:val="22"/>
          <w:szCs w:val="22"/>
          <w:lang w:eastAsia="en-US"/>
        </w:rPr>
        <w:t xml:space="preserve"> s</w:t>
      </w:r>
      <w:r w:rsidRPr="002D15F8">
        <w:rPr>
          <w:rFonts w:ascii="Tahoma" w:eastAsiaTheme="minorHAnsi" w:hAnsi="Tahoma" w:cs="Tahoma"/>
          <w:snapToGrid w:val="0"/>
          <w:sz w:val="22"/>
          <w:szCs w:val="22"/>
          <w:lang w:eastAsia="en-US"/>
        </w:rPr>
        <w:t xml:space="preserve">e </w:t>
      </w:r>
      <w:r w:rsidRPr="002D15F8">
        <w:rPr>
          <w:rFonts w:ascii="Tahoma" w:eastAsiaTheme="minorHAnsi" w:hAnsi="Tahoma" w:cs="Tahoma"/>
          <w:snapToGrid w:val="0"/>
          <w:sz w:val="22"/>
          <w:szCs w:val="22"/>
          <w:u w:val="single"/>
          <w:lang w:eastAsia="en-US"/>
        </w:rPr>
        <w:t>propone suprimir la misma sin perjuicio de trasladar su contenido a la parte expositiva de la orden foral proyectada</w:t>
      </w:r>
      <w:r w:rsidRPr="002D15F8">
        <w:rPr>
          <w:rFonts w:ascii="Tahoma" w:eastAsiaTheme="minorHAnsi" w:hAnsi="Tahoma" w:cs="Tahoma"/>
          <w:snapToGrid w:val="0"/>
          <w:sz w:val="22"/>
          <w:szCs w:val="22"/>
          <w:lang w:eastAsia="en-US"/>
        </w:rPr>
        <w:t xml:space="preserve">. </w:t>
      </w:r>
    </w:p>
    <w:p w:rsidR="002D15F8" w:rsidRPr="002D15F8" w:rsidRDefault="002D15F8" w:rsidP="002D15F8">
      <w:pPr>
        <w:spacing w:after="200" w:line="276" w:lineRule="auto"/>
        <w:jc w:val="both"/>
        <w:rPr>
          <w:rFonts w:ascii="Tahoma" w:eastAsiaTheme="minorHAnsi" w:hAnsi="Tahoma" w:cs="Tahoma"/>
          <w:b/>
          <w:sz w:val="22"/>
          <w:szCs w:val="22"/>
          <w:lang w:eastAsia="en-US"/>
        </w:rPr>
      </w:pPr>
      <w:r w:rsidRPr="002D15F8">
        <w:rPr>
          <w:rFonts w:ascii="Tahoma" w:eastAsiaTheme="minorHAnsi" w:hAnsi="Tahoma" w:cs="Tahoma"/>
          <w:b/>
          <w:sz w:val="22"/>
          <w:szCs w:val="22"/>
          <w:lang w:eastAsia="en-US"/>
        </w:rPr>
        <w:t>-1. Objeto.</w:t>
      </w: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 xml:space="preserve">Al definir como objeto del anexo III la regulación del procedimiento de concesión de autorizaciones para actividades no incluidas en el programa de la campaña escolar 2020-2021 se incurre en un error ya que habla del objeto de la presente orden foral y ya hemos visto que el objeto de la orden sometida a dictamen de la Comisión no es sólo este procedimiento sino también aprobar el programa de deporte escolar y su normativa.  </w:t>
      </w:r>
      <w:r w:rsidRPr="002D15F8">
        <w:rPr>
          <w:rFonts w:ascii="Tahoma" w:eastAsiaTheme="minorHAnsi" w:hAnsi="Tahoma" w:cs="Tahoma"/>
          <w:sz w:val="22"/>
          <w:szCs w:val="22"/>
          <w:u w:val="single"/>
          <w:lang w:eastAsia="en-US"/>
        </w:rPr>
        <w:t>Se sugiere revisar dicha errata.</w:t>
      </w:r>
    </w:p>
    <w:p w:rsidR="002D15F8" w:rsidRPr="002D15F8" w:rsidRDefault="002D15F8" w:rsidP="002D15F8">
      <w:pPr>
        <w:spacing w:after="200" w:line="276" w:lineRule="auto"/>
        <w:jc w:val="both"/>
        <w:rPr>
          <w:rFonts w:ascii="Tahoma" w:eastAsiaTheme="minorHAnsi" w:hAnsi="Tahoma" w:cs="Tahoma"/>
          <w:b/>
          <w:sz w:val="22"/>
          <w:szCs w:val="22"/>
          <w:lang w:eastAsia="en-US"/>
        </w:rPr>
      </w:pPr>
      <w:r w:rsidRPr="002D15F8">
        <w:rPr>
          <w:rFonts w:ascii="Tahoma" w:eastAsiaTheme="minorHAnsi" w:hAnsi="Tahoma" w:cs="Tahoma"/>
          <w:b/>
          <w:sz w:val="22"/>
          <w:szCs w:val="22"/>
          <w:lang w:eastAsia="en-US"/>
        </w:rPr>
        <w:t>-2.- Solicitudes.</w:t>
      </w: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Dicho apartado prevé la presentación de las solicitudes en el Servicio de Deporte de la Diputación con una antelación mínima de un mes.</w:t>
      </w:r>
    </w:p>
    <w:p w:rsidR="002D15F8" w:rsidRPr="002D15F8" w:rsidRDefault="002D15F8" w:rsidP="002D15F8">
      <w:pPr>
        <w:spacing w:after="200" w:line="276" w:lineRule="auto"/>
        <w:jc w:val="both"/>
        <w:rPr>
          <w:rFonts w:ascii="Tahoma" w:eastAsiaTheme="minorHAnsi" w:hAnsi="Tahoma" w:cs="Tahoma"/>
          <w:b/>
          <w:sz w:val="22"/>
          <w:szCs w:val="22"/>
          <w:lang w:eastAsia="en-US"/>
        </w:rPr>
      </w:pPr>
      <w:r w:rsidRPr="002D15F8">
        <w:rPr>
          <w:rFonts w:ascii="Tahoma" w:eastAsiaTheme="minorHAnsi" w:hAnsi="Tahoma" w:cs="Tahoma"/>
          <w:b/>
          <w:sz w:val="22"/>
          <w:szCs w:val="22"/>
          <w:lang w:eastAsia="en-US"/>
        </w:rPr>
        <w:t xml:space="preserve">-3.- </w:t>
      </w:r>
      <w:proofErr w:type="spellStart"/>
      <w:r w:rsidRPr="002D15F8">
        <w:rPr>
          <w:rFonts w:ascii="Tahoma" w:eastAsiaTheme="minorHAnsi" w:hAnsi="Tahoma" w:cs="Tahoma"/>
          <w:b/>
          <w:sz w:val="22"/>
          <w:szCs w:val="22"/>
          <w:lang w:eastAsia="en-US"/>
        </w:rPr>
        <w:t>Documentacion</w:t>
      </w:r>
      <w:proofErr w:type="spellEnd"/>
      <w:r w:rsidRPr="002D15F8">
        <w:rPr>
          <w:rFonts w:ascii="Tahoma" w:eastAsiaTheme="minorHAnsi" w:hAnsi="Tahoma" w:cs="Tahoma"/>
          <w:b/>
          <w:sz w:val="22"/>
          <w:szCs w:val="22"/>
          <w:lang w:eastAsia="en-US"/>
        </w:rPr>
        <w:t>.</w:t>
      </w: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Se limita a enumerar la documentación a aportar junto con la solicitud.</w:t>
      </w:r>
    </w:p>
    <w:p w:rsidR="002D15F8" w:rsidRPr="002D15F8" w:rsidRDefault="002D15F8" w:rsidP="002D15F8">
      <w:pPr>
        <w:spacing w:after="200" w:line="276" w:lineRule="auto"/>
        <w:jc w:val="both"/>
        <w:rPr>
          <w:rFonts w:ascii="Tahoma" w:eastAsiaTheme="minorHAnsi" w:hAnsi="Tahoma" w:cs="Tahoma"/>
          <w:b/>
          <w:sz w:val="22"/>
          <w:szCs w:val="22"/>
          <w:lang w:eastAsia="en-US"/>
        </w:rPr>
      </w:pPr>
      <w:r w:rsidRPr="002D15F8">
        <w:rPr>
          <w:rFonts w:ascii="Tahoma" w:eastAsiaTheme="minorHAnsi" w:hAnsi="Tahoma" w:cs="Tahoma"/>
          <w:b/>
          <w:sz w:val="22"/>
          <w:szCs w:val="22"/>
          <w:lang w:eastAsia="en-US"/>
        </w:rPr>
        <w:t>-4. Resolución.</w:t>
      </w:r>
    </w:p>
    <w:p w:rsidR="002D15F8" w:rsidRPr="002D15F8" w:rsidRDefault="002D15F8" w:rsidP="002D15F8">
      <w:pPr>
        <w:spacing w:after="200" w:line="276" w:lineRule="auto"/>
        <w:jc w:val="both"/>
        <w:rPr>
          <w:rFonts w:ascii="Tahoma" w:eastAsiaTheme="minorHAnsi" w:hAnsi="Tahoma" w:cs="Tahoma"/>
          <w:sz w:val="22"/>
          <w:szCs w:val="22"/>
          <w:u w:val="single"/>
          <w:lang w:eastAsia="en-US"/>
        </w:rPr>
      </w:pPr>
      <w:r w:rsidRPr="002D15F8">
        <w:rPr>
          <w:rFonts w:ascii="Tahoma" w:eastAsiaTheme="minorHAnsi" w:hAnsi="Tahoma" w:cs="Tahoma"/>
          <w:sz w:val="22"/>
          <w:szCs w:val="22"/>
          <w:lang w:eastAsia="en-US"/>
        </w:rPr>
        <w:t xml:space="preserve">Tras prever la regla general de silencio positivo en las solicitudes de autorización, regula cómo actuar en caso de detectar deficiencias u omisiones en una solicitud.  Al respecto indicar que la subsanación y mejora de solicitudes de un procedimiento administrativo no se regula en la fase de resolución sino en la de inicio.  </w:t>
      </w:r>
      <w:r w:rsidRPr="002D15F8">
        <w:rPr>
          <w:rFonts w:ascii="Tahoma" w:eastAsiaTheme="minorHAnsi" w:hAnsi="Tahoma" w:cs="Tahoma"/>
          <w:sz w:val="22"/>
          <w:szCs w:val="22"/>
          <w:u w:val="single"/>
          <w:lang w:eastAsia="en-US"/>
        </w:rPr>
        <w:t>Por ello, resulta procedente recoger esta previsión no en este apartado sino en el número 2.</w:t>
      </w:r>
    </w:p>
    <w:p w:rsidR="002D15F8" w:rsidRPr="002D15F8" w:rsidRDefault="002D15F8" w:rsidP="002D15F8">
      <w:pPr>
        <w:spacing w:after="200" w:line="276" w:lineRule="auto"/>
        <w:jc w:val="both"/>
        <w:rPr>
          <w:rFonts w:ascii="Tahoma" w:eastAsiaTheme="minorHAnsi" w:hAnsi="Tahoma" w:cs="Tahoma"/>
          <w:b/>
          <w:sz w:val="22"/>
          <w:szCs w:val="22"/>
          <w:lang w:eastAsia="en-US"/>
        </w:rPr>
      </w:pPr>
      <w:r w:rsidRPr="002D15F8">
        <w:rPr>
          <w:rFonts w:ascii="Tahoma" w:eastAsiaTheme="minorHAnsi" w:hAnsi="Tahoma" w:cs="Tahoma"/>
          <w:b/>
          <w:sz w:val="22"/>
          <w:szCs w:val="22"/>
          <w:lang w:eastAsia="en-US"/>
        </w:rPr>
        <w:t xml:space="preserve"> -5. Autorizaciones.</w:t>
      </w: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 xml:space="preserve">En este apartado se atribuye el conocimiento y resolución de las autorizaciones al Jefe del Servicio de Deporte, previendo la posibilidad de someterlas al cumplimiento de determinadas condiciones así como su revocación en caso de incumplimiento de las mismas.  </w:t>
      </w: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 xml:space="preserve">En este apartado </w:t>
      </w:r>
      <w:r w:rsidRPr="002D15F8">
        <w:rPr>
          <w:rFonts w:ascii="Tahoma" w:eastAsiaTheme="minorHAnsi" w:hAnsi="Tahoma" w:cs="Tahoma"/>
          <w:sz w:val="22"/>
          <w:szCs w:val="22"/>
          <w:u w:val="single"/>
          <w:lang w:eastAsia="en-US"/>
        </w:rPr>
        <w:t>conviene recordar de la advertencia realizada en el análisis del apartado 2 del anexo I sobre la falta de competencia del Jefe del Servicio de Deporte para resolver este procedimiento</w:t>
      </w:r>
      <w:r w:rsidRPr="002D15F8">
        <w:rPr>
          <w:rFonts w:ascii="Tahoma" w:eastAsiaTheme="minorHAnsi" w:hAnsi="Tahoma" w:cs="Tahoma"/>
          <w:sz w:val="22"/>
          <w:szCs w:val="22"/>
          <w:lang w:eastAsia="en-US"/>
        </w:rPr>
        <w:t>.</w:t>
      </w:r>
    </w:p>
    <w:p w:rsidR="002D15F8" w:rsidRPr="002D15F8" w:rsidRDefault="002D15F8" w:rsidP="002D15F8">
      <w:pPr>
        <w:spacing w:after="200" w:line="276" w:lineRule="auto"/>
        <w:jc w:val="both"/>
        <w:rPr>
          <w:rFonts w:ascii="Tahoma" w:eastAsiaTheme="minorHAnsi" w:hAnsi="Tahoma" w:cs="Tahoma"/>
          <w:b/>
          <w:sz w:val="22"/>
          <w:szCs w:val="22"/>
          <w:lang w:eastAsia="en-US"/>
        </w:rPr>
      </w:pPr>
      <w:r w:rsidRPr="002D15F8">
        <w:rPr>
          <w:rFonts w:ascii="Tahoma" w:eastAsiaTheme="minorHAnsi" w:hAnsi="Tahoma" w:cs="Tahoma"/>
          <w:b/>
          <w:sz w:val="22"/>
          <w:szCs w:val="22"/>
          <w:lang w:eastAsia="en-US"/>
        </w:rPr>
        <w:t>-6. Incumplimiento.</w:t>
      </w: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sz w:val="22"/>
          <w:szCs w:val="22"/>
          <w:lang w:eastAsia="en-US"/>
        </w:rPr>
        <w:t>Se determina la actuación del Director de Deporte en caso de tener conocimiento de la realización de actividades deportivas sin someterse al procedimiento recogido en este anexo, distinguiendo dos posibles situaciones: suspensión de actividades en curso o prohibición si no se han iniciado.</w:t>
      </w:r>
    </w:p>
    <w:p w:rsidR="002D15F8" w:rsidRPr="002D15F8" w:rsidRDefault="002D15F8" w:rsidP="002D15F8">
      <w:pPr>
        <w:spacing w:after="200" w:line="276" w:lineRule="auto"/>
        <w:jc w:val="both"/>
        <w:rPr>
          <w:rFonts w:ascii="Tahoma" w:eastAsiaTheme="minorHAnsi" w:hAnsi="Tahoma" w:cs="Tahoma"/>
          <w:sz w:val="22"/>
          <w:szCs w:val="22"/>
          <w:lang w:eastAsia="en-US"/>
        </w:rPr>
      </w:pPr>
    </w:p>
    <w:p w:rsidR="002D15F8" w:rsidRPr="002D15F8" w:rsidRDefault="002D15F8" w:rsidP="002D15F8">
      <w:pPr>
        <w:spacing w:after="200" w:line="276" w:lineRule="auto"/>
        <w:jc w:val="both"/>
        <w:rPr>
          <w:rFonts w:ascii="Tahoma" w:eastAsiaTheme="minorHAnsi" w:hAnsi="Tahoma" w:cs="Tahoma"/>
          <w:snapToGrid w:val="0"/>
          <w:sz w:val="22"/>
          <w:szCs w:val="22"/>
          <w:u w:val="single"/>
          <w:lang w:eastAsia="en-US"/>
        </w:rPr>
      </w:pPr>
      <w:r w:rsidRPr="002D15F8">
        <w:rPr>
          <w:rFonts w:ascii="Tahoma" w:eastAsiaTheme="minorHAnsi" w:hAnsi="Tahoma" w:cs="Tahoma"/>
          <w:sz w:val="22"/>
          <w:szCs w:val="22"/>
          <w:lang w:eastAsia="en-US"/>
        </w:rPr>
        <w:lastRenderedPageBreak/>
        <w:t xml:space="preserve">Al respecto indicar que si bien en la campaña escolar para entidades sin ánimo de lucro se prevé la posibilidad de consentir en caso de no haberse iniciado la actividad, en el caso que nos ocupa de campaña para entidades locales sólo cabe la prohibición.   Tal vez resultara oportuno </w:t>
      </w:r>
      <w:r w:rsidRPr="002D15F8">
        <w:rPr>
          <w:rFonts w:ascii="Tahoma" w:eastAsiaTheme="minorHAnsi" w:hAnsi="Tahoma" w:cs="Tahoma"/>
          <w:snapToGrid w:val="0"/>
          <w:sz w:val="22"/>
          <w:szCs w:val="22"/>
          <w:u w:val="single"/>
          <w:lang w:eastAsia="en-US"/>
        </w:rPr>
        <w:t xml:space="preserve">revisar esta actuación al objeto de articular una misma respuesta en ambos casos. </w:t>
      </w:r>
    </w:p>
    <w:p w:rsidR="002D15F8" w:rsidRPr="002D15F8" w:rsidRDefault="002D15F8" w:rsidP="002D15F8">
      <w:pPr>
        <w:spacing w:after="200" w:line="276" w:lineRule="auto"/>
        <w:jc w:val="both"/>
        <w:rPr>
          <w:rFonts w:ascii="Tahoma" w:eastAsiaTheme="minorHAnsi" w:hAnsi="Tahoma" w:cs="Tahoma"/>
          <w:sz w:val="22"/>
          <w:szCs w:val="22"/>
          <w:lang w:eastAsia="en-US"/>
        </w:rPr>
      </w:pPr>
    </w:p>
    <w:p w:rsidR="002D15F8" w:rsidRPr="002D15F8" w:rsidRDefault="002D15F8" w:rsidP="002D15F8">
      <w:pPr>
        <w:spacing w:after="200" w:line="276" w:lineRule="auto"/>
        <w:jc w:val="both"/>
        <w:rPr>
          <w:rFonts w:ascii="Tahoma" w:eastAsiaTheme="minorHAnsi" w:hAnsi="Tahoma" w:cs="Tahoma"/>
          <w:snapToGrid w:val="0"/>
          <w:sz w:val="22"/>
          <w:szCs w:val="22"/>
          <w:lang w:eastAsia="en-US"/>
        </w:rPr>
      </w:pPr>
      <w:r w:rsidRPr="002D15F8">
        <w:rPr>
          <w:rFonts w:ascii="Tahoma" w:eastAsiaTheme="minorHAnsi" w:hAnsi="Tahoma" w:cs="Tahoma"/>
          <w:sz w:val="22"/>
          <w:szCs w:val="22"/>
          <w:lang w:eastAsia="en-US"/>
        </w:rPr>
        <w:t xml:space="preserve">Por último, señalar que la delegación al Director recogida en la disposición final segunda de la orden foral está circunscrita a las autorizaciones que sean necesarias para la ejecución de dicha orden, nada más, por lo que las actuaciones atribuidas al Director en este apartado para los casos en los que se prescinda del procedimiento de este anexo III carecen de habilitación.  Más concretamente, de conformidad con el artículo 40.10 de la Norma Foral 52/1992 que atribuye a los diputados forales la emisión de resoluciones administrativas en materia de su competencia, la intervención en caso de incumplimiento del procedimiento recogido en este anexo III le corresponde a la persona titular del Departamento de Cultura y Deporte.  </w:t>
      </w:r>
      <w:r w:rsidRPr="002D15F8">
        <w:rPr>
          <w:rFonts w:ascii="Tahoma" w:eastAsiaTheme="minorHAnsi" w:hAnsi="Tahoma" w:cs="Tahoma"/>
          <w:snapToGrid w:val="0"/>
          <w:sz w:val="22"/>
          <w:szCs w:val="22"/>
          <w:u w:val="single"/>
          <w:lang w:eastAsia="en-US"/>
        </w:rPr>
        <w:t>Por tanto, con carácter esencial, es conveniente revisar esta atribución competencial al Director de Deporte.</w:t>
      </w:r>
      <w:r w:rsidRPr="002D15F8">
        <w:rPr>
          <w:rFonts w:ascii="Tahoma" w:eastAsiaTheme="minorHAnsi" w:hAnsi="Tahoma" w:cs="Tahoma"/>
          <w:snapToGrid w:val="0"/>
          <w:sz w:val="22"/>
          <w:szCs w:val="22"/>
          <w:lang w:eastAsia="en-US"/>
        </w:rPr>
        <w:t xml:space="preserve"> </w:t>
      </w:r>
    </w:p>
    <w:p w:rsidR="002D15F8" w:rsidRPr="002D15F8" w:rsidRDefault="002D15F8" w:rsidP="002D15F8">
      <w:pPr>
        <w:spacing w:after="200" w:line="276" w:lineRule="auto"/>
        <w:jc w:val="both"/>
        <w:rPr>
          <w:rFonts w:ascii="Tahoma" w:eastAsiaTheme="minorHAnsi" w:hAnsi="Tahoma" w:cs="Tahoma"/>
          <w:snapToGrid w:val="0"/>
          <w:sz w:val="22"/>
          <w:szCs w:val="22"/>
          <w:lang w:eastAsia="en-US"/>
        </w:rPr>
      </w:pPr>
      <w:r w:rsidRPr="002D15F8">
        <w:rPr>
          <w:rFonts w:ascii="Tahoma" w:eastAsiaTheme="minorHAnsi" w:hAnsi="Tahoma" w:cs="Tahoma"/>
          <w:snapToGrid w:val="0"/>
          <w:sz w:val="22"/>
          <w:szCs w:val="22"/>
          <w:lang w:eastAsia="en-US"/>
        </w:rPr>
        <w:t xml:space="preserve">Analizadas las órdenes forales reguladoras de campañas anteriores de programa de deporte escolar, se detecta que el contenido del anexo III tiene vocación de permanencia ya que es siempre el mismo.  A la vista de ello, una vez aprobada el proyecto de norma foral sobre el deporte que se está tramitando en las Juntas Generales de Álava, por razones de seguridad jurídica, tal vez debería estudiarse la pertinencia de aprobar separadamente, tal y como han hecho </w:t>
      </w:r>
      <w:proofErr w:type="spellStart"/>
      <w:r w:rsidRPr="002D15F8">
        <w:rPr>
          <w:rFonts w:ascii="Tahoma" w:eastAsiaTheme="minorHAnsi" w:hAnsi="Tahoma" w:cs="Tahoma"/>
          <w:snapToGrid w:val="0"/>
          <w:sz w:val="22"/>
          <w:szCs w:val="22"/>
          <w:lang w:eastAsia="en-US"/>
        </w:rPr>
        <w:t>Bizkaia</w:t>
      </w:r>
      <w:proofErr w:type="spellEnd"/>
      <w:r w:rsidRPr="002D15F8">
        <w:rPr>
          <w:rFonts w:ascii="Tahoma" w:eastAsiaTheme="minorHAnsi" w:hAnsi="Tahoma" w:cs="Tahoma"/>
          <w:snapToGrid w:val="0"/>
          <w:sz w:val="22"/>
          <w:szCs w:val="22"/>
          <w:lang w:eastAsia="en-US"/>
        </w:rPr>
        <w:t xml:space="preserve"> y </w:t>
      </w:r>
      <w:proofErr w:type="spellStart"/>
      <w:r w:rsidRPr="002D15F8">
        <w:rPr>
          <w:rFonts w:ascii="Tahoma" w:eastAsiaTheme="minorHAnsi" w:hAnsi="Tahoma" w:cs="Tahoma"/>
          <w:snapToGrid w:val="0"/>
          <w:sz w:val="22"/>
          <w:szCs w:val="22"/>
          <w:lang w:eastAsia="en-US"/>
        </w:rPr>
        <w:t>Gipuzkoa</w:t>
      </w:r>
      <w:proofErr w:type="spellEnd"/>
      <w:r w:rsidRPr="002D15F8">
        <w:rPr>
          <w:rFonts w:ascii="Tahoma" w:eastAsiaTheme="minorHAnsi" w:hAnsi="Tahoma" w:cs="Tahoma"/>
          <w:snapToGrid w:val="0"/>
          <w:sz w:val="22"/>
          <w:szCs w:val="22"/>
          <w:lang w:eastAsia="en-US"/>
        </w:rPr>
        <w:t xml:space="preserve">, un proyecto de disposición general que abordara la regulación general y con vigencia indefinida del procedimiento de concesión de autorizaciones para la realización de actividades no contempladas en el Programa de Deporte Escolar. </w:t>
      </w:r>
    </w:p>
    <w:p w:rsidR="002D15F8" w:rsidRPr="002D15F8" w:rsidRDefault="002D15F8" w:rsidP="002D15F8">
      <w:pPr>
        <w:spacing w:after="200" w:line="276" w:lineRule="auto"/>
        <w:jc w:val="both"/>
        <w:rPr>
          <w:rFonts w:ascii="Tahoma" w:eastAsiaTheme="minorHAnsi" w:hAnsi="Tahoma" w:cs="Tahoma"/>
          <w:b/>
          <w:sz w:val="22"/>
          <w:szCs w:val="22"/>
          <w:lang w:eastAsia="en-US"/>
        </w:rPr>
      </w:pPr>
      <w:r w:rsidRPr="002D15F8">
        <w:rPr>
          <w:rFonts w:ascii="Tahoma" w:eastAsiaTheme="minorHAnsi" w:hAnsi="Tahoma" w:cs="Tahoma"/>
          <w:b/>
          <w:sz w:val="22"/>
          <w:szCs w:val="22"/>
          <w:lang w:eastAsia="en-US"/>
        </w:rPr>
        <w:t>CONCLUSIONES</w:t>
      </w:r>
    </w:p>
    <w:p w:rsidR="002D15F8" w:rsidRPr="002D15F8" w:rsidRDefault="002D15F8" w:rsidP="002D15F8">
      <w:pPr>
        <w:spacing w:after="200" w:line="276" w:lineRule="auto"/>
        <w:jc w:val="both"/>
        <w:rPr>
          <w:rFonts w:ascii="Tahoma" w:eastAsiaTheme="minorHAnsi" w:hAnsi="Tahoma" w:cs="Tahoma"/>
          <w:sz w:val="22"/>
          <w:szCs w:val="22"/>
          <w:lang w:eastAsia="en-US"/>
        </w:rPr>
      </w:pPr>
      <w:bookmarkStart w:id="0" w:name="_GoBack"/>
      <w:bookmarkEnd w:id="0"/>
      <w:r w:rsidRPr="002D15F8">
        <w:rPr>
          <w:rFonts w:ascii="Tahoma" w:eastAsiaTheme="minorHAnsi" w:hAnsi="Tahoma" w:cs="Tahoma"/>
          <w:b/>
          <w:sz w:val="22"/>
          <w:szCs w:val="22"/>
          <w:lang w:eastAsia="en-US"/>
        </w:rPr>
        <w:t>Primera.-</w:t>
      </w:r>
      <w:r w:rsidRPr="002D15F8">
        <w:rPr>
          <w:rFonts w:ascii="Tahoma" w:eastAsiaTheme="minorHAnsi" w:hAnsi="Tahoma" w:cs="Tahoma"/>
          <w:sz w:val="22"/>
          <w:szCs w:val="22"/>
          <w:lang w:eastAsia="en-US"/>
        </w:rPr>
        <w:t xml:space="preserve"> El proyecto de orden foral debe ser objeto de dictamen de la Comisión Consultiva de la Administración Foral de Álava.</w:t>
      </w:r>
    </w:p>
    <w:p w:rsidR="002D15F8" w:rsidRPr="002D15F8" w:rsidRDefault="002D15F8" w:rsidP="002D15F8">
      <w:pPr>
        <w:spacing w:after="200" w:line="276" w:lineRule="auto"/>
        <w:jc w:val="both"/>
        <w:rPr>
          <w:rFonts w:ascii="Tahoma" w:eastAsiaTheme="minorHAnsi" w:hAnsi="Tahoma" w:cs="Tahoma"/>
          <w:sz w:val="22"/>
          <w:szCs w:val="22"/>
          <w:lang w:eastAsia="en-US"/>
        </w:rPr>
      </w:pPr>
      <w:r w:rsidRPr="002D15F8">
        <w:rPr>
          <w:rFonts w:ascii="Tahoma" w:eastAsiaTheme="minorHAnsi" w:hAnsi="Tahoma" w:cs="Tahoma"/>
          <w:b/>
          <w:sz w:val="22"/>
          <w:szCs w:val="22"/>
          <w:lang w:eastAsia="en-US"/>
        </w:rPr>
        <w:t>Segunda.-</w:t>
      </w:r>
      <w:r w:rsidRPr="002D15F8">
        <w:rPr>
          <w:rFonts w:ascii="Tahoma" w:eastAsiaTheme="minorHAnsi" w:hAnsi="Tahoma" w:cs="Tahoma"/>
          <w:sz w:val="22"/>
          <w:szCs w:val="22"/>
          <w:lang w:eastAsia="en-US"/>
        </w:rPr>
        <w:t xml:space="preserve"> En relación con las cuestiones competenciales, no procede, por insuficiencia de rango del instrumento normativo remitido, aprobar el proyecto de orden foral de aprobación del programa de deporte escolar para las entidades locales del Territorio Histórico de Álava y de la normativa que lo regula para la campaña 2020-2021</w:t>
      </w:r>
    </w:p>
    <w:p w:rsidR="002D15F8" w:rsidRPr="002D15F8" w:rsidRDefault="002D15F8" w:rsidP="002D15F8">
      <w:pPr>
        <w:spacing w:before="120" w:after="240" w:line="276" w:lineRule="auto"/>
        <w:jc w:val="both"/>
        <w:rPr>
          <w:rFonts w:asciiTheme="minorHAnsi" w:eastAsiaTheme="minorHAnsi" w:hAnsiTheme="minorHAnsi" w:cstheme="minorBidi"/>
          <w:sz w:val="24"/>
          <w:szCs w:val="24"/>
          <w:lang w:eastAsia="en-US"/>
        </w:rPr>
      </w:pPr>
      <w:r w:rsidRPr="002D15F8">
        <w:rPr>
          <w:rFonts w:ascii="Tahoma" w:eastAsiaTheme="minorHAnsi" w:hAnsi="Tahoma" w:cs="Tahoma"/>
          <w:b/>
          <w:sz w:val="22"/>
          <w:szCs w:val="22"/>
          <w:lang w:eastAsia="en-US"/>
        </w:rPr>
        <w:t>Tercera.-</w:t>
      </w:r>
      <w:r w:rsidRPr="002D15F8">
        <w:rPr>
          <w:rFonts w:ascii="Tahoma" w:eastAsiaTheme="minorHAnsi" w:hAnsi="Tahoma" w:cs="Tahoma"/>
          <w:sz w:val="22"/>
          <w:szCs w:val="22"/>
          <w:lang w:eastAsia="en-US"/>
        </w:rPr>
        <w:t xml:space="preserve"> Sin perjuicio de lo dispuesto en la anterior conclusión, en relación con los contenidos relativos al fondo, se han realizado en el apartado IV una serie de observaciones, habiendo siendo calificadas algunas de ellas de esenciales</w:t>
      </w:r>
      <w:r w:rsidRPr="002D15F8">
        <w:rPr>
          <w:rFonts w:asciiTheme="minorHAnsi" w:eastAsiaTheme="minorHAnsi" w:hAnsiTheme="minorHAnsi" w:cstheme="minorBidi"/>
          <w:sz w:val="24"/>
          <w:szCs w:val="24"/>
          <w:lang w:eastAsia="en-US"/>
        </w:rPr>
        <w:t xml:space="preserve">. </w:t>
      </w:r>
    </w:p>
    <w:p w:rsidR="001142FD" w:rsidRDefault="001142FD" w:rsidP="00E81FAD">
      <w:pPr>
        <w:pStyle w:val="Prrafodelista"/>
        <w:spacing w:after="0" w:line="240" w:lineRule="auto"/>
        <w:ind w:left="0"/>
        <w:contextualSpacing w:val="0"/>
        <w:jc w:val="both"/>
        <w:rPr>
          <w:rFonts w:ascii="Arial" w:hAnsi="Arial" w:cs="Arial"/>
          <w:b/>
          <w:sz w:val="24"/>
          <w:szCs w:val="24"/>
          <w:highlight w:val="yellow"/>
          <w:u w:val="single"/>
        </w:rPr>
      </w:pPr>
    </w:p>
    <w:sectPr w:rsidR="001142FD">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B91E9C"/>
    <w:multiLevelType w:val="hybridMultilevel"/>
    <w:tmpl w:val="B69AC43A"/>
    <w:lvl w:ilvl="0" w:tplc="10A6F2D0">
      <w:numFmt w:val="bullet"/>
      <w:lvlText w:val="-"/>
      <w:lvlJc w:val="left"/>
      <w:pPr>
        <w:ind w:left="720" w:hanging="360"/>
      </w:pPr>
      <w:rPr>
        <w:rFonts w:ascii="Times New Roman" w:eastAsia="Calibr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F3E7A97"/>
    <w:multiLevelType w:val="hybridMultilevel"/>
    <w:tmpl w:val="2C60DD5C"/>
    <w:lvl w:ilvl="0" w:tplc="19541EFC">
      <w:start w:val="1"/>
      <w:numFmt w:val="lowerLetter"/>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
    <w:nsid w:val="16FF7869"/>
    <w:multiLevelType w:val="hybridMultilevel"/>
    <w:tmpl w:val="D8D2686A"/>
    <w:lvl w:ilvl="0" w:tplc="20DCF55E">
      <w:start w:val="7"/>
      <w:numFmt w:val="bullet"/>
      <w:lvlText w:val="-"/>
      <w:lvlJc w:val="left"/>
      <w:pPr>
        <w:ind w:left="720" w:hanging="360"/>
      </w:pPr>
      <w:rPr>
        <w:rFonts w:ascii="Times New Roman" w:eastAsia="Times New Roman"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nsid w:val="1C1202FC"/>
    <w:multiLevelType w:val="hybridMultilevel"/>
    <w:tmpl w:val="8B7A6008"/>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nsid w:val="21D051C4"/>
    <w:multiLevelType w:val="hybridMultilevel"/>
    <w:tmpl w:val="3B546302"/>
    <w:lvl w:ilvl="0" w:tplc="A816EF4C">
      <w:start w:val="1"/>
      <w:numFmt w:val="upperRoman"/>
      <w:lvlText w:val="%1."/>
      <w:lvlJc w:val="left"/>
      <w:pPr>
        <w:ind w:left="720" w:hanging="72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nsid w:val="21F901FA"/>
    <w:multiLevelType w:val="hybridMultilevel"/>
    <w:tmpl w:val="4AB0B8F2"/>
    <w:lvl w:ilvl="0" w:tplc="C1E02B3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225720C5"/>
    <w:multiLevelType w:val="hybridMultilevel"/>
    <w:tmpl w:val="84647EC0"/>
    <w:lvl w:ilvl="0" w:tplc="0C0A0017">
      <w:start w:val="1"/>
      <w:numFmt w:val="lowerLetter"/>
      <w:lvlText w:val="%1)"/>
      <w:lvlJc w:val="left"/>
      <w:pPr>
        <w:ind w:left="360" w:hanging="360"/>
      </w:pPr>
      <w:rPr>
        <w:rFonts w:hint="default"/>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26FF47D6"/>
    <w:multiLevelType w:val="hybridMultilevel"/>
    <w:tmpl w:val="5460485E"/>
    <w:lvl w:ilvl="0" w:tplc="EAB0FCFE">
      <w:start w:val="1"/>
      <w:numFmt w:val="bullet"/>
      <w:lvlText w:val=""/>
      <w:lvlJc w:val="left"/>
      <w:pPr>
        <w:ind w:left="1287" w:hanging="360"/>
      </w:pPr>
      <w:rPr>
        <w:rFonts w:ascii="Symbol" w:hAnsi="Symbol" w:hint="default"/>
      </w:rPr>
    </w:lvl>
    <w:lvl w:ilvl="1" w:tplc="0C0A0003" w:tentative="1">
      <w:start w:val="1"/>
      <w:numFmt w:val="bullet"/>
      <w:lvlText w:val="o"/>
      <w:lvlJc w:val="left"/>
      <w:pPr>
        <w:ind w:left="2007" w:hanging="360"/>
      </w:pPr>
      <w:rPr>
        <w:rFonts w:ascii="Courier New" w:hAnsi="Courier New" w:cs="Courier New" w:hint="default"/>
      </w:rPr>
    </w:lvl>
    <w:lvl w:ilvl="2" w:tplc="0C0A0005" w:tentative="1">
      <w:start w:val="1"/>
      <w:numFmt w:val="bullet"/>
      <w:lvlText w:val=""/>
      <w:lvlJc w:val="left"/>
      <w:pPr>
        <w:ind w:left="2727" w:hanging="360"/>
      </w:pPr>
      <w:rPr>
        <w:rFonts w:ascii="Wingdings" w:hAnsi="Wingdings" w:hint="default"/>
      </w:rPr>
    </w:lvl>
    <w:lvl w:ilvl="3" w:tplc="0C0A0001" w:tentative="1">
      <w:start w:val="1"/>
      <w:numFmt w:val="bullet"/>
      <w:lvlText w:val=""/>
      <w:lvlJc w:val="left"/>
      <w:pPr>
        <w:ind w:left="3447" w:hanging="360"/>
      </w:pPr>
      <w:rPr>
        <w:rFonts w:ascii="Symbol" w:hAnsi="Symbol" w:hint="default"/>
      </w:rPr>
    </w:lvl>
    <w:lvl w:ilvl="4" w:tplc="0C0A0003" w:tentative="1">
      <w:start w:val="1"/>
      <w:numFmt w:val="bullet"/>
      <w:lvlText w:val="o"/>
      <w:lvlJc w:val="left"/>
      <w:pPr>
        <w:ind w:left="4167" w:hanging="360"/>
      </w:pPr>
      <w:rPr>
        <w:rFonts w:ascii="Courier New" w:hAnsi="Courier New" w:cs="Courier New" w:hint="default"/>
      </w:rPr>
    </w:lvl>
    <w:lvl w:ilvl="5" w:tplc="0C0A0005" w:tentative="1">
      <w:start w:val="1"/>
      <w:numFmt w:val="bullet"/>
      <w:lvlText w:val=""/>
      <w:lvlJc w:val="left"/>
      <w:pPr>
        <w:ind w:left="4887" w:hanging="360"/>
      </w:pPr>
      <w:rPr>
        <w:rFonts w:ascii="Wingdings" w:hAnsi="Wingdings" w:hint="default"/>
      </w:rPr>
    </w:lvl>
    <w:lvl w:ilvl="6" w:tplc="0C0A0001" w:tentative="1">
      <w:start w:val="1"/>
      <w:numFmt w:val="bullet"/>
      <w:lvlText w:val=""/>
      <w:lvlJc w:val="left"/>
      <w:pPr>
        <w:ind w:left="5607" w:hanging="360"/>
      </w:pPr>
      <w:rPr>
        <w:rFonts w:ascii="Symbol" w:hAnsi="Symbol" w:hint="default"/>
      </w:rPr>
    </w:lvl>
    <w:lvl w:ilvl="7" w:tplc="0C0A0003" w:tentative="1">
      <w:start w:val="1"/>
      <w:numFmt w:val="bullet"/>
      <w:lvlText w:val="o"/>
      <w:lvlJc w:val="left"/>
      <w:pPr>
        <w:ind w:left="6327" w:hanging="360"/>
      </w:pPr>
      <w:rPr>
        <w:rFonts w:ascii="Courier New" w:hAnsi="Courier New" w:cs="Courier New" w:hint="default"/>
      </w:rPr>
    </w:lvl>
    <w:lvl w:ilvl="8" w:tplc="0C0A0005" w:tentative="1">
      <w:start w:val="1"/>
      <w:numFmt w:val="bullet"/>
      <w:lvlText w:val=""/>
      <w:lvlJc w:val="left"/>
      <w:pPr>
        <w:ind w:left="7047" w:hanging="360"/>
      </w:pPr>
      <w:rPr>
        <w:rFonts w:ascii="Wingdings" w:hAnsi="Wingdings" w:hint="default"/>
      </w:rPr>
    </w:lvl>
  </w:abstractNum>
  <w:abstractNum w:abstractNumId="8">
    <w:nsid w:val="29554B72"/>
    <w:multiLevelType w:val="multilevel"/>
    <w:tmpl w:val="B5040D90"/>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2A99719A"/>
    <w:multiLevelType w:val="multilevel"/>
    <w:tmpl w:val="D88AB558"/>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36981FDC"/>
    <w:multiLevelType w:val="hybridMultilevel"/>
    <w:tmpl w:val="6114A56E"/>
    <w:lvl w:ilvl="0" w:tplc="B9BE2082">
      <w:start w:val="1"/>
      <w:numFmt w:val="lowerLetter"/>
      <w:lvlText w:val="%1)"/>
      <w:lvlJc w:val="left"/>
      <w:pPr>
        <w:ind w:left="1428" w:hanging="360"/>
      </w:pPr>
      <w:rPr>
        <w:rFonts w:hint="default"/>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1">
    <w:nsid w:val="394D0D41"/>
    <w:multiLevelType w:val="hybridMultilevel"/>
    <w:tmpl w:val="00981E18"/>
    <w:lvl w:ilvl="0" w:tplc="335EFCB2">
      <w:start w:val="3"/>
      <w:numFmt w:val="bullet"/>
      <w:lvlText w:val="-"/>
      <w:lvlJc w:val="left"/>
      <w:pPr>
        <w:ind w:left="360" w:hanging="360"/>
      </w:pPr>
      <w:rPr>
        <w:rFonts w:ascii="Times New Roman" w:eastAsia="SimSun" w:hAnsi="Times New Roman" w:cs="Times New Roman"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4A5D1CE5"/>
    <w:multiLevelType w:val="hybridMultilevel"/>
    <w:tmpl w:val="8646C262"/>
    <w:lvl w:ilvl="0" w:tplc="E51E3C5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4A986C10"/>
    <w:multiLevelType w:val="hybridMultilevel"/>
    <w:tmpl w:val="1130B64A"/>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nsid w:val="4D0748A4"/>
    <w:multiLevelType w:val="multilevel"/>
    <w:tmpl w:val="2422B524"/>
    <w:lvl w:ilvl="0">
      <w:start w:val="1"/>
      <w:numFmt w:val="decimal"/>
      <w:lvlText w:val="%1."/>
      <w:lvlJc w:val="left"/>
      <w:pPr>
        <w:ind w:left="720" w:hanging="360"/>
      </w:pPr>
      <w:rPr>
        <w:rFonts w:hint="default"/>
      </w:rPr>
    </w:lvl>
    <w:lvl w:ilvl="1">
      <w:start w:val="1"/>
      <w:numFmt w:val="decimal"/>
      <w:isLgl/>
      <w:lvlText w:val="%1.%2"/>
      <w:lvlJc w:val="left"/>
      <w:pPr>
        <w:ind w:left="1428" w:hanging="360"/>
      </w:pPr>
      <w:rPr>
        <w:rFonts w:hint="default"/>
        <w:i w:val="0"/>
      </w:rPr>
    </w:lvl>
    <w:lvl w:ilvl="2">
      <w:start w:val="1"/>
      <w:numFmt w:val="decimal"/>
      <w:isLgl/>
      <w:lvlText w:val="%1.%2.%3"/>
      <w:lvlJc w:val="left"/>
      <w:pPr>
        <w:ind w:left="2496" w:hanging="720"/>
      </w:pPr>
      <w:rPr>
        <w:rFonts w:hint="default"/>
        <w:i w:val="0"/>
      </w:rPr>
    </w:lvl>
    <w:lvl w:ilvl="3">
      <w:start w:val="1"/>
      <w:numFmt w:val="decimal"/>
      <w:isLgl/>
      <w:lvlText w:val="%1.%2.%3.%4"/>
      <w:lvlJc w:val="left"/>
      <w:pPr>
        <w:ind w:left="3204" w:hanging="720"/>
      </w:pPr>
      <w:rPr>
        <w:rFonts w:hint="default"/>
        <w:i w:val="0"/>
      </w:rPr>
    </w:lvl>
    <w:lvl w:ilvl="4">
      <w:start w:val="1"/>
      <w:numFmt w:val="decimal"/>
      <w:isLgl/>
      <w:lvlText w:val="%1.%2.%3.%4.%5"/>
      <w:lvlJc w:val="left"/>
      <w:pPr>
        <w:ind w:left="4272" w:hanging="1080"/>
      </w:pPr>
      <w:rPr>
        <w:rFonts w:hint="default"/>
        <w:i w:val="0"/>
      </w:rPr>
    </w:lvl>
    <w:lvl w:ilvl="5">
      <w:start w:val="1"/>
      <w:numFmt w:val="decimal"/>
      <w:isLgl/>
      <w:lvlText w:val="%1.%2.%3.%4.%5.%6"/>
      <w:lvlJc w:val="left"/>
      <w:pPr>
        <w:ind w:left="4980" w:hanging="1080"/>
      </w:pPr>
      <w:rPr>
        <w:rFonts w:hint="default"/>
        <w:i w:val="0"/>
      </w:rPr>
    </w:lvl>
    <w:lvl w:ilvl="6">
      <w:start w:val="1"/>
      <w:numFmt w:val="decimal"/>
      <w:isLgl/>
      <w:lvlText w:val="%1.%2.%3.%4.%5.%6.%7"/>
      <w:lvlJc w:val="left"/>
      <w:pPr>
        <w:ind w:left="6048" w:hanging="1440"/>
      </w:pPr>
      <w:rPr>
        <w:rFonts w:hint="default"/>
        <w:i w:val="0"/>
      </w:rPr>
    </w:lvl>
    <w:lvl w:ilvl="7">
      <w:start w:val="1"/>
      <w:numFmt w:val="decimal"/>
      <w:isLgl/>
      <w:lvlText w:val="%1.%2.%3.%4.%5.%6.%7.%8"/>
      <w:lvlJc w:val="left"/>
      <w:pPr>
        <w:ind w:left="6756" w:hanging="1440"/>
      </w:pPr>
      <w:rPr>
        <w:rFonts w:hint="default"/>
        <w:i w:val="0"/>
      </w:rPr>
    </w:lvl>
    <w:lvl w:ilvl="8">
      <w:start w:val="1"/>
      <w:numFmt w:val="decimal"/>
      <w:isLgl/>
      <w:lvlText w:val="%1.%2.%3.%4.%5.%6.%7.%8.%9"/>
      <w:lvlJc w:val="left"/>
      <w:pPr>
        <w:ind w:left="7824" w:hanging="1800"/>
      </w:pPr>
      <w:rPr>
        <w:rFonts w:hint="default"/>
        <w:i w:val="0"/>
      </w:rPr>
    </w:lvl>
  </w:abstractNum>
  <w:abstractNum w:abstractNumId="15">
    <w:nsid w:val="521E18E6"/>
    <w:multiLevelType w:val="multilevel"/>
    <w:tmpl w:val="D52EE01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6">
    <w:nsid w:val="539A1162"/>
    <w:multiLevelType w:val="hybridMultilevel"/>
    <w:tmpl w:val="9A12340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7">
    <w:nsid w:val="5BC554FE"/>
    <w:multiLevelType w:val="hybridMultilevel"/>
    <w:tmpl w:val="05364B8C"/>
    <w:lvl w:ilvl="0" w:tplc="032E46BC">
      <w:numFmt w:val="bullet"/>
      <w:lvlText w:val="-"/>
      <w:lvlJc w:val="left"/>
      <w:pPr>
        <w:ind w:left="1068" w:hanging="360"/>
      </w:pPr>
      <w:rPr>
        <w:rFonts w:ascii="Times New Roman" w:eastAsia="Times New Roman" w:hAnsi="Times New Roman" w:cs="Times New Roman" w:hint="default"/>
      </w:rPr>
    </w:lvl>
    <w:lvl w:ilvl="1" w:tplc="0C0A0003">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18">
    <w:nsid w:val="6F2C3FAE"/>
    <w:multiLevelType w:val="hybridMultilevel"/>
    <w:tmpl w:val="90B6216A"/>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6F2F28F7"/>
    <w:multiLevelType w:val="hybridMultilevel"/>
    <w:tmpl w:val="9516E56E"/>
    <w:lvl w:ilvl="0" w:tplc="EAB0FCF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788845AD"/>
    <w:multiLevelType w:val="hybridMultilevel"/>
    <w:tmpl w:val="7040BA24"/>
    <w:lvl w:ilvl="0" w:tplc="EAB0FCFE">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7B97227D"/>
    <w:multiLevelType w:val="singleLevel"/>
    <w:tmpl w:val="0C0A0001"/>
    <w:lvl w:ilvl="0">
      <w:start w:val="1"/>
      <w:numFmt w:val="bullet"/>
      <w:lvlText w:val=""/>
      <w:lvlJc w:val="left"/>
      <w:pPr>
        <w:ind w:left="720" w:hanging="360"/>
      </w:pPr>
      <w:rPr>
        <w:rFonts w:ascii="Symbol" w:hAnsi="Symbol" w:hint="default"/>
      </w:rPr>
    </w:lvl>
  </w:abstractNum>
  <w:num w:numId="1">
    <w:abstractNumId w:val="12"/>
  </w:num>
  <w:num w:numId="2">
    <w:abstractNumId w:val="18"/>
  </w:num>
  <w:num w:numId="3">
    <w:abstractNumId w:val="20"/>
  </w:num>
  <w:num w:numId="4">
    <w:abstractNumId w:val="7"/>
  </w:num>
  <w:num w:numId="5">
    <w:abstractNumId w:val="0"/>
  </w:num>
  <w:num w:numId="6">
    <w:abstractNumId w:val="6"/>
  </w:num>
  <w:num w:numId="7">
    <w:abstractNumId w:val="17"/>
  </w:num>
  <w:num w:numId="8">
    <w:abstractNumId w:val="3"/>
  </w:num>
  <w:num w:numId="9">
    <w:abstractNumId w:val="16"/>
  </w:num>
  <w:num w:numId="10">
    <w:abstractNumId w:val="10"/>
  </w:num>
  <w:num w:numId="11">
    <w:abstractNumId w:val="5"/>
  </w:num>
  <w:num w:numId="12">
    <w:abstractNumId w:val="8"/>
  </w:num>
  <w:num w:numId="13">
    <w:abstractNumId w:val="15"/>
  </w:num>
  <w:num w:numId="14">
    <w:abstractNumId w:val="14"/>
  </w:num>
  <w:num w:numId="15">
    <w:abstractNumId w:val="2"/>
  </w:num>
  <w:num w:numId="16">
    <w:abstractNumId w:val="9"/>
  </w:num>
  <w:num w:numId="17">
    <w:abstractNumId w:val="1"/>
  </w:num>
  <w:num w:numId="18">
    <w:abstractNumId w:val="13"/>
  </w:num>
  <w:num w:numId="19">
    <w:abstractNumId w:val="19"/>
  </w:num>
  <w:num w:numId="20">
    <w:abstractNumId w:val="21"/>
  </w:num>
  <w:num w:numId="21">
    <w:abstractNumId w:val="4"/>
  </w:num>
  <w:num w:numId="2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8"/>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C050F"/>
    <w:rsid w:val="001142FD"/>
    <w:rsid w:val="00272CCB"/>
    <w:rsid w:val="002864A9"/>
    <w:rsid w:val="002B6238"/>
    <w:rsid w:val="002C050F"/>
    <w:rsid w:val="002D15F8"/>
    <w:rsid w:val="003B4D10"/>
    <w:rsid w:val="006C7C8C"/>
    <w:rsid w:val="00777B2F"/>
    <w:rsid w:val="007A1254"/>
    <w:rsid w:val="00977705"/>
    <w:rsid w:val="009943B4"/>
    <w:rsid w:val="009A68E6"/>
    <w:rsid w:val="009C211F"/>
    <w:rsid w:val="00A472E1"/>
    <w:rsid w:val="00DD4202"/>
    <w:rsid w:val="00E3786E"/>
    <w:rsid w:val="00E81FAD"/>
    <w:rsid w:val="00F8157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0F"/>
    <w:pPr>
      <w:spacing w:after="0" w:line="240" w:lineRule="auto"/>
    </w:pPr>
    <w:rPr>
      <w:rFonts w:ascii="Times New Roman" w:eastAsia="Times New Roman" w:hAnsi="Times New Roman" w:cs="Times New Roman"/>
      <w:sz w:val="20"/>
      <w:szCs w:val="20"/>
      <w:lang w:eastAsia="es-ES"/>
    </w:rPr>
  </w:style>
  <w:style w:type="paragraph" w:styleId="Ttulo3">
    <w:name w:val="heading 3"/>
    <w:basedOn w:val="Normal"/>
    <w:next w:val="Normal"/>
    <w:link w:val="Ttulo3Car"/>
    <w:qFormat/>
    <w:rsid w:val="00A472E1"/>
    <w:pPr>
      <w:keepNext/>
      <w:jc w:val="both"/>
      <w:outlineLvl w:val="2"/>
    </w:pPr>
    <w:rPr>
      <w:rFonts w:ascii="Verdana" w:hAnsi="Verdana"/>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050F"/>
    <w:pPr>
      <w:spacing w:after="200" w:line="276" w:lineRule="auto"/>
      <w:ind w:left="720"/>
      <w:contextualSpacing/>
    </w:pPr>
    <w:rPr>
      <w:rFonts w:ascii="Calibri" w:eastAsia="Calibri" w:hAnsi="Calibri"/>
      <w:sz w:val="22"/>
      <w:szCs w:val="22"/>
      <w:lang w:eastAsia="en-US"/>
    </w:rPr>
  </w:style>
  <w:style w:type="paragraph" w:customStyle="1" w:styleId="parrafo">
    <w:name w:val="parrafo"/>
    <w:basedOn w:val="Normal"/>
    <w:rsid w:val="002C050F"/>
    <w:pPr>
      <w:spacing w:before="100" w:beforeAutospacing="1" w:after="100" w:afterAutospacing="1"/>
    </w:pPr>
    <w:rPr>
      <w:sz w:val="24"/>
      <w:szCs w:val="24"/>
    </w:rPr>
  </w:style>
  <w:style w:type="paragraph" w:customStyle="1" w:styleId="Default">
    <w:name w:val="Default"/>
    <w:rsid w:val="007A125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rrafodelista1">
    <w:name w:val="Párrafo de lista1"/>
    <w:basedOn w:val="Normal"/>
    <w:rsid w:val="007A1254"/>
    <w:pPr>
      <w:suppressAutoHyphens/>
      <w:spacing w:after="200" w:line="276" w:lineRule="auto"/>
      <w:ind w:left="720"/>
    </w:pPr>
    <w:rPr>
      <w:rFonts w:ascii="Calibri" w:eastAsia="SimSun" w:hAnsi="Calibri" w:cs="Calibri"/>
      <w:kern w:val="1"/>
      <w:sz w:val="22"/>
      <w:szCs w:val="22"/>
      <w:lang w:eastAsia="ar-SA"/>
    </w:rPr>
  </w:style>
  <w:style w:type="character" w:customStyle="1" w:styleId="Ttulo3Car">
    <w:name w:val="Título 3 Car"/>
    <w:basedOn w:val="Fuentedeprrafopredeter"/>
    <w:link w:val="Ttulo3"/>
    <w:rsid w:val="00A472E1"/>
    <w:rPr>
      <w:rFonts w:ascii="Verdana" w:eastAsia="Times New Roman" w:hAnsi="Verdana" w:cs="Times New Roman"/>
      <w:b/>
      <w:sz w:val="20"/>
      <w:szCs w:val="20"/>
      <w:lang w:eastAsia="es-ES"/>
    </w:rPr>
  </w:style>
  <w:style w:type="character" w:styleId="nfasis">
    <w:name w:val="Emphasis"/>
    <w:uiPriority w:val="20"/>
    <w:qFormat/>
    <w:rsid w:val="00A472E1"/>
    <w:rPr>
      <w:i/>
      <w:iCs/>
    </w:rPr>
  </w:style>
  <w:style w:type="paragraph" w:styleId="NormalWeb">
    <w:name w:val="Normal (Web)"/>
    <w:basedOn w:val="Normal"/>
    <w:uiPriority w:val="99"/>
    <w:unhideWhenUsed/>
    <w:rsid w:val="001142FD"/>
    <w:pPr>
      <w:spacing w:after="158"/>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C050F"/>
    <w:pPr>
      <w:spacing w:after="0" w:line="240" w:lineRule="auto"/>
    </w:pPr>
    <w:rPr>
      <w:rFonts w:ascii="Times New Roman" w:eastAsia="Times New Roman" w:hAnsi="Times New Roman" w:cs="Times New Roman"/>
      <w:sz w:val="20"/>
      <w:szCs w:val="20"/>
      <w:lang w:eastAsia="es-ES"/>
    </w:rPr>
  </w:style>
  <w:style w:type="paragraph" w:styleId="Ttulo3">
    <w:name w:val="heading 3"/>
    <w:basedOn w:val="Normal"/>
    <w:next w:val="Normal"/>
    <w:link w:val="Ttulo3Car"/>
    <w:qFormat/>
    <w:rsid w:val="00A472E1"/>
    <w:pPr>
      <w:keepNext/>
      <w:jc w:val="both"/>
      <w:outlineLvl w:val="2"/>
    </w:pPr>
    <w:rPr>
      <w:rFonts w:ascii="Verdana" w:hAnsi="Verdana"/>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2C050F"/>
    <w:pPr>
      <w:spacing w:after="200" w:line="276" w:lineRule="auto"/>
      <w:ind w:left="720"/>
      <w:contextualSpacing/>
    </w:pPr>
    <w:rPr>
      <w:rFonts w:ascii="Calibri" w:eastAsia="Calibri" w:hAnsi="Calibri"/>
      <w:sz w:val="22"/>
      <w:szCs w:val="22"/>
      <w:lang w:eastAsia="en-US"/>
    </w:rPr>
  </w:style>
  <w:style w:type="paragraph" w:customStyle="1" w:styleId="parrafo">
    <w:name w:val="parrafo"/>
    <w:basedOn w:val="Normal"/>
    <w:rsid w:val="002C050F"/>
    <w:pPr>
      <w:spacing w:before="100" w:beforeAutospacing="1" w:after="100" w:afterAutospacing="1"/>
    </w:pPr>
    <w:rPr>
      <w:sz w:val="24"/>
      <w:szCs w:val="24"/>
    </w:rPr>
  </w:style>
  <w:style w:type="paragraph" w:customStyle="1" w:styleId="Default">
    <w:name w:val="Default"/>
    <w:rsid w:val="007A125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rrafodelista1">
    <w:name w:val="Párrafo de lista1"/>
    <w:basedOn w:val="Normal"/>
    <w:rsid w:val="007A1254"/>
    <w:pPr>
      <w:suppressAutoHyphens/>
      <w:spacing w:after="200" w:line="276" w:lineRule="auto"/>
      <w:ind w:left="720"/>
    </w:pPr>
    <w:rPr>
      <w:rFonts w:ascii="Calibri" w:eastAsia="SimSun" w:hAnsi="Calibri" w:cs="Calibri"/>
      <w:kern w:val="1"/>
      <w:sz w:val="22"/>
      <w:szCs w:val="22"/>
      <w:lang w:eastAsia="ar-SA"/>
    </w:rPr>
  </w:style>
  <w:style w:type="character" w:customStyle="1" w:styleId="Ttulo3Car">
    <w:name w:val="Título 3 Car"/>
    <w:basedOn w:val="Fuentedeprrafopredeter"/>
    <w:link w:val="Ttulo3"/>
    <w:rsid w:val="00A472E1"/>
    <w:rPr>
      <w:rFonts w:ascii="Verdana" w:eastAsia="Times New Roman" w:hAnsi="Verdana" w:cs="Times New Roman"/>
      <w:b/>
      <w:sz w:val="20"/>
      <w:szCs w:val="20"/>
      <w:lang w:eastAsia="es-ES"/>
    </w:rPr>
  </w:style>
  <w:style w:type="character" w:styleId="nfasis">
    <w:name w:val="Emphasis"/>
    <w:uiPriority w:val="20"/>
    <w:qFormat/>
    <w:rsid w:val="00A472E1"/>
    <w:rPr>
      <w:i/>
      <w:iCs/>
    </w:rPr>
  </w:style>
  <w:style w:type="paragraph" w:styleId="NormalWeb">
    <w:name w:val="Normal (Web)"/>
    <w:basedOn w:val="Normal"/>
    <w:uiPriority w:val="99"/>
    <w:unhideWhenUsed/>
    <w:rsid w:val="001142FD"/>
    <w:pPr>
      <w:spacing w:after="158"/>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14</Pages>
  <Words>5215</Words>
  <Characters>28686</Characters>
  <Application>Microsoft Office Word</Application>
  <DocSecurity>0</DocSecurity>
  <Lines>239</Lines>
  <Paragraphs>67</Paragraphs>
  <ScaleCrop>false</ScaleCrop>
  <HeadingPairs>
    <vt:vector size="2" baseType="variant">
      <vt:variant>
        <vt:lpstr>Título</vt:lpstr>
      </vt:variant>
      <vt:variant>
        <vt:i4>1</vt:i4>
      </vt:variant>
    </vt:vector>
  </HeadingPairs>
  <TitlesOfParts>
    <vt:vector size="1" baseType="lpstr">
      <vt:lpstr/>
    </vt:vector>
  </TitlesOfParts>
  <Company>DFA-AFA</Company>
  <LinksUpToDate>false</LinksUpToDate>
  <CharactersWithSpaces>33834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DFA</dc:creator>
  <cp:lastModifiedBy>DFA</cp:lastModifiedBy>
  <cp:revision>5</cp:revision>
  <dcterms:created xsi:type="dcterms:W3CDTF">2020-08-27T10:40:00Z</dcterms:created>
  <dcterms:modified xsi:type="dcterms:W3CDTF">2020-09-08T08:13:00Z</dcterms:modified>
</cp:coreProperties>
</file>