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254" w:rsidRPr="007A1254" w:rsidRDefault="002C050F" w:rsidP="007A1254">
      <w:pPr>
        <w:jc w:val="both"/>
        <w:rPr>
          <w:rFonts w:ascii="Arial" w:hAnsi="Arial" w:cs="Arial"/>
          <w:b/>
          <w:sz w:val="24"/>
          <w:szCs w:val="24"/>
          <w:u w:val="single"/>
        </w:rPr>
      </w:pPr>
      <w:r w:rsidRPr="007A1254">
        <w:rPr>
          <w:rFonts w:ascii="Arial" w:hAnsi="Arial" w:cs="Arial"/>
          <w:b/>
          <w:sz w:val="24"/>
          <w:szCs w:val="24"/>
          <w:u w:val="single"/>
        </w:rPr>
        <w:t xml:space="preserve">DICTAMEN SOBRE EL PROYECTO DE </w:t>
      </w:r>
      <w:r w:rsidR="009943B4" w:rsidRPr="007A1254">
        <w:rPr>
          <w:rFonts w:ascii="Arial" w:hAnsi="Arial" w:cs="Arial"/>
          <w:b/>
          <w:sz w:val="24"/>
          <w:szCs w:val="24"/>
          <w:u w:val="single"/>
        </w:rPr>
        <w:t>ORDEN</w:t>
      </w:r>
      <w:r w:rsidR="00777B2F">
        <w:rPr>
          <w:rFonts w:ascii="Arial" w:hAnsi="Arial" w:cs="Arial"/>
          <w:b/>
          <w:sz w:val="24"/>
          <w:szCs w:val="24"/>
          <w:u w:val="single"/>
        </w:rPr>
        <w:t xml:space="preserve"> FORAL</w:t>
      </w:r>
      <w:r w:rsidRPr="007A1254">
        <w:rPr>
          <w:rFonts w:ascii="Arial" w:hAnsi="Arial" w:cs="Arial"/>
          <w:b/>
          <w:sz w:val="24"/>
          <w:szCs w:val="24"/>
          <w:u w:val="single"/>
        </w:rPr>
        <w:t xml:space="preserve"> </w:t>
      </w:r>
      <w:r w:rsidR="007A1254" w:rsidRPr="007A1254">
        <w:rPr>
          <w:rFonts w:ascii="Arial" w:hAnsi="Arial" w:cs="Arial"/>
          <w:b/>
          <w:sz w:val="24"/>
          <w:szCs w:val="24"/>
          <w:u w:val="single"/>
        </w:rPr>
        <w:t>QUE ESTABLECE LA NORMATIVA GENERAL QUE REGULA LAS DISTINTAS MODALIDADES DE CAZA EN EL TERRITORIO HISTÓRICO DE ÁLAVA</w:t>
      </w:r>
      <w:r w:rsidR="00777B2F">
        <w:rPr>
          <w:rFonts w:ascii="Arial" w:hAnsi="Arial" w:cs="Arial"/>
          <w:b/>
          <w:sz w:val="24"/>
          <w:szCs w:val="24"/>
          <w:u w:val="single"/>
        </w:rPr>
        <w:t>( Sesión consultiva 23-junio-2020)</w:t>
      </w:r>
    </w:p>
    <w:p w:rsidR="00F8157B" w:rsidRPr="001D600F" w:rsidRDefault="00F8157B" w:rsidP="00F8157B">
      <w:pPr>
        <w:spacing w:before="600" w:after="360" w:line="360" w:lineRule="auto"/>
        <w:jc w:val="both"/>
        <w:rPr>
          <w:rFonts w:ascii="Tahoma" w:hAnsi="Tahoma" w:cs="Tahoma"/>
          <w:b/>
          <w:sz w:val="22"/>
          <w:szCs w:val="22"/>
        </w:rPr>
      </w:pPr>
      <w:r w:rsidRPr="001D600F">
        <w:rPr>
          <w:rFonts w:ascii="Tahoma" w:hAnsi="Tahoma" w:cs="Tahoma"/>
          <w:b/>
          <w:sz w:val="22"/>
          <w:szCs w:val="22"/>
        </w:rPr>
        <w:t>ANTECEDENTES</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La Orden Foral 115/2020, de 13 de mayo, inició el procedimiento de elaboración del p</w:t>
      </w:r>
      <w:r w:rsidRPr="001D600F">
        <w:rPr>
          <w:rFonts w:ascii="Tahoma" w:hAnsi="Tahoma" w:cs="Tahoma"/>
          <w:bCs/>
          <w:sz w:val="22"/>
          <w:szCs w:val="22"/>
        </w:rPr>
        <w:t>royecto objeto del presente dictamen</w:t>
      </w:r>
      <w:r w:rsidRPr="001D600F">
        <w:rPr>
          <w:rFonts w:ascii="Tahoma" w:hAnsi="Tahoma" w:cs="Tahoma"/>
          <w:sz w:val="22"/>
          <w:szCs w:val="22"/>
        </w:rPr>
        <w:t>.</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La iniciación del procedimiento vino precedida por la reunión, el día 20 de febrero de 2020, del Consejo Territorial de Caza de Álava, con objeto de informar, entre otros puntos, sobre la Orden Foral de Caza para la temporada 2020-2021, figurando en el expediente el acta correspondiente.</w:t>
      </w:r>
    </w:p>
    <w:p w:rsidR="00F8157B" w:rsidRPr="001D600F" w:rsidRDefault="00F8157B" w:rsidP="00F8157B">
      <w:pPr>
        <w:pStyle w:val="Prrafodelista1"/>
        <w:spacing w:before="120" w:after="240" w:line="360" w:lineRule="auto"/>
        <w:ind w:left="0"/>
        <w:jc w:val="both"/>
        <w:rPr>
          <w:rFonts w:ascii="Tahoma" w:hAnsi="Tahoma" w:cs="Tahoma"/>
        </w:rPr>
      </w:pPr>
      <w:r w:rsidRPr="001D600F">
        <w:rPr>
          <w:rFonts w:ascii="Tahoma" w:hAnsi="Tahoma" w:cs="Tahoma"/>
        </w:rPr>
        <w:t>La Orden Foral 120/2020, de 14 de mayo, aprobó el proyecto con carácter previo.</w:t>
      </w:r>
    </w:p>
    <w:p w:rsidR="00F8157B" w:rsidRPr="001D600F" w:rsidRDefault="00F8157B" w:rsidP="00F8157B">
      <w:pPr>
        <w:pStyle w:val="Prrafodelista1"/>
        <w:spacing w:before="120" w:after="240" w:line="360" w:lineRule="auto"/>
        <w:ind w:left="0"/>
        <w:jc w:val="both"/>
        <w:rPr>
          <w:rFonts w:ascii="Tahoma" w:hAnsi="Tahoma" w:cs="Tahoma"/>
        </w:rPr>
      </w:pPr>
      <w:r w:rsidRPr="001D600F">
        <w:rPr>
          <w:rFonts w:ascii="Tahoma" w:hAnsi="Tahoma" w:cs="Tahoma"/>
        </w:rPr>
        <w:t>La memoria del Servicio de Secretaría Técnica de Agricultura de 9 de junio de 2020 da cuenta de que el proyecto fue publicado en la página web de la Diputación Foral de Álava el día 1 de junio, dándose audiencia a la ciudadanía sobre su contenido por plazo de ocho días.</w:t>
      </w:r>
    </w:p>
    <w:p w:rsidR="00F8157B" w:rsidRDefault="00F8157B" w:rsidP="00F8157B">
      <w:pPr>
        <w:pStyle w:val="Prrafodelista1"/>
        <w:spacing w:before="120" w:after="240" w:line="360" w:lineRule="auto"/>
        <w:ind w:left="0"/>
        <w:jc w:val="both"/>
        <w:rPr>
          <w:rFonts w:ascii="Tahoma" w:hAnsi="Tahoma" w:cs="Tahoma"/>
        </w:rPr>
      </w:pPr>
      <w:r w:rsidRPr="001D600F">
        <w:rPr>
          <w:rFonts w:ascii="Tahoma" w:hAnsi="Tahoma" w:cs="Tahoma"/>
        </w:rPr>
        <w:t>Por lo demás, entre la documentación remitida por la Dirección de Agricultura figura el informe de impacto de género del proyecto de 14 de mayo de 2020, de la Secretaría Técnica de Agricultura, que concluye que su normativa «no es pertinente al género»; observaciones sobre la evaluación de impacto de género del proyecto, de 15 de mayo de 2020, del Servicio de Igualdad, Cooperación e Interculturalidad, que suscribe las conclusiones del informe anterior, constata el uso no sexista del lenguaje en la redacción del proyecto y propone la recogida de datos desagregados por sexo de las personas que se dedican a la caza. Figura también el informe de impacto normativo, de 9 de junio de 2020, de la Secretaría Técnica de Agricultura, el cual, además de examinar la oportunidad, motivación técnica y análisis jurídico del proyecto, concluye acerca de su impacto presupuestario que el mismo no conlleva cargas para la Diputación Foral de Álava.</w:t>
      </w:r>
    </w:p>
    <w:p w:rsidR="00F8157B" w:rsidRPr="001D600F" w:rsidRDefault="00F8157B" w:rsidP="00F8157B">
      <w:pPr>
        <w:pStyle w:val="Prrafodelista1"/>
        <w:spacing w:before="120" w:after="240" w:line="360" w:lineRule="auto"/>
        <w:ind w:left="0"/>
        <w:jc w:val="both"/>
        <w:rPr>
          <w:rFonts w:ascii="Tahoma" w:hAnsi="Tahoma" w:cs="Tahoma"/>
        </w:rPr>
      </w:pPr>
      <w:bookmarkStart w:id="0" w:name="_GoBack"/>
      <w:bookmarkEnd w:id="0"/>
    </w:p>
    <w:p w:rsidR="00F8157B" w:rsidRPr="001D600F" w:rsidRDefault="00F8157B" w:rsidP="00F8157B">
      <w:pPr>
        <w:spacing w:before="600" w:after="480" w:line="360" w:lineRule="auto"/>
        <w:jc w:val="both"/>
        <w:rPr>
          <w:rFonts w:ascii="Tahoma" w:hAnsi="Tahoma" w:cs="Tahoma"/>
          <w:b/>
          <w:sz w:val="22"/>
          <w:szCs w:val="22"/>
          <w:u w:val="single"/>
        </w:rPr>
      </w:pPr>
      <w:r w:rsidRPr="001D600F">
        <w:rPr>
          <w:rFonts w:ascii="Tahoma" w:hAnsi="Tahoma" w:cs="Tahoma"/>
          <w:b/>
          <w:sz w:val="22"/>
          <w:szCs w:val="22"/>
        </w:rPr>
        <w:lastRenderedPageBreak/>
        <w:t>CONSIDERACIONES JURÍDICAS</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b/>
          <w:sz w:val="22"/>
          <w:szCs w:val="22"/>
          <w:u w:val="single"/>
        </w:rPr>
        <w:t>P</w:t>
      </w:r>
      <w:r w:rsidRPr="001D600F">
        <w:rPr>
          <w:rFonts w:ascii="Tahoma" w:hAnsi="Tahoma" w:cs="Tahoma"/>
          <w:b/>
          <w:color w:val="000000"/>
          <w:sz w:val="22"/>
          <w:szCs w:val="22"/>
          <w:u w:val="single"/>
        </w:rPr>
        <w:t>RIMERA.- Competencia de la Comisión Consultiva.</w:t>
      </w:r>
    </w:p>
    <w:p w:rsidR="00F8157B" w:rsidRPr="001D600F" w:rsidRDefault="00F8157B" w:rsidP="00F8157B">
      <w:pPr>
        <w:spacing w:before="120" w:after="240" w:line="360" w:lineRule="auto"/>
        <w:jc w:val="both"/>
        <w:rPr>
          <w:rFonts w:ascii="Tahoma" w:hAnsi="Tahoma" w:cs="Tahoma"/>
          <w:b/>
          <w:bCs/>
          <w:sz w:val="22"/>
          <w:szCs w:val="22"/>
          <w:u w:val="single"/>
        </w:rPr>
      </w:pPr>
      <w:r w:rsidRPr="001D600F">
        <w:rPr>
          <w:rFonts w:ascii="Tahoma" w:hAnsi="Tahoma" w:cs="Tahoma"/>
          <w:color w:val="000000"/>
          <w:sz w:val="22"/>
          <w:szCs w:val="22"/>
        </w:rPr>
        <w:t xml:space="preserve">La competencia de la Comisión Consultiva para emitir el presente dictamen resulta del art. 3.1.b) de su Reglamento Orgánico, aprobado por Decreto Foral 40/1999, del Consejo de Gobierno Foral de 30 marzo, que somete al dictamen preceptivo y no vinculante de esta Comisión «los proyectos de disposiciones reglamentarias que se dicten en ejecución de las Normas Forales que regulen materias de la competencia exclusiva del Territorio </w:t>
      </w:r>
      <w:r w:rsidRPr="001D600F">
        <w:rPr>
          <w:rFonts w:ascii="Tahoma" w:hAnsi="Tahoma" w:cs="Tahoma"/>
          <w:sz w:val="22"/>
          <w:szCs w:val="22"/>
        </w:rPr>
        <w:t>Histórico o en ejecución de las Leyes de la Comunidad Autónoma en aquellas materias en que compete al Territorio Histórico el desarrollo reglamentario de las mismas».</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b/>
          <w:bCs/>
          <w:color w:val="000000"/>
          <w:sz w:val="22"/>
          <w:szCs w:val="22"/>
          <w:u w:val="single"/>
        </w:rPr>
        <w:t>SEGUNDA.- Sobre los aspectos formales de la norma en proyecto.</w:t>
      </w:r>
    </w:p>
    <w:p w:rsidR="00F8157B" w:rsidRPr="001D600F" w:rsidRDefault="00F8157B" w:rsidP="00F8157B">
      <w:pPr>
        <w:spacing w:before="120" w:after="240" w:line="360" w:lineRule="auto"/>
        <w:jc w:val="both"/>
        <w:rPr>
          <w:rFonts w:ascii="Tahoma" w:hAnsi="Tahoma" w:cs="Tahoma"/>
          <w:b/>
          <w:color w:val="000000"/>
          <w:sz w:val="22"/>
          <w:szCs w:val="22"/>
        </w:rPr>
      </w:pPr>
      <w:r w:rsidRPr="001D600F">
        <w:rPr>
          <w:rFonts w:ascii="Tahoma" w:hAnsi="Tahoma" w:cs="Tahoma"/>
          <w:b/>
          <w:color w:val="000000"/>
          <w:sz w:val="22"/>
          <w:szCs w:val="22"/>
        </w:rPr>
        <w:t>a) Competencia.</w:t>
      </w:r>
    </w:p>
    <w:p w:rsidR="00F8157B" w:rsidRPr="001D600F" w:rsidRDefault="00F8157B" w:rsidP="00F8157B">
      <w:pPr>
        <w:pStyle w:val="Default"/>
        <w:spacing w:before="120" w:after="240" w:line="360" w:lineRule="auto"/>
        <w:jc w:val="both"/>
        <w:rPr>
          <w:rFonts w:ascii="Tahoma" w:hAnsi="Tahoma" w:cs="Tahoma"/>
          <w:color w:val="auto"/>
          <w:sz w:val="22"/>
          <w:szCs w:val="22"/>
        </w:rPr>
      </w:pPr>
      <w:r w:rsidRPr="001D600F">
        <w:rPr>
          <w:rFonts w:ascii="Tahoma" w:hAnsi="Tahoma" w:cs="Tahoma"/>
          <w:color w:val="auto"/>
          <w:sz w:val="22"/>
          <w:szCs w:val="22"/>
        </w:rPr>
        <w:t>El proyecto objeto del presente dictamen propone la aprobación con carácter temporalmente indefinido de contenidos que en años anteriores han venido siendo aprobados con carácter anual dentro de la orden foral de vedas reguladora de cada ejercicio cinegético, al tratarse de cuestiones que, como expresa el preámbulo del proyecto, «no sufren modificaciones sustanciales en los distintos ejercicios cinegéticos».</w:t>
      </w:r>
    </w:p>
    <w:p w:rsidR="00F8157B" w:rsidRPr="001D600F" w:rsidRDefault="00F8157B" w:rsidP="00F8157B">
      <w:pPr>
        <w:pStyle w:val="Default"/>
        <w:spacing w:before="120" w:after="240" w:line="360" w:lineRule="auto"/>
        <w:jc w:val="both"/>
        <w:rPr>
          <w:rFonts w:ascii="Tahoma" w:hAnsi="Tahoma" w:cs="Tahoma"/>
          <w:color w:val="auto"/>
          <w:sz w:val="22"/>
          <w:szCs w:val="22"/>
        </w:rPr>
      </w:pPr>
      <w:r w:rsidRPr="001D600F">
        <w:rPr>
          <w:rFonts w:ascii="Tahoma" w:hAnsi="Tahoma" w:cs="Tahoma"/>
          <w:color w:val="auto"/>
          <w:sz w:val="22"/>
          <w:szCs w:val="22"/>
        </w:rPr>
        <w:t xml:space="preserve">Se trata principalmente de una normativa que regulará con carácter general aspectos relativos, fundamentalmente, al ejercicio </w:t>
      </w:r>
      <w:proofErr w:type="gramStart"/>
      <w:r w:rsidRPr="001D600F">
        <w:rPr>
          <w:rFonts w:ascii="Tahoma" w:hAnsi="Tahoma" w:cs="Tahoma"/>
          <w:color w:val="auto"/>
          <w:sz w:val="22"/>
          <w:szCs w:val="22"/>
        </w:rPr>
        <w:t>de la caza regulado</w:t>
      </w:r>
      <w:proofErr w:type="gramEnd"/>
      <w:r w:rsidRPr="001D600F">
        <w:rPr>
          <w:rFonts w:ascii="Tahoma" w:hAnsi="Tahoma" w:cs="Tahoma"/>
          <w:color w:val="auto"/>
          <w:sz w:val="22"/>
          <w:szCs w:val="22"/>
        </w:rPr>
        <w:t xml:space="preserve"> en el Título V, arts. 34 a 42 de la Ley del Parlamento Vasco 2/2011, de 17 de marzo, de Caza, y, más concretamente, a las modalidades de caza.</w:t>
      </w:r>
    </w:p>
    <w:p w:rsidR="00F8157B" w:rsidRPr="001D600F" w:rsidRDefault="00F8157B" w:rsidP="00F8157B">
      <w:pPr>
        <w:pStyle w:val="Default"/>
        <w:spacing w:before="120" w:after="240" w:line="360" w:lineRule="auto"/>
        <w:jc w:val="both"/>
        <w:rPr>
          <w:rFonts w:ascii="Tahoma" w:hAnsi="Tahoma" w:cs="Tahoma"/>
          <w:color w:val="auto"/>
          <w:sz w:val="22"/>
          <w:szCs w:val="22"/>
        </w:rPr>
      </w:pPr>
      <w:r w:rsidRPr="001D600F">
        <w:rPr>
          <w:rFonts w:ascii="Tahoma" w:hAnsi="Tahoma" w:cs="Tahoma"/>
          <w:color w:val="auto"/>
          <w:sz w:val="22"/>
          <w:szCs w:val="22"/>
        </w:rPr>
        <w:t>Respecto de las modalidades de caza, el art. 41 de la Ley 2/2011 establece que las «instituciones forales regularán reglamentariamente el ejercicio de cada una de las modalidades cinegéticas permitidas con carácter general».</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color w:val="auto"/>
          <w:sz w:val="22"/>
          <w:szCs w:val="22"/>
        </w:rPr>
        <w:t>Por su parte, el artículo 30 de la Norma Foral de Caza, tras establecer en su apartado primero que el «Departamento Competente de la Diputación Foral regulará, mediante la Orden Foral Anual de Caza, el ejercicio de cada una de las modalidades cinegéticas permitidas con carácter general», añade en su apartado segundo que la «</w:t>
      </w:r>
      <w:r w:rsidRPr="001D600F">
        <w:rPr>
          <w:rFonts w:ascii="Tahoma" w:hAnsi="Tahoma" w:cs="Tahoma"/>
          <w:snapToGrid w:val="0"/>
          <w:color w:val="auto"/>
          <w:sz w:val="22"/>
          <w:szCs w:val="22"/>
          <w:lang w:eastAsia="es-ES"/>
        </w:rPr>
        <w:t xml:space="preserve">caza de palomas y zorzales en pasos tradicionales, la caza de palomas con cimbel, la caza del </w:t>
      </w:r>
      <w:r w:rsidRPr="001D600F">
        <w:rPr>
          <w:rFonts w:ascii="Tahoma" w:hAnsi="Tahoma" w:cs="Tahoma"/>
          <w:snapToGrid w:val="0"/>
          <w:color w:val="auto"/>
          <w:sz w:val="22"/>
          <w:szCs w:val="22"/>
          <w:lang w:eastAsia="es-ES"/>
        </w:rPr>
        <w:lastRenderedPageBreak/>
        <w:t>corzo a rececho y otras modalidades que puedan adoptarse, podrán ser objeto de reglamentación específica por parte del Departamento Competente de la Diputación Foral».</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Las normas anteriores permiten concluir que el Diputado de Agricultura, en el marco de la atribución genérica de competencia para el ejercicio de la potestad reglamentaria en las materias propias de su departamento que efectúa el art. 40.11 de la Norma Foral 52/1992, de 18 de diciembre, de Organización, Funcionamiento y Régimen Jurídico de la Diputación Foral de Álava, cuenta con habilitación específica para aprobar con carácter general la normativa reglamentaria que integra el proyecto.</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b/>
          <w:bCs/>
          <w:color w:val="000000"/>
          <w:sz w:val="22"/>
          <w:szCs w:val="22"/>
        </w:rPr>
        <w:t>b) Principios de buena regulación.</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Establece el art. 129 de la Ley 39/2015, de 1 de octubre, de Procedimiento Administrativo Común de las Administraciones Públicas (LPAC), que</w:t>
      </w:r>
    </w:p>
    <w:p w:rsidR="00F8157B" w:rsidRPr="001D600F" w:rsidRDefault="00F8157B" w:rsidP="00F8157B">
      <w:pPr>
        <w:spacing w:before="120" w:after="240" w:line="360" w:lineRule="auto"/>
        <w:ind w:left="567"/>
        <w:jc w:val="both"/>
        <w:rPr>
          <w:rFonts w:ascii="Tahoma" w:hAnsi="Tahoma" w:cs="Tahoma"/>
          <w:color w:val="000000"/>
          <w:sz w:val="22"/>
          <w:szCs w:val="22"/>
          <w:shd w:val="clear" w:color="auto" w:fill="FFFFFF"/>
        </w:rPr>
      </w:pPr>
      <w:r w:rsidRPr="001D600F">
        <w:rPr>
          <w:rFonts w:ascii="Tahoma" w:hAnsi="Tahoma" w:cs="Tahoma"/>
          <w:color w:val="000000"/>
          <w:sz w:val="22"/>
          <w:szCs w:val="22"/>
        </w:rPr>
        <w:t>«</w:t>
      </w:r>
      <w:r w:rsidRPr="001D600F">
        <w:rPr>
          <w:rFonts w:ascii="Tahoma" w:hAnsi="Tahoma" w:cs="Tahoma"/>
          <w:color w:val="000000"/>
          <w:sz w:val="22"/>
          <w:szCs w:val="22"/>
          <w:shd w:val="clear" w:color="auto" w:fill="FFFFFF"/>
        </w:rPr>
        <w:t>En el ejercicio de la iniciativa legislativa y la potestad reglamentaria, las Administraciones Públicas actuarán de acuerdo con los principios de necesidad, eficacia, proporcionalidad, seguridad jurídica, transparencia, y eficiencia. En la exposición de motivos o en el preámbulo, según se trate, respectivamente, de anteproyectos de ley o de proyectos de reglamento, quedará suficientemente justificada su</w:t>
      </w:r>
      <w:r>
        <w:rPr>
          <w:rFonts w:ascii="Tahoma" w:hAnsi="Tahoma" w:cs="Tahoma"/>
          <w:color w:val="000000"/>
          <w:sz w:val="22"/>
          <w:szCs w:val="22"/>
          <w:shd w:val="clear" w:color="auto" w:fill="FFFFFF"/>
        </w:rPr>
        <w:t xml:space="preserve"> adecuación a dichos principios</w:t>
      </w:r>
      <w:r w:rsidRPr="001D600F">
        <w:rPr>
          <w:rFonts w:ascii="Tahoma" w:hAnsi="Tahoma" w:cs="Tahoma"/>
          <w:sz w:val="22"/>
          <w:szCs w:val="22"/>
        </w:rPr>
        <w:t>»</w:t>
      </w:r>
      <w:r>
        <w:rPr>
          <w:rFonts w:ascii="Tahoma" w:hAnsi="Tahoma" w:cs="Tahoma"/>
          <w:sz w:val="22"/>
          <w:szCs w:val="22"/>
        </w:rPr>
        <w:t>.</w:t>
      </w:r>
    </w:p>
    <w:p w:rsidR="00F8157B" w:rsidRPr="001D600F" w:rsidRDefault="00F8157B" w:rsidP="00F8157B">
      <w:pPr>
        <w:autoSpaceDE w:val="0"/>
        <w:autoSpaceDN w:val="0"/>
        <w:adjustRightInd w:val="0"/>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 xml:space="preserve">Y lo mismo resulta de lo dispuesto en el art. 16.2.e) en relación con el art. 3 del Decreto Foral 29/2017, </w:t>
      </w:r>
      <w:r w:rsidRPr="001D600F">
        <w:rPr>
          <w:rFonts w:ascii="Tahoma" w:hAnsi="Tahoma" w:cs="Tahoma"/>
          <w:bCs/>
          <w:sz w:val="22"/>
          <w:szCs w:val="22"/>
        </w:rPr>
        <w:t>del Consejo de Gobierno Foral de 23 de mayo, que aprueba el procedimiento de elaboración de disposiciones de carácter general</w:t>
      </w:r>
      <w:r w:rsidRPr="001D600F">
        <w:rPr>
          <w:rFonts w:ascii="Tahoma" w:hAnsi="Tahoma" w:cs="Tahoma"/>
          <w:color w:val="000000"/>
          <w:sz w:val="22"/>
          <w:szCs w:val="22"/>
        </w:rPr>
        <w:t>.</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color w:val="000000"/>
          <w:sz w:val="22"/>
          <w:szCs w:val="22"/>
        </w:rPr>
        <w:t>Pues bien, en relación con este punto, el preámbulo del proyecto se limita a indicar que «</w:t>
      </w:r>
      <w:r w:rsidRPr="001D600F">
        <w:rPr>
          <w:rFonts w:ascii="Tahoma" w:hAnsi="Tahoma" w:cs="Tahoma"/>
          <w:sz w:val="22"/>
          <w:szCs w:val="22"/>
        </w:rPr>
        <w:t>se ha justificado suficientemente en los antecedentes expuestos la necesidad de esta regulación de ciertas modalidades de la caza en Álava, siendo además una actuación normativa proporcionada, ya que se limita al mínimo imprescindible para conseguir el fin perseguido», expresión que de manera patente incumple las anteriores previsiones legales.</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sz w:val="22"/>
          <w:szCs w:val="22"/>
        </w:rPr>
        <w:t xml:space="preserve">Aunque no lo dice el preámbulo del proyecto, en relación con los principios de necesidad y eficacia, y como se examinará más adelante, la regulación propuesta da cumplimiento a diversas previsiones de la Ley del Parlamento Vasco 2/2011, de 17 de marzo, de Caza, por las que se remite a la norma reglamentaria de las instituciones </w:t>
      </w:r>
      <w:r w:rsidRPr="001D600F">
        <w:rPr>
          <w:rFonts w:ascii="Tahoma" w:hAnsi="Tahoma" w:cs="Tahoma"/>
          <w:sz w:val="22"/>
          <w:szCs w:val="22"/>
        </w:rPr>
        <w:lastRenderedPageBreak/>
        <w:t>forales la regulación o el desarrollo de cuestiones tales como las modalidades de caza (art. 41), señalización (art. 49) o seguridad (art. 50), cuyo desarrollo reglamentario es condición necesaria para el ejercicio de la actividad cinegética.</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sz w:val="22"/>
          <w:szCs w:val="22"/>
        </w:rPr>
        <w:t xml:space="preserve">Sobre el principio de seguridad jurídica cabe añadir, además de lo dicho en el párrafo anterior, que la circunstancia de que el proyecto se proponga con vigencia temporalmente indefinida y general, al margen de la orden anual de vedas en la que hasta ahora venía siendo incluida la regulación de las materias que constituyen su objeto, redunda en la estabilidad, </w:t>
      </w:r>
      <w:proofErr w:type="spellStart"/>
      <w:r w:rsidRPr="001D600F">
        <w:rPr>
          <w:rFonts w:ascii="Tahoma" w:hAnsi="Tahoma" w:cs="Tahoma"/>
          <w:sz w:val="22"/>
          <w:szCs w:val="22"/>
        </w:rPr>
        <w:t>predecibilidad</w:t>
      </w:r>
      <w:proofErr w:type="spellEnd"/>
      <w:r w:rsidRPr="001D600F">
        <w:rPr>
          <w:rFonts w:ascii="Tahoma" w:hAnsi="Tahoma" w:cs="Tahoma"/>
          <w:sz w:val="22"/>
          <w:szCs w:val="22"/>
        </w:rPr>
        <w:t xml:space="preserve"> y certidumbre de la misma normativa y, por lo mismo, en una mayor garantía del principio de seguridad jurídica.</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sz w:val="22"/>
          <w:szCs w:val="22"/>
        </w:rPr>
        <w:t>Con todo, el hecho de que el proyecto carezca de una justificación mínimamente suficiente sobre su adecuación a los principios de buena regulación, además de incumplir lo dispuesto en el art. 129.1 LPAC, supone la inobservancia del principio de transparencia en los términos en que el mismo viene configurado en el art. 129.5 LPAC.</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sz w:val="22"/>
          <w:szCs w:val="22"/>
        </w:rPr>
        <w:t>En definitiva, entendemos que deberá integrarse el preámbulo del proyecto de manera que el mismo justifique, de manera suficiente y separada y en la forma establecida en el art. 129 LPAC, el cumplimiento de los principios de buena regulación</w:t>
      </w:r>
      <w:r w:rsidRPr="001D600F">
        <w:rPr>
          <w:rFonts w:ascii="Tahoma" w:hAnsi="Tahoma" w:cs="Tahoma"/>
          <w:color w:val="000000"/>
          <w:sz w:val="22"/>
          <w:szCs w:val="22"/>
        </w:rPr>
        <w:t>.</w:t>
      </w:r>
    </w:p>
    <w:p w:rsidR="00F8157B" w:rsidRPr="001D600F" w:rsidRDefault="00F8157B" w:rsidP="00F8157B">
      <w:pPr>
        <w:spacing w:before="120" w:after="240" w:line="360" w:lineRule="auto"/>
        <w:jc w:val="both"/>
        <w:rPr>
          <w:rFonts w:ascii="Tahoma" w:hAnsi="Tahoma" w:cs="Tahoma"/>
          <w:b/>
          <w:color w:val="000000"/>
          <w:sz w:val="22"/>
          <w:szCs w:val="22"/>
        </w:rPr>
      </w:pPr>
      <w:r w:rsidRPr="001D600F">
        <w:rPr>
          <w:rFonts w:ascii="Tahoma" w:hAnsi="Tahoma" w:cs="Tahoma"/>
          <w:b/>
          <w:color w:val="000000"/>
          <w:sz w:val="22"/>
          <w:szCs w:val="22"/>
        </w:rPr>
        <w:t>c) Procedimiento.</w:t>
      </w:r>
    </w:p>
    <w:p w:rsidR="00F8157B"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i) Suspensión de plazos.</w:t>
      </w:r>
    </w:p>
    <w:p w:rsidR="00F8157B"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La incoación del procedimiento para la aprobación del proyecto como norma reglamentaria durante la vigencia del estado de alarma declarado para la gestión de la situación de crisis sanitaria ocasionada por el COVID-19 por el Real Decreto 463/2020, de 14 de marzo, no infringe lo establecido en su disposición adicional tercera, que acordó la interrupción de los plazos para la tramitación de los procedimientos de las entidades del sector público.</w:t>
      </w:r>
    </w:p>
    <w:p w:rsidR="00F8157B"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Ha de entenderse que la interrupción de los plazos administrativos no implica la inhabilidad de los días (en este sentido se pronunció, en relación con la suspensión e interrupción de los plazos procesales, la Resolución del Ministro de Justicia de 13 de abril de 2020 por la que se adapta la prestación del servicio público de justicia al Real Decreto 487/2020, de 10 de abril), de manera que la interrupción de los plazos administrativos es compatible con la realización válida de actividad administrativa.</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sz w:val="22"/>
          <w:szCs w:val="22"/>
        </w:rPr>
        <w:lastRenderedPageBreak/>
        <w:t>Como resulta de la memoria de 9 de junio de 2020, del Servicio de Secretaría Técnica de Agricultura obrante en el expediente, el único plazo relevante frente a terceros interesados abierto durante la sustanciación del procedimiento –el correspondiente al trámite de audiencia e información pública</w:t>
      </w:r>
      <w:r w:rsidRPr="001D600F">
        <w:rPr>
          <w:rFonts w:ascii="Tahoma" w:hAnsi="Tahoma" w:cs="Tahoma"/>
          <w:sz w:val="22"/>
          <w:szCs w:val="22"/>
        </w:rPr>
        <w:noBreakHyphen/>
        <w:t xml:space="preserve"> fue iniciado el día 1 de junio pasado, es decir, una vez quedó sin efecto la suspensión de los plazos administrativos por disposición del art. 9 del Real Decreto 537/2020, de 22 de mayo, por el que se prorroga el estado de alarma declarado por el Real Decreto 463/2020, de 14 de marzo, por el que se declara el estado de alarma para la gestión de la situación de crisis sanitaria ocasionada por el COVID-19.</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ii) Plan Anual Normativo.</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Establece el art. 4 del Decreto Foral 29/2017:</w:t>
      </w:r>
    </w:p>
    <w:p w:rsidR="00F8157B" w:rsidRPr="001D600F" w:rsidRDefault="00F8157B" w:rsidP="00F8157B">
      <w:pPr>
        <w:spacing w:before="120" w:after="240" w:line="360" w:lineRule="auto"/>
        <w:ind w:left="567"/>
        <w:jc w:val="both"/>
        <w:rPr>
          <w:rFonts w:ascii="Tahoma" w:hAnsi="Tahoma" w:cs="Tahoma"/>
          <w:sz w:val="22"/>
          <w:szCs w:val="22"/>
        </w:rPr>
      </w:pPr>
      <w:r w:rsidRPr="001D600F">
        <w:rPr>
          <w:rFonts w:ascii="Tahoma" w:hAnsi="Tahoma" w:cs="Tahoma"/>
          <w:sz w:val="22"/>
          <w:szCs w:val="22"/>
        </w:rPr>
        <w:t>1. El último trimestre de cada año la Diputación Foral de Álava aprobará y hará público un Plan Normativo referido a las iniciativas normativas forales y de carácter general que tenga previsto proponer para su aprobación durante el ejercicio anual siguiente.</w:t>
      </w:r>
    </w:p>
    <w:p w:rsidR="00F8157B" w:rsidRPr="001D600F" w:rsidRDefault="00F8157B" w:rsidP="00F8157B">
      <w:pPr>
        <w:spacing w:before="120" w:after="240" w:line="360" w:lineRule="auto"/>
        <w:ind w:left="567"/>
        <w:jc w:val="both"/>
        <w:rPr>
          <w:rFonts w:ascii="Tahoma" w:hAnsi="Tahoma" w:cs="Tahoma"/>
          <w:sz w:val="22"/>
          <w:szCs w:val="22"/>
        </w:rPr>
      </w:pPr>
      <w:r w:rsidRPr="001D600F">
        <w:rPr>
          <w:rFonts w:ascii="Tahoma" w:hAnsi="Tahoma" w:cs="Tahoma"/>
          <w:sz w:val="22"/>
          <w:szCs w:val="22"/>
        </w:rPr>
        <w:t>2. En el caso de que se proponga la aprobación por el órgano competente de una propuesta normativa que no figure en el Plan Anual Normativo, se deberá justificar la urgencia o la necesidad de tal regulación en la resolución de incoación del procedimiento de elaboración de dicha disposición de carácter general.</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Pues bien, a pesar de que estamos ante una regulación cuya aprobación anual, hasta ahora vinculada a la orden foral de vedas, era enteramente previsible, del mismo modo a como ha venido sucediendo en años anteriores, la iniciativa que se somete al dictamen de esta Comisión Consultiva no ha sido incluida en el Plan Anual Normativo de la Diputación Foral de Álava correspondiente al ejercicio 2020, aprobado por Acuerdo 824/2019, de 27 de diciembre, del Consejo de Gobierno Foral.</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 xml:space="preserve">A lo anterior hay que añadir que la escueta referencia al «interés público de que la normativa de caza esté aprobada y publicada previamente a la apertura de la media veda en 2020, prevista para el día 15 de agosto, debido al largo procedimiento para aprobar las disposiciones de carácter general» que se contiene en la Orden Foral 115/2020, a los efectos, no del Plan Anual Normativo, sino de la reducción del plazo de </w:t>
      </w:r>
      <w:r w:rsidRPr="001D600F">
        <w:rPr>
          <w:rFonts w:ascii="Tahoma" w:hAnsi="Tahoma" w:cs="Tahoma"/>
          <w:sz w:val="22"/>
          <w:szCs w:val="22"/>
        </w:rPr>
        <w:lastRenderedPageBreak/>
        <w:t>información pública –cuestión a la que se hará referencia más adelante</w:t>
      </w:r>
      <w:r w:rsidRPr="001D600F">
        <w:rPr>
          <w:rFonts w:ascii="Tahoma" w:hAnsi="Tahoma" w:cs="Tahoma"/>
          <w:sz w:val="22"/>
          <w:szCs w:val="22"/>
        </w:rPr>
        <w:noBreakHyphen/>
        <w:t xml:space="preserve"> no da cumplimiento a lo previsto en el art. 4.2 DF 29/2017.</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En conclusión, el hecho de que la normativa cuya aprobación se propone no haya sido incluida en el Plan Anual Normativo, y que la resolución que ha dado inicio al procedimiento de aprobación de la misma no haya justificado debidamente la necesidad ni la urgencia de su aprobación, supone la infracción de lo dispuesto en el art. 4 del Decreto Foral 29/2017.</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iii) Consulta pública previa.</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En el procedimiento seguido se ha omitido, al igual que en los dos años anteriores, el trámite de consulta pública previa, omisión que la Orden Foral 115/2020, iniciadora del procedimiento, trata de justificar en que el proyecto «supone recopilar en una única resolución aspectos de la caza en el Territorio Histórico de Álava que permanecen invariables en las diferentes temporadas y que se han recogido en las Ordenes Forales que regulaban la caza en temporadas anteriores, que ya fueron sometidas a información pública, como por otra parte lo va a ser la Orden Foral cuyo procedimiento se inicia».</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Pues bien, al contrario de lo que se afirma en la Orden foral 115/2020, difícilmente puede denominarse «recopilación» normativa a la reproducción parcial de contenidos procedentes de disposiciones que, por ser temporales, como es el caso de las ordenes forales de vedas de temporadas anteriores, no están en vigor. Por otra parte, el hecho de que la norma en proyecto vaya a ser sometida al trámite de información pública no subsana la indebida omisión de la consulta previa, desde el momento en que el Decreto Foral 20/2017 exige ambos trámites simultáneamente con carácter general.</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En definitiva, no se ha justificado la concurrencia de ninguno de los supuestos previstos en el art. 10 del DF 29/2017 para la exención del trámite de consulta pública previa, razón por la cual su omisión infringe el art. 9 del mismo Decreto Foral 29/2017.</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iv) Audiencia e información pública.</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La memoria del Servicio de Secretaría Técnica de Agricultura de 9 de junio de 2020 da cuenta de que se ha dado audiencia a la ciudadanía sobre el contenido del proyecto por plazo de ocho días desde su publicación en la página web de la Diputación Foral de Álava, no habiéndose formulado alegaciones durante el mismo.</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lastRenderedPageBreak/>
        <w:t>La Orden Foral 115/2020 trata de motivar la reducción del plazo de información pública de quince a ocho días –reducción que también se practicó en la tramitación de la orden de vedas de la temporada anterior</w:t>
      </w:r>
      <w:r w:rsidRPr="001D600F">
        <w:rPr>
          <w:rFonts w:ascii="Tahoma" w:hAnsi="Tahoma" w:cs="Tahoma"/>
          <w:color w:val="000000"/>
          <w:sz w:val="22"/>
          <w:szCs w:val="22"/>
        </w:rPr>
        <w:noBreakHyphen/>
        <w:t>, en la necesidad de que la normativa propuesta esté en vigor antes del comienzo de la temporada (15 de agosto) unido «al largo procedimiento para aprobar las disposiciones de carácter general», lo cual, así enunciado, comoquiera que se trata de circunstancias enteramente conocidas al menos desde el final de la campaña del año anterior y, en consecuencia, perfectamente previsibles, carece de virtualidad para justificar la reducción del plazo de información pública y supone el incumplimiento de lo establecido en el art. 13.3 del Decreto Foral 20/2017.</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v) Otros trámites.</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Como se ha dicho ya, figuran en el expediente los informes de impacto normativo y de evaluación previa del impacto en función del género, respectivamente de 9 de junio y de 14 de mayo de 2020, de la Secretaría Técnica de Agricultura, y las observaciones favorables del Servicio de Igualdad, de 15 de mayo de 2020, documentos todos ellos previstos en el art. 14 del Decreto Foral 29/2017.</w:t>
      </w:r>
    </w:p>
    <w:p w:rsidR="00F8157B" w:rsidRPr="001D600F" w:rsidRDefault="00F8157B" w:rsidP="00F8157B">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Con anterioridad a la aprobación previa del proyecto ha sido consultado el Consejo Territorial de Caza de Álava, consulta que tiene carácter preceptivo «en relación con las cuestiones de carácter general que afecten a la actividad cinegética», según lo dispuesto en el art. 33.1 de la Norma Foral de Caza del THA.</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b/>
          <w:sz w:val="22"/>
          <w:szCs w:val="22"/>
          <w:u w:val="single"/>
        </w:rPr>
        <w:t>TERCERA.- Títulos competenciales actuados por la norma reglamentaria en proyecto.</w:t>
      </w:r>
    </w:p>
    <w:p w:rsidR="00F8157B" w:rsidRPr="001D600F" w:rsidRDefault="00F8157B" w:rsidP="00F8157B">
      <w:pPr>
        <w:spacing w:before="120" w:after="240" w:line="360" w:lineRule="auto"/>
        <w:jc w:val="both"/>
        <w:rPr>
          <w:rFonts w:ascii="Tahoma" w:hAnsi="Tahoma" w:cs="Tahoma"/>
          <w:b/>
          <w:sz w:val="22"/>
          <w:szCs w:val="22"/>
          <w:u w:val="single"/>
        </w:rPr>
      </w:pPr>
      <w:r w:rsidRPr="001D600F">
        <w:rPr>
          <w:rFonts w:ascii="Tahoma" w:hAnsi="Tahoma" w:cs="Tahoma"/>
          <w:sz w:val="22"/>
          <w:szCs w:val="22"/>
        </w:rPr>
        <w:t>El proyecto objeto de dictamen, al igual que la Norma Foral habilitante, esto es, la Norma Foral 8/2004, de 14 de junio, de Caza del Territorio Histórico de Álava, actúa la competencia del Territorio Histórico de Álava para «el desarrollo y la ejecución de las normas emanadas de las Instituciones Comunes» de la CAPV en materia de «régimen de aprovechamiento de la riqueza piscícola continental y cinegética» [art. 7.b).3 de la Ley de Territorios Históricos].</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b/>
          <w:sz w:val="22"/>
          <w:szCs w:val="22"/>
          <w:u w:val="single"/>
        </w:rPr>
        <w:t>CUARTA.- Contenido del proyecto.</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sz w:val="22"/>
          <w:szCs w:val="22"/>
        </w:rPr>
        <w:t>El proyecto de norma reglamentaria está integrado por dos artículos y una disposición final.</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sz w:val="22"/>
          <w:szCs w:val="22"/>
        </w:rPr>
        <w:lastRenderedPageBreak/>
        <w:t>El artículo primero aprueba la normativa general que regula las distintas modalidades de caza en el Territorio Histórico de Álava, normativa articulada en cinco anexos integrantes del proyecto y que presentan el siguiente contenido:</w:t>
      </w:r>
    </w:p>
    <w:p w:rsidR="00F8157B" w:rsidRPr="001D600F" w:rsidRDefault="00F8157B" w:rsidP="00F8157B">
      <w:pPr>
        <w:pStyle w:val="Prrafodelista1"/>
        <w:numPr>
          <w:ilvl w:val="0"/>
          <w:numId w:val="3"/>
        </w:numPr>
        <w:spacing w:before="120" w:after="120" w:line="360" w:lineRule="auto"/>
        <w:ind w:left="426"/>
        <w:jc w:val="both"/>
        <w:rPr>
          <w:rFonts w:ascii="Tahoma" w:hAnsi="Tahoma" w:cs="Tahoma"/>
        </w:rPr>
      </w:pPr>
      <w:r w:rsidRPr="001D600F">
        <w:rPr>
          <w:rFonts w:ascii="Tahoma" w:hAnsi="Tahoma" w:cs="Tahoma"/>
        </w:rPr>
        <w:t>Anexo I, sobre «Medidas generales» está integrado por nueve artículos que establecen medidas generales (art. 1), modalidades de caza menor (art. 2), caza mayor (art. 3), batidas en caza mayor (art. 4), recechos de caza mayor (art. 5), protección general de la fauna cinegética (art. 6), medios autorizados (art. 7), medidas de seguridad y protección (art. 8) y zonas de esparcimiento de perros (art. 9).</w:t>
      </w:r>
    </w:p>
    <w:p w:rsidR="00F8157B" w:rsidRPr="001D600F" w:rsidRDefault="00F8157B" w:rsidP="00F8157B">
      <w:pPr>
        <w:pStyle w:val="Prrafodelista1"/>
        <w:numPr>
          <w:ilvl w:val="0"/>
          <w:numId w:val="3"/>
        </w:numPr>
        <w:spacing w:before="120" w:after="120" w:line="360" w:lineRule="auto"/>
        <w:ind w:left="426"/>
        <w:jc w:val="both"/>
        <w:rPr>
          <w:rFonts w:ascii="Tahoma" w:hAnsi="Tahoma" w:cs="Tahoma"/>
        </w:rPr>
      </w:pPr>
      <w:r w:rsidRPr="001D600F">
        <w:rPr>
          <w:rFonts w:ascii="Tahoma" w:hAnsi="Tahoma" w:cs="Tahoma"/>
        </w:rPr>
        <w:t>Anexo II, que regula las «Condiciones específicas de caza en pasos tradicionales, de palomas migratorias y zorzales», integrado por cinco artículos que regulan disposiciones generales (art. 1), normas comunes a puestos y a chozas (art. 2), puestos palomeros y para la caza de zorzales en rioja alavesa para caza “a vuelo” (art. 3), normas específicas sobre chozas (art. 4) y autorizaciones y modificaciones de puestos y chozas (art. 5).</w:t>
      </w:r>
    </w:p>
    <w:p w:rsidR="00F8157B" w:rsidRPr="001D600F" w:rsidRDefault="00F8157B" w:rsidP="00F8157B">
      <w:pPr>
        <w:pStyle w:val="Prrafodelista1"/>
        <w:numPr>
          <w:ilvl w:val="0"/>
          <w:numId w:val="3"/>
        </w:numPr>
        <w:spacing w:before="120" w:after="120" w:line="360" w:lineRule="auto"/>
        <w:ind w:left="426"/>
        <w:jc w:val="both"/>
        <w:rPr>
          <w:rFonts w:ascii="Tahoma" w:hAnsi="Tahoma" w:cs="Tahoma"/>
        </w:rPr>
      </w:pPr>
      <w:r w:rsidRPr="001D600F">
        <w:rPr>
          <w:rFonts w:ascii="Tahoma" w:hAnsi="Tahoma" w:cs="Tahoma"/>
        </w:rPr>
        <w:t>Anexo III, sobre «Condiciones específicas de caza del jabalí (</w:t>
      </w:r>
      <w:r w:rsidRPr="001D600F">
        <w:rPr>
          <w:rFonts w:ascii="Tahoma" w:hAnsi="Tahoma" w:cs="Tahoma"/>
          <w:i/>
        </w:rPr>
        <w:t xml:space="preserve">Sus </w:t>
      </w:r>
      <w:proofErr w:type="spellStart"/>
      <w:r w:rsidRPr="001D600F">
        <w:rPr>
          <w:rFonts w:ascii="Tahoma" w:hAnsi="Tahoma" w:cs="Tahoma"/>
          <w:i/>
        </w:rPr>
        <w:t>scrofa</w:t>
      </w:r>
      <w:proofErr w:type="spellEnd"/>
      <w:r w:rsidRPr="001D600F">
        <w:rPr>
          <w:rFonts w:ascii="Tahoma" w:hAnsi="Tahoma" w:cs="Tahoma"/>
        </w:rPr>
        <w:t>)», con cuatro artículos que regulan los períodos hábiles (art. 1), piezas objeto de caza (art. 2), normas de disparo (art. 3) y modalidades de caza (art. 4).</w:t>
      </w:r>
    </w:p>
    <w:p w:rsidR="00F8157B" w:rsidRPr="001D600F" w:rsidRDefault="00F8157B" w:rsidP="00F8157B">
      <w:pPr>
        <w:pStyle w:val="Prrafodelista1"/>
        <w:numPr>
          <w:ilvl w:val="0"/>
          <w:numId w:val="3"/>
        </w:numPr>
        <w:spacing w:before="120" w:after="120" w:line="360" w:lineRule="auto"/>
        <w:ind w:left="426"/>
        <w:jc w:val="both"/>
        <w:rPr>
          <w:rFonts w:ascii="Tahoma" w:hAnsi="Tahoma" w:cs="Tahoma"/>
        </w:rPr>
      </w:pPr>
      <w:r w:rsidRPr="001D600F">
        <w:rPr>
          <w:rFonts w:ascii="Tahoma" w:hAnsi="Tahoma" w:cs="Tahoma"/>
        </w:rPr>
        <w:t>Anexo IV, sobre «Condiciones específicas de caza del ciervo (</w:t>
      </w:r>
      <w:proofErr w:type="spellStart"/>
      <w:r w:rsidRPr="001D600F">
        <w:rPr>
          <w:rFonts w:ascii="Tahoma" w:hAnsi="Tahoma" w:cs="Tahoma"/>
          <w:i/>
        </w:rPr>
        <w:t>Cervus</w:t>
      </w:r>
      <w:proofErr w:type="spellEnd"/>
      <w:r w:rsidRPr="001D600F">
        <w:rPr>
          <w:rFonts w:ascii="Tahoma" w:hAnsi="Tahoma" w:cs="Tahoma"/>
          <w:i/>
        </w:rPr>
        <w:t xml:space="preserve"> </w:t>
      </w:r>
      <w:proofErr w:type="spellStart"/>
      <w:r w:rsidRPr="001D600F">
        <w:rPr>
          <w:rFonts w:ascii="Tahoma" w:hAnsi="Tahoma" w:cs="Tahoma"/>
          <w:i/>
        </w:rPr>
        <w:t>elaphus</w:t>
      </w:r>
      <w:proofErr w:type="spellEnd"/>
      <w:r w:rsidRPr="001D600F">
        <w:rPr>
          <w:rFonts w:ascii="Tahoma" w:hAnsi="Tahoma" w:cs="Tahoma"/>
        </w:rPr>
        <w:t>)», desarrollada en ocho artículos sobre ámbito (art. 1), período hábil (art. 2), piezas objeto de caza (art. 3), normas de disparo (art. 4), cupos y ejemplares (art. 5), modalidades de caza (art. 6), comunicación de capturas (art. 7) y modificación (art. 8).</w:t>
      </w:r>
    </w:p>
    <w:p w:rsidR="00F8157B" w:rsidRPr="001D600F" w:rsidRDefault="00F8157B" w:rsidP="00F8157B">
      <w:pPr>
        <w:pStyle w:val="Prrafodelista1"/>
        <w:numPr>
          <w:ilvl w:val="0"/>
          <w:numId w:val="3"/>
        </w:numPr>
        <w:spacing w:before="120" w:after="240" w:line="360" w:lineRule="auto"/>
        <w:ind w:left="426"/>
        <w:jc w:val="both"/>
        <w:rPr>
          <w:rFonts w:ascii="Tahoma" w:hAnsi="Tahoma" w:cs="Tahoma"/>
        </w:rPr>
      </w:pPr>
      <w:r w:rsidRPr="001D600F">
        <w:rPr>
          <w:rFonts w:ascii="Tahoma" w:hAnsi="Tahoma" w:cs="Tahoma"/>
        </w:rPr>
        <w:t>Anexo V, sobre «Condiciones específicas de caza del corzo (</w:t>
      </w:r>
      <w:proofErr w:type="spellStart"/>
      <w:r w:rsidRPr="001D600F">
        <w:rPr>
          <w:rFonts w:ascii="Tahoma" w:hAnsi="Tahoma" w:cs="Tahoma"/>
          <w:i/>
        </w:rPr>
        <w:t>Capreolus</w:t>
      </w:r>
      <w:proofErr w:type="spellEnd"/>
      <w:r w:rsidRPr="001D600F">
        <w:rPr>
          <w:rFonts w:ascii="Tahoma" w:hAnsi="Tahoma" w:cs="Tahoma"/>
          <w:i/>
        </w:rPr>
        <w:t xml:space="preserve"> </w:t>
      </w:r>
      <w:proofErr w:type="spellStart"/>
      <w:r w:rsidRPr="001D600F">
        <w:rPr>
          <w:rFonts w:ascii="Tahoma" w:hAnsi="Tahoma" w:cs="Tahoma"/>
          <w:i/>
        </w:rPr>
        <w:t>capreolus</w:t>
      </w:r>
      <w:proofErr w:type="spellEnd"/>
      <w:r w:rsidRPr="001D600F">
        <w:rPr>
          <w:rFonts w:ascii="Tahoma" w:hAnsi="Tahoma" w:cs="Tahoma"/>
        </w:rPr>
        <w:t>)», que cuenta con seis artículos sobre piezas objeto de caza (art. 1), distribución de permisos para la caza del corzo en cualquiera de sus modalidades (art. 2), modalidades de caza (art. 4), normativa complementaria específica para la caza en la modalidad de rececho (art. 5), normativa complementaria específica para la caza en la modalidad de batida (art. 6) y ficha biométrica (art. 7).</w:t>
      </w:r>
    </w:p>
    <w:p w:rsidR="00F8157B" w:rsidRPr="001D600F" w:rsidRDefault="00F8157B" w:rsidP="00F8157B">
      <w:pPr>
        <w:pStyle w:val="Prrafodelista1"/>
        <w:spacing w:before="120" w:after="120" w:line="360" w:lineRule="auto"/>
        <w:ind w:left="0"/>
        <w:jc w:val="both"/>
        <w:rPr>
          <w:rFonts w:ascii="Tahoma" w:hAnsi="Tahoma" w:cs="Tahoma"/>
        </w:rPr>
      </w:pPr>
      <w:r w:rsidRPr="001D600F">
        <w:rPr>
          <w:rFonts w:ascii="Tahoma" w:hAnsi="Tahoma" w:cs="Tahoma"/>
        </w:rPr>
        <w:t>El artículo segundo añade un nuevo art. 11 a la Orden Foral 55/2013, de 4 de febrero, por la que se aprueba la regulación de la práctica de la cetrería con aves rapaces en Álava.</w:t>
      </w:r>
    </w:p>
    <w:p w:rsidR="00F8157B" w:rsidRPr="001D600F" w:rsidRDefault="00F8157B" w:rsidP="00F8157B">
      <w:pPr>
        <w:pStyle w:val="Prrafodelista1"/>
        <w:spacing w:before="120" w:after="240" w:line="360" w:lineRule="auto"/>
        <w:ind w:left="0"/>
        <w:jc w:val="both"/>
        <w:rPr>
          <w:rFonts w:ascii="Tahoma" w:hAnsi="Tahoma" w:cs="Tahoma"/>
        </w:rPr>
      </w:pPr>
      <w:r w:rsidRPr="001D600F">
        <w:rPr>
          <w:rFonts w:ascii="Tahoma" w:hAnsi="Tahoma" w:cs="Tahoma"/>
        </w:rPr>
        <w:lastRenderedPageBreak/>
        <w:t>La disposición final establece que la norma en proyecto entrará en vigor el día siguiente al de su publicación en el BOTHA.</w:t>
      </w:r>
    </w:p>
    <w:p w:rsidR="00F8157B" w:rsidRPr="001D600F" w:rsidRDefault="00F8157B" w:rsidP="00F8157B">
      <w:pPr>
        <w:spacing w:before="120" w:after="240" w:line="360" w:lineRule="auto"/>
        <w:jc w:val="both"/>
        <w:rPr>
          <w:rFonts w:ascii="Tahoma" w:hAnsi="Tahoma" w:cs="Tahoma"/>
          <w:b/>
          <w:sz w:val="22"/>
          <w:szCs w:val="22"/>
          <w:u w:val="single"/>
        </w:rPr>
      </w:pPr>
      <w:r w:rsidRPr="001D600F">
        <w:rPr>
          <w:rFonts w:ascii="Tahoma" w:hAnsi="Tahoma" w:cs="Tahoma"/>
          <w:b/>
          <w:sz w:val="22"/>
          <w:szCs w:val="22"/>
          <w:u w:val="single"/>
        </w:rPr>
        <w:t>QUINTA.- Análisis del proyecto.</w:t>
      </w:r>
    </w:p>
    <w:p w:rsidR="00F8157B" w:rsidRPr="001D600F" w:rsidRDefault="00F8157B" w:rsidP="00F8157B">
      <w:pPr>
        <w:pStyle w:val="Default"/>
        <w:spacing w:before="120" w:after="240" w:line="360" w:lineRule="auto"/>
        <w:jc w:val="both"/>
        <w:rPr>
          <w:rFonts w:ascii="Tahoma" w:hAnsi="Tahoma" w:cs="Tahoma"/>
          <w:color w:val="auto"/>
          <w:sz w:val="22"/>
          <w:szCs w:val="22"/>
        </w:rPr>
      </w:pPr>
      <w:r w:rsidRPr="001D600F">
        <w:rPr>
          <w:rFonts w:ascii="Tahoma" w:hAnsi="Tahoma" w:cs="Tahoma"/>
          <w:color w:val="auto"/>
          <w:sz w:val="22"/>
          <w:szCs w:val="22"/>
        </w:rPr>
        <w:t>1. Como se ha dicho ya, el proyecto tiene por objeto la aprobación con carácter temporalmente indefinido de contenidos que en años anteriores han venido siendo aprobados con carácter anual dentro de la orden foral de vedas reguladora de cada ejercicio cinegético, relativos, fundamentalmente, al ejercicio de la caza regulado en el Título V, arts. 34 a 42 de la Ley del Parlamento Vasco 2/2011, de 17 de marzo, de Caza, y, más concretamente, a las modalidades de caza.</w:t>
      </w:r>
    </w:p>
    <w:p w:rsidR="00F8157B" w:rsidRPr="001D600F" w:rsidRDefault="00F8157B" w:rsidP="00F8157B">
      <w:pPr>
        <w:pStyle w:val="Default"/>
        <w:spacing w:before="120" w:after="240" w:line="360" w:lineRule="auto"/>
        <w:jc w:val="both"/>
        <w:rPr>
          <w:rFonts w:ascii="Tahoma" w:hAnsi="Tahoma" w:cs="Tahoma"/>
          <w:color w:val="auto"/>
          <w:sz w:val="22"/>
          <w:szCs w:val="22"/>
        </w:rPr>
      </w:pPr>
      <w:r w:rsidRPr="001D600F">
        <w:rPr>
          <w:rFonts w:ascii="Tahoma" w:hAnsi="Tahoma" w:cs="Tahoma"/>
          <w:color w:val="auto"/>
          <w:sz w:val="22"/>
          <w:szCs w:val="22"/>
        </w:rPr>
        <w:t>Se ha dicho también que para la regulación de las modalidades de caza, el art. 41 de la Ley 2/2011 remite al desarrollo reglamentario que aprueben las instituciones forales, y que el art. 30 de la Norma Foral de Caza habilita al diputado competente, que en la actualidad es el de Agricultura.</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Lo anterior permite concluir que, desde un punto de vista general, la normativa que integra el proyecto está dentro de los límites inherentes a los principios de reserva de ley y de jerarquía normativa.</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Por otra parte, la aprobación de las normas integrantes del proyecto con carácter temporalmente indefinido y fuera, por tanto, de la regulación anual propia de la orden foral de vedas, norma ésta que está enfocada, por su propia naturaleza, a la coyuntura específica de cada ejercicio, además de ser en sí misma aconsejable desde el punto de vista del principio de seguridad jurídica, según lo visto anteriormente, respeta lo establecido al respecto por la Ley y por la Norma Foral reguladoras de la caza en nuestro ámbito territorial.</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 xml:space="preserve">2. Además de lo dicho sobre las modalidades de caza, el proyecto da cumplimiento a llamadas expresas a los efectos de su desarrollo por parte de las instituciones forales que se contienen en la Ley de Caza en relación con aspectos muy concretos de la actividad cinegética como son la señalización de batidas, líneas de tiro y puestos (art. 49 de la Ley) o la seguridad en la caza (art. 50), o bien establece deberes formales, como son, entre otros, el plazo de remisión de partes de captura y de planes anuales de seguimiento cinegético o de abono de la tasa de matrícula de los cotos, o precinto de capturas de caza mayor (arts. 1.3 y 3.5 del Anexo I del proyecto); la comunicación </w:t>
      </w:r>
      <w:r w:rsidRPr="001D600F">
        <w:rPr>
          <w:rFonts w:ascii="Tahoma" w:hAnsi="Tahoma" w:cs="Tahoma"/>
          <w:snapToGrid w:val="0"/>
          <w:color w:val="auto"/>
          <w:sz w:val="22"/>
          <w:szCs w:val="22"/>
          <w:lang w:eastAsia="es-ES"/>
        </w:rPr>
        <w:lastRenderedPageBreak/>
        <w:t>de capturas (art. 4 del Anexo IV), o el plazo de remisión de resguardos de precintos y ficha biométrica (arts. 2 y 6 del Anexo V).</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3. Tal y como se anticipó en la reunión del Consejo Territorial de Caza de 20 de febrero de 2020, cuyo acta figura en el expediente, el art. 9 del Anexo I, desde la perspectiva de los terrenos cinegéticos, establece y regula como figura novedosa la «zona de esparcimiento de perros», con fundamento y dentro de los límites fijados en el art. 20 de la Ley de caza sobre «Zonas de adiestramiento de perros de caza y de actividades cinegéticas.</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Otra novedad del proyecto, en relación con la caza de la paloma, es la autorización de la utilización del reclamo de paloma viva en chozas (art. 2.5 del Anexo II), previsión también anticipada en la reunión del Consejo Territorial de Caza y amparada en el art. 39.4 de la Ley de Caza.</w:t>
      </w:r>
    </w:p>
    <w:p w:rsidR="00F8157B" w:rsidRPr="001D600F" w:rsidRDefault="00F8157B" w:rsidP="00F8157B">
      <w:pPr>
        <w:pStyle w:val="Default"/>
        <w:spacing w:before="120" w:after="240" w:line="360" w:lineRule="auto"/>
        <w:jc w:val="both"/>
        <w:rPr>
          <w:rFonts w:ascii="Tahoma" w:hAnsi="Tahoma" w:cs="Tahoma"/>
          <w:snapToGrid w:val="0"/>
          <w:color w:val="auto"/>
          <w:sz w:val="22"/>
          <w:szCs w:val="22"/>
          <w:lang w:eastAsia="es-ES"/>
        </w:rPr>
      </w:pPr>
      <w:r w:rsidRPr="001D600F">
        <w:rPr>
          <w:rFonts w:ascii="Tahoma" w:hAnsi="Tahoma" w:cs="Tahoma"/>
          <w:snapToGrid w:val="0"/>
          <w:color w:val="auto"/>
          <w:sz w:val="22"/>
          <w:szCs w:val="22"/>
          <w:lang w:eastAsia="es-ES"/>
        </w:rPr>
        <w:t>4. Por lo demás, en relación con los restantes preceptos que integran el proyecto no se aprecia la vulneración de ninguna previsión de la Ley ni de la Norma Foral de Caza.</w:t>
      </w:r>
    </w:p>
    <w:p w:rsidR="00F8157B" w:rsidRPr="001D600F" w:rsidRDefault="00F8157B" w:rsidP="00F8157B">
      <w:pPr>
        <w:spacing w:before="480" w:after="240" w:line="360" w:lineRule="auto"/>
        <w:jc w:val="both"/>
        <w:rPr>
          <w:rFonts w:ascii="Tahoma" w:hAnsi="Tahoma" w:cs="Tahoma"/>
          <w:sz w:val="22"/>
          <w:szCs w:val="22"/>
        </w:rPr>
      </w:pPr>
      <w:r w:rsidRPr="001D600F">
        <w:rPr>
          <w:rFonts w:ascii="Tahoma" w:hAnsi="Tahoma" w:cs="Tahoma"/>
          <w:b/>
          <w:sz w:val="22"/>
          <w:szCs w:val="22"/>
        </w:rPr>
        <w:t>CONCLUSIÓN</w:t>
      </w:r>
    </w:p>
    <w:p w:rsidR="00F8157B" w:rsidRPr="001D600F" w:rsidRDefault="00F8157B" w:rsidP="00F8157B">
      <w:pPr>
        <w:spacing w:before="120" w:after="240" w:line="360" w:lineRule="auto"/>
        <w:jc w:val="both"/>
        <w:rPr>
          <w:rFonts w:ascii="Tahoma" w:hAnsi="Tahoma" w:cs="Tahoma"/>
          <w:sz w:val="22"/>
          <w:szCs w:val="22"/>
        </w:rPr>
      </w:pPr>
      <w:r w:rsidRPr="001D600F">
        <w:rPr>
          <w:rFonts w:ascii="Tahoma" w:hAnsi="Tahoma" w:cs="Tahoma"/>
          <w:sz w:val="22"/>
          <w:szCs w:val="22"/>
        </w:rPr>
        <w:t>1ª. El proyecto de orden foral debe ser objeto de dictamen de la Comisión Consultiva de la Administración Foral de Álava.</w:t>
      </w:r>
    </w:p>
    <w:p w:rsidR="00F8157B" w:rsidRPr="001D600F" w:rsidRDefault="00F8157B" w:rsidP="00F8157B">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 xml:space="preserve">2ª. En relación con las cuestiones formales y de procedimiento, la tramitación del proyecto ha infringido lo dispuesto en los arts. 127 a 133 de la Ley 39/2015, de 1 de octubre, del Procedimiento Administrativo Común de las Administraciones Públicas, y en el </w:t>
      </w:r>
      <w:r w:rsidRPr="001D600F">
        <w:rPr>
          <w:rFonts w:ascii="Tahoma" w:hAnsi="Tahoma" w:cs="Tahoma"/>
          <w:bCs/>
          <w:sz w:val="22"/>
          <w:szCs w:val="22"/>
        </w:rPr>
        <w:t xml:space="preserve">Decreto Foral 29/2017, del Consejo de Gobierno Foral de 23 de mayo, que aprueba el procedimiento de elaboración de disposiciones de carácter general, en </w:t>
      </w:r>
      <w:r w:rsidRPr="001D600F">
        <w:rPr>
          <w:rFonts w:ascii="Tahoma" w:hAnsi="Tahoma" w:cs="Tahoma"/>
          <w:sz w:val="22"/>
          <w:szCs w:val="22"/>
        </w:rPr>
        <w:t>lo relativo a los principios de buena regulación, planificación normativa, consulta pública previa y audiencia e información pública, en la forma expresada en los epígrafes correspondientes de la anterior consideración jurídica segunda.</w:t>
      </w:r>
    </w:p>
    <w:p w:rsidR="00F8157B" w:rsidRPr="001D600F" w:rsidRDefault="00F8157B" w:rsidP="00F8157B">
      <w:pPr>
        <w:spacing w:before="120" w:after="240" w:line="360" w:lineRule="auto"/>
        <w:jc w:val="both"/>
        <w:rPr>
          <w:rFonts w:ascii="Tahoma" w:eastAsia="Calibri" w:hAnsi="Tahoma" w:cs="Tahoma"/>
          <w:bCs/>
          <w:sz w:val="22"/>
          <w:szCs w:val="22"/>
          <w:lang w:val="es-ES_tradnl"/>
        </w:rPr>
      </w:pPr>
      <w:r w:rsidRPr="001D600F">
        <w:rPr>
          <w:rFonts w:ascii="Tahoma" w:hAnsi="Tahoma" w:cs="Tahoma"/>
          <w:sz w:val="22"/>
          <w:szCs w:val="22"/>
        </w:rPr>
        <w:t xml:space="preserve">3ª. En relación con los contenidos relativos al fondo, el proyecto de orden foral </w:t>
      </w:r>
      <w:r w:rsidRPr="001D600F">
        <w:rPr>
          <w:rFonts w:ascii="Tahoma" w:eastAsia="Calibri" w:hAnsi="Tahoma" w:cs="Tahoma"/>
          <w:bCs/>
          <w:sz w:val="22"/>
          <w:szCs w:val="22"/>
          <w:lang w:val="es-ES_tradnl"/>
        </w:rPr>
        <w:t>se adecúa al ordenamiento jurídico.</w:t>
      </w:r>
    </w:p>
    <w:p w:rsidR="007A1254" w:rsidRPr="00F8157B" w:rsidRDefault="007A1254" w:rsidP="007A1254">
      <w:pPr>
        <w:spacing w:before="600" w:after="360" w:line="360" w:lineRule="auto"/>
        <w:jc w:val="both"/>
        <w:rPr>
          <w:rFonts w:ascii="Arial" w:hAnsi="Arial" w:cs="Arial"/>
          <w:b/>
          <w:sz w:val="24"/>
          <w:szCs w:val="24"/>
          <w:u w:val="single"/>
          <w:lang w:val="es-ES_tradnl"/>
        </w:rPr>
      </w:pPr>
    </w:p>
    <w:p w:rsidR="007A1254" w:rsidRDefault="007A1254" w:rsidP="007A1254">
      <w:pPr>
        <w:spacing w:before="600" w:after="360" w:line="360" w:lineRule="auto"/>
        <w:jc w:val="both"/>
        <w:rPr>
          <w:rFonts w:ascii="Arial" w:hAnsi="Arial" w:cs="Arial"/>
          <w:b/>
          <w:sz w:val="24"/>
          <w:szCs w:val="24"/>
          <w:u w:val="single"/>
        </w:rPr>
      </w:pPr>
    </w:p>
    <w:sectPr w:rsidR="007A12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272CCB"/>
    <w:rsid w:val="002864A9"/>
    <w:rsid w:val="002C050F"/>
    <w:rsid w:val="003B4D10"/>
    <w:rsid w:val="006C7C8C"/>
    <w:rsid w:val="00777B2F"/>
    <w:rsid w:val="007A1254"/>
    <w:rsid w:val="009943B4"/>
    <w:rsid w:val="009A68E6"/>
    <w:rsid w:val="009C211F"/>
    <w:rsid w:val="00DD4202"/>
    <w:rsid w:val="00E3786E"/>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3366</Words>
  <Characters>18513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5</cp:revision>
  <dcterms:created xsi:type="dcterms:W3CDTF">2020-06-29T13:07:00Z</dcterms:created>
  <dcterms:modified xsi:type="dcterms:W3CDTF">2020-06-29T13:33:00Z</dcterms:modified>
</cp:coreProperties>
</file>