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254" w:rsidRPr="003C4935" w:rsidRDefault="002C050F" w:rsidP="00E81FAD">
      <w:pPr>
        <w:pStyle w:val="Prrafodelista"/>
        <w:spacing w:after="0" w:line="240" w:lineRule="auto"/>
        <w:ind w:left="0"/>
        <w:contextualSpacing w:val="0"/>
        <w:jc w:val="both"/>
        <w:rPr>
          <w:rFonts w:ascii="Arial" w:hAnsi="Arial" w:cs="Arial"/>
          <w:b/>
          <w:sz w:val="24"/>
          <w:szCs w:val="24"/>
        </w:rPr>
      </w:pPr>
      <w:r w:rsidRPr="003C4935">
        <w:rPr>
          <w:rFonts w:ascii="Arial" w:hAnsi="Arial" w:cs="Arial"/>
          <w:b/>
          <w:sz w:val="24"/>
          <w:szCs w:val="24"/>
        </w:rPr>
        <w:t xml:space="preserve">DICTAMEN SOBRE EL PROYECTO DE </w:t>
      </w:r>
      <w:r w:rsidR="009943B4" w:rsidRPr="003C4935">
        <w:rPr>
          <w:rFonts w:ascii="Arial" w:hAnsi="Arial" w:cs="Arial"/>
          <w:b/>
          <w:sz w:val="24"/>
          <w:szCs w:val="24"/>
        </w:rPr>
        <w:t>ORDEN</w:t>
      </w:r>
      <w:r w:rsidR="00777B2F" w:rsidRPr="003C4935">
        <w:rPr>
          <w:rFonts w:ascii="Arial" w:hAnsi="Arial" w:cs="Arial"/>
          <w:b/>
          <w:sz w:val="24"/>
          <w:szCs w:val="24"/>
        </w:rPr>
        <w:t xml:space="preserve"> FORAL</w:t>
      </w:r>
      <w:r w:rsidRPr="003C4935">
        <w:rPr>
          <w:rFonts w:ascii="Arial" w:hAnsi="Arial" w:cs="Arial"/>
          <w:b/>
          <w:sz w:val="24"/>
          <w:szCs w:val="24"/>
        </w:rPr>
        <w:t xml:space="preserve"> </w:t>
      </w:r>
      <w:r w:rsidR="007A1254" w:rsidRPr="003C4935">
        <w:rPr>
          <w:rFonts w:ascii="Arial" w:hAnsi="Arial" w:cs="Arial"/>
          <w:b/>
          <w:sz w:val="24"/>
          <w:szCs w:val="24"/>
        </w:rPr>
        <w:t xml:space="preserve">QUE ESTABLECE LA NORMATIVA </w:t>
      </w:r>
      <w:r w:rsidR="00E81FAD" w:rsidRPr="003C4935">
        <w:rPr>
          <w:rFonts w:ascii="Arial" w:hAnsi="Arial" w:cs="Arial"/>
          <w:b/>
        </w:rPr>
        <w:t>LA NORMATIVA ESPECÍFICA QUE REGULA EL EJERCICIO DE LA CAZA EN EL TERRITORIO HISTÓRICO DE ÁLAVA DURANTE LA CAMPAÑA 2020-2021.</w:t>
      </w:r>
      <w:r w:rsidR="00777B2F" w:rsidRPr="003C4935">
        <w:rPr>
          <w:rFonts w:ascii="Arial" w:hAnsi="Arial" w:cs="Arial"/>
          <w:b/>
          <w:sz w:val="24"/>
          <w:szCs w:val="24"/>
        </w:rPr>
        <w:t>( Sesión consultiva 23-junio-2020)</w:t>
      </w:r>
    </w:p>
    <w:p w:rsidR="00A472E1" w:rsidRDefault="00A472E1" w:rsidP="00E81FAD">
      <w:pPr>
        <w:pStyle w:val="Prrafodelista"/>
        <w:spacing w:after="0" w:line="240" w:lineRule="auto"/>
        <w:ind w:left="0"/>
        <w:contextualSpacing w:val="0"/>
        <w:jc w:val="both"/>
        <w:rPr>
          <w:rFonts w:ascii="Arial" w:hAnsi="Arial" w:cs="Arial"/>
          <w:b/>
          <w:sz w:val="24"/>
          <w:szCs w:val="24"/>
          <w:u w:val="single"/>
        </w:rPr>
      </w:pPr>
    </w:p>
    <w:p w:rsidR="00A472E1" w:rsidRPr="001D600F" w:rsidRDefault="00A472E1" w:rsidP="00A472E1">
      <w:pPr>
        <w:spacing w:before="600" w:after="360" w:line="360" w:lineRule="auto"/>
        <w:jc w:val="both"/>
        <w:rPr>
          <w:rFonts w:ascii="Tahoma" w:hAnsi="Tahoma" w:cs="Tahoma"/>
          <w:b/>
          <w:sz w:val="22"/>
          <w:szCs w:val="22"/>
        </w:rPr>
      </w:pPr>
      <w:r w:rsidRPr="001D600F">
        <w:rPr>
          <w:rFonts w:ascii="Tahoma" w:hAnsi="Tahoma" w:cs="Tahoma"/>
          <w:b/>
          <w:sz w:val="22"/>
          <w:szCs w:val="22"/>
        </w:rPr>
        <w:t>ANTECEDENTES</w:t>
      </w:r>
      <w:bookmarkStart w:id="0" w:name="_GoBack"/>
      <w:bookmarkEnd w:id="0"/>
    </w:p>
    <w:p w:rsidR="00A472E1" w:rsidRPr="001D600F" w:rsidRDefault="00A472E1" w:rsidP="00A472E1">
      <w:pPr>
        <w:autoSpaceDE w:val="0"/>
        <w:autoSpaceDN w:val="0"/>
        <w:adjustRightInd w:val="0"/>
        <w:spacing w:line="360" w:lineRule="auto"/>
        <w:jc w:val="both"/>
        <w:rPr>
          <w:rFonts w:ascii="Tahoma" w:hAnsi="Tahoma" w:cs="Tahoma"/>
          <w:sz w:val="22"/>
          <w:szCs w:val="22"/>
        </w:rPr>
      </w:pPr>
      <w:r w:rsidRPr="001D600F">
        <w:rPr>
          <w:rFonts w:ascii="Tahoma" w:hAnsi="Tahoma" w:cs="Tahoma"/>
          <w:sz w:val="22"/>
          <w:szCs w:val="22"/>
        </w:rPr>
        <w:t>La Orden Foral 116/2020, de 13 de mayo, inició el procedimiento de elaboración del p</w:t>
      </w:r>
      <w:r w:rsidRPr="001D600F">
        <w:rPr>
          <w:rFonts w:ascii="Tahoma" w:hAnsi="Tahoma" w:cs="Tahoma"/>
          <w:bCs/>
          <w:sz w:val="22"/>
          <w:szCs w:val="22"/>
        </w:rPr>
        <w:t>royecto objeto del presente dictamen</w:t>
      </w:r>
      <w:r w:rsidRPr="001D600F">
        <w:rPr>
          <w:rFonts w:ascii="Tahoma" w:hAnsi="Tahoma" w:cs="Tahoma"/>
          <w:sz w:val="22"/>
          <w:szCs w:val="22"/>
        </w:rPr>
        <w:t>.</w:t>
      </w:r>
    </w:p>
    <w:p w:rsidR="00A472E1" w:rsidRPr="001D600F" w:rsidRDefault="00A472E1" w:rsidP="00A472E1">
      <w:pPr>
        <w:autoSpaceDE w:val="0"/>
        <w:autoSpaceDN w:val="0"/>
        <w:adjustRightInd w:val="0"/>
        <w:spacing w:before="120" w:line="360" w:lineRule="auto"/>
        <w:jc w:val="both"/>
        <w:rPr>
          <w:rFonts w:ascii="Tahoma" w:hAnsi="Tahoma" w:cs="Tahoma"/>
          <w:sz w:val="22"/>
          <w:szCs w:val="22"/>
        </w:rPr>
      </w:pPr>
      <w:r w:rsidRPr="001D600F">
        <w:rPr>
          <w:rFonts w:ascii="Tahoma" w:hAnsi="Tahoma" w:cs="Tahoma"/>
          <w:sz w:val="22"/>
          <w:szCs w:val="22"/>
        </w:rPr>
        <w:t>La iniciación del procedimiento vino precedida por la reunión, el día 20 de febrero de 2020, del Consejo Territorial de Caza de Álava, con objeto de informar, entre otros puntos, sobre la Orden Foral de Caza para la temporada 2020-2021, figurando en el expediente el acta correspondiente.</w:t>
      </w:r>
    </w:p>
    <w:p w:rsidR="00A472E1" w:rsidRPr="001D600F" w:rsidRDefault="00A472E1" w:rsidP="00A472E1">
      <w:pPr>
        <w:pStyle w:val="Prrafodelista1"/>
        <w:spacing w:before="120" w:after="0" w:line="360" w:lineRule="auto"/>
        <w:ind w:left="0"/>
        <w:jc w:val="both"/>
        <w:rPr>
          <w:rFonts w:ascii="Tahoma" w:hAnsi="Tahoma" w:cs="Tahoma"/>
        </w:rPr>
      </w:pPr>
      <w:r w:rsidRPr="001D600F">
        <w:rPr>
          <w:rFonts w:ascii="Tahoma" w:hAnsi="Tahoma" w:cs="Tahoma"/>
        </w:rPr>
        <w:t>La Orden Foral 119/2020, de 14 de mayo, aprobó el proyecto con carácter previo.</w:t>
      </w:r>
    </w:p>
    <w:p w:rsidR="00A472E1" w:rsidRPr="001D600F" w:rsidRDefault="00A472E1" w:rsidP="00A472E1">
      <w:pPr>
        <w:pStyle w:val="Prrafodelista1"/>
        <w:spacing w:before="120" w:after="0" w:line="360" w:lineRule="auto"/>
        <w:ind w:left="0"/>
        <w:jc w:val="both"/>
        <w:rPr>
          <w:rFonts w:ascii="Tahoma" w:hAnsi="Tahoma" w:cs="Tahoma"/>
        </w:rPr>
      </w:pPr>
      <w:r w:rsidRPr="001D600F">
        <w:rPr>
          <w:rFonts w:ascii="Tahoma" w:hAnsi="Tahoma" w:cs="Tahoma"/>
        </w:rPr>
        <w:t>La memoria del Servicio de Secretaría Técnica de Agricultura de 9 de junio de 2020 da cuenta de que el proyecto fue publicado en la página web de la Diputación Foral de Álava el día 1 de junio, dándose audiencia a la ciudadanía sobre su contenido por plazo de ocho días.</w:t>
      </w:r>
    </w:p>
    <w:p w:rsidR="00A472E1" w:rsidRPr="001D600F" w:rsidRDefault="00A472E1" w:rsidP="00A472E1">
      <w:pPr>
        <w:pStyle w:val="Prrafodelista1"/>
        <w:spacing w:before="120" w:after="0" w:line="360" w:lineRule="auto"/>
        <w:ind w:left="0"/>
        <w:jc w:val="both"/>
        <w:rPr>
          <w:rFonts w:ascii="Tahoma" w:hAnsi="Tahoma" w:cs="Tahoma"/>
        </w:rPr>
      </w:pPr>
      <w:r w:rsidRPr="001D600F">
        <w:rPr>
          <w:rFonts w:ascii="Tahoma" w:hAnsi="Tahoma" w:cs="Tahoma"/>
        </w:rPr>
        <w:t>Por lo demás, entre la documentación remitida por la Dirección de Agricultura figura el informe de impacto de género del proyecto de 14 de mayo de 2020, de la Secretaría Técnica de Agricultura, que concluye que su normativa «no es pertinente al género»; observaciones sobre la evaluación de impacto de género del proyecto, de 18 de mayo de 2020, del Servicio de Igualdad, Cooperación e Interculturalidad, que suscribe las conclusiones del informe anterior, constata el uso no sexista del lenguaje en la redacción del proyecto y propone la recogida de datos desagregados por sexo de las personas que se dedican a la caza. Figura también el informe de impacto normativo, de 9 de junio de 2020, de la Secretaría Técnica de Agricultura, el cual, además de examinar la oportunidad, motivación técnica y análisis jurídico del proyecto, concluye acerca de su impacto presupuestario que el mismo no conlleva cargas para la Diputación Foral de Álava.</w:t>
      </w:r>
    </w:p>
    <w:p w:rsidR="00A472E1" w:rsidRPr="001D600F" w:rsidRDefault="00A472E1" w:rsidP="00A472E1">
      <w:pPr>
        <w:spacing w:before="600" w:after="480" w:line="360" w:lineRule="auto"/>
        <w:jc w:val="both"/>
        <w:rPr>
          <w:rFonts w:ascii="Tahoma" w:hAnsi="Tahoma" w:cs="Tahoma"/>
          <w:b/>
          <w:sz w:val="22"/>
          <w:szCs w:val="22"/>
          <w:u w:val="single"/>
        </w:rPr>
      </w:pPr>
      <w:r w:rsidRPr="001D600F">
        <w:rPr>
          <w:rFonts w:ascii="Tahoma" w:hAnsi="Tahoma" w:cs="Tahoma"/>
          <w:b/>
          <w:sz w:val="22"/>
          <w:szCs w:val="22"/>
        </w:rPr>
        <w:t>CONSIDERACIONES JURÍDICAS</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b/>
          <w:sz w:val="22"/>
          <w:szCs w:val="22"/>
          <w:u w:val="single"/>
        </w:rPr>
        <w:lastRenderedPageBreak/>
        <w:t>P</w:t>
      </w:r>
      <w:r w:rsidRPr="001D600F">
        <w:rPr>
          <w:rFonts w:ascii="Tahoma" w:hAnsi="Tahoma" w:cs="Tahoma"/>
          <w:b/>
          <w:color w:val="000000"/>
          <w:sz w:val="22"/>
          <w:szCs w:val="22"/>
          <w:u w:val="single"/>
        </w:rPr>
        <w:t>RIMERA.- Competencia de la Comisión Consultiva.</w:t>
      </w:r>
    </w:p>
    <w:p w:rsidR="00A472E1" w:rsidRPr="001D600F" w:rsidRDefault="00A472E1" w:rsidP="00A472E1">
      <w:pPr>
        <w:spacing w:before="120" w:after="240" w:line="360" w:lineRule="auto"/>
        <w:jc w:val="both"/>
        <w:rPr>
          <w:rFonts w:ascii="Tahoma" w:hAnsi="Tahoma" w:cs="Tahoma"/>
          <w:b/>
          <w:bCs/>
          <w:sz w:val="22"/>
          <w:szCs w:val="22"/>
          <w:u w:val="single"/>
        </w:rPr>
      </w:pPr>
      <w:r w:rsidRPr="001D600F">
        <w:rPr>
          <w:rFonts w:ascii="Tahoma" w:hAnsi="Tahoma" w:cs="Tahoma"/>
          <w:color w:val="000000"/>
          <w:sz w:val="22"/>
          <w:szCs w:val="22"/>
        </w:rPr>
        <w:t xml:space="preserve">La competencia de la Comisión Consultiva para emitir el presente dictamen resulta del art. 3.1.b) de su Reglamento Orgánico, aprobado por Decreto Foral 40/1999, del Consejo de Gobierno Foral de 30 marzo, que somete al dictamen preceptivo y no vinculante de esta Comisión «los proyectos de disposiciones reglamentarias que se dicten en ejecución de las Normas Forales que regulen materias de la competencia exclusiva del Territorio </w:t>
      </w:r>
      <w:r w:rsidRPr="001D600F">
        <w:rPr>
          <w:rFonts w:ascii="Tahoma" w:hAnsi="Tahoma" w:cs="Tahoma"/>
          <w:sz w:val="22"/>
          <w:szCs w:val="22"/>
        </w:rPr>
        <w:t>Histórico o en ejecución de las Leyes de la Comunidad Autónoma en aquellas materias en que compete al Territorio Histórico el desarrollo reglamentario de las mismas».</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b/>
          <w:bCs/>
          <w:color w:val="000000"/>
          <w:sz w:val="22"/>
          <w:szCs w:val="22"/>
          <w:u w:val="single"/>
        </w:rPr>
        <w:t>SEGUNDA.- Sobre los aspectos formales de la norma en proyecto.</w:t>
      </w:r>
    </w:p>
    <w:p w:rsidR="00A472E1" w:rsidRPr="001D600F" w:rsidRDefault="00A472E1" w:rsidP="00A472E1">
      <w:pPr>
        <w:spacing w:before="120" w:after="240" w:line="360" w:lineRule="auto"/>
        <w:jc w:val="both"/>
        <w:rPr>
          <w:rFonts w:ascii="Tahoma" w:hAnsi="Tahoma" w:cs="Tahoma"/>
          <w:b/>
          <w:color w:val="000000"/>
          <w:sz w:val="22"/>
          <w:szCs w:val="22"/>
        </w:rPr>
      </w:pPr>
      <w:r w:rsidRPr="001D600F">
        <w:rPr>
          <w:rFonts w:ascii="Tahoma" w:hAnsi="Tahoma" w:cs="Tahoma"/>
          <w:b/>
          <w:color w:val="000000"/>
          <w:sz w:val="22"/>
          <w:szCs w:val="22"/>
        </w:rPr>
        <w:t>a) Competencia.</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El art. 40 de la Norma Foral 52/1992, de 18 diciembre, de Organización, Funcionamiento y Régimen Jurídico de la Diputación Foral de Álava, atribuye a los diputados forales el ejercicio de «la potestad reglamentaria y sancionadora, sin perjuicio de las competencias de los otros órganos de la Diputación en las materias propias de su Departamento y en aquellas para las que se hallen expresamente habilitados».</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Más específicamente, el art. 32 de la Norma Foral 8/2004, de 14 de junio, de Caza del Territorio Histórico de Álava, dispone que</w:t>
      </w:r>
    </w:p>
    <w:p w:rsidR="00A472E1" w:rsidRPr="001D600F" w:rsidRDefault="00A472E1" w:rsidP="00A472E1">
      <w:pPr>
        <w:spacing w:before="120" w:after="240" w:line="360" w:lineRule="auto"/>
        <w:ind w:left="567"/>
        <w:jc w:val="both"/>
        <w:rPr>
          <w:rFonts w:ascii="Tahoma" w:hAnsi="Tahoma" w:cs="Tahoma"/>
          <w:snapToGrid w:val="0"/>
          <w:sz w:val="22"/>
          <w:szCs w:val="22"/>
        </w:rPr>
      </w:pPr>
      <w:r w:rsidRPr="001D600F">
        <w:rPr>
          <w:rFonts w:ascii="Tahoma" w:hAnsi="Tahoma" w:cs="Tahoma"/>
          <w:sz w:val="22"/>
          <w:szCs w:val="22"/>
        </w:rPr>
        <w:t>El Departamento competente de la Diputación Foral, oído el Consejo Territorial de Caza, aprobará anualmente la Orden Foral Anual de Caza, reguladora del ejercicio de la caza en el Territorio Histórico, en la que se determinarán, al menos, las especies de interés cinegético y comercializables, las regulaciones, las épocas, días y horas hábiles de caza aplicables a las distintas especies en las diversas zonas, con expresión de las distintas modalidades y capturas permitidas.</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b/>
          <w:bCs/>
          <w:color w:val="000000"/>
          <w:sz w:val="22"/>
          <w:szCs w:val="22"/>
        </w:rPr>
        <w:t>b) Principios de buena regulación.</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1. Establece el art. 129 de la Ley 39/2015, de 1 de octubre, de Procedimiento Administrativo Común de las Administraciones Públicas (LPAC), que</w:t>
      </w:r>
    </w:p>
    <w:p w:rsidR="00A472E1" w:rsidRPr="001D600F" w:rsidRDefault="00A472E1" w:rsidP="00A472E1">
      <w:pPr>
        <w:spacing w:before="120" w:after="240" w:line="360" w:lineRule="auto"/>
        <w:ind w:left="567"/>
        <w:jc w:val="both"/>
        <w:rPr>
          <w:rFonts w:ascii="Tahoma" w:hAnsi="Tahoma" w:cs="Tahoma"/>
          <w:color w:val="000000"/>
          <w:sz w:val="22"/>
          <w:szCs w:val="22"/>
          <w:shd w:val="clear" w:color="auto" w:fill="FFFFFF"/>
        </w:rPr>
      </w:pPr>
      <w:r w:rsidRPr="001D600F">
        <w:rPr>
          <w:rFonts w:ascii="Tahoma" w:hAnsi="Tahoma" w:cs="Tahoma"/>
          <w:color w:val="000000"/>
          <w:sz w:val="22"/>
          <w:szCs w:val="22"/>
          <w:shd w:val="clear" w:color="auto" w:fill="FFFFFF"/>
        </w:rPr>
        <w:t xml:space="preserve">En el ejercicio de la iniciativa legislativa y la potestad reglamentaria, las Administraciones Públicas actuarán de acuerdo con los principios de necesidad, </w:t>
      </w:r>
      <w:r w:rsidRPr="001D600F">
        <w:rPr>
          <w:rFonts w:ascii="Tahoma" w:hAnsi="Tahoma" w:cs="Tahoma"/>
          <w:color w:val="000000"/>
          <w:sz w:val="22"/>
          <w:szCs w:val="22"/>
          <w:shd w:val="clear" w:color="auto" w:fill="FFFFFF"/>
        </w:rPr>
        <w:lastRenderedPageBreak/>
        <w:t>eficacia, proporcionalidad, seguridad jurídica, transparencia, y eficiencia. En la exposición de motivos o en el preámbulo, según se trate, respectivamente, de anteproyectos de ley o de proyectos de reglamento, quedará suficientemente justificada su adecuación a dichos principios.</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Y lo mismo resulta de lo dispuesto en el art. 16.2.e) en relación con el art. 3 del Decreto Foral 29/2017.</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color w:val="000000"/>
          <w:sz w:val="22"/>
          <w:szCs w:val="22"/>
        </w:rPr>
        <w:t>Pues bien, en relación con este punto, el preámbulo del proyecto se limita a indicar que «</w:t>
      </w:r>
      <w:r w:rsidRPr="001D600F">
        <w:rPr>
          <w:rFonts w:ascii="Tahoma" w:hAnsi="Tahoma" w:cs="Tahoma"/>
          <w:sz w:val="22"/>
          <w:szCs w:val="22"/>
        </w:rPr>
        <w:t>se ha justificado suficientemente en los antecedentes expuestos la necesidad de una nueva regulación de la caza en Álava, siendo además una actuación normativa proporcionada, ya que se limita al mínimo imprescindible para conseguir el fin perseguido, establecer la normativa específica reguladora de la caza en el Territorio Histórico de Álava», expresión que de manera patente incumple las anteriores previsiones legales.</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Aunque no lo dice el preámbulo del proyecto, en relación con los principios de necesidad y eficacia, y como se examinará más adelante, y sin perjuicio de lo que se dirá en el punto dos de este mismo epígrafe, la regulación propuesta da cumplimiento al mandato contenido en el art. 31 de la Ley del Parlamento Vasco 2/2011, de 17 de marzo, de Caza, dirigido a las diputaciones forales para la aprobación anual de una orden foral de vedas con el contenido mínimo que el precepto especifica.</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Con todo, el hecho de que el proyecto carezca de una justificación mínimamente suficiente sobre su adecuación a los principios de buena regulación, además de incumplir lo dispuesto en el art. 129.1 LPAC, supone la inobservancia del principio de transparencia en los términos en que el mismo viene configurado en el art. 129.5 LPAC.</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sz w:val="22"/>
          <w:szCs w:val="22"/>
        </w:rPr>
        <w:t>En definitiva, entendemos que deberá integrarse el preámbulo del proyecto de manera que el mismo justifique, de manera suficiente y separada y en la forma establecida en el art. 129 LPAC, el cumplimiento de los principios de buena regulación</w:t>
      </w:r>
      <w:r w:rsidRPr="001D600F">
        <w:rPr>
          <w:rFonts w:ascii="Tahoma" w:hAnsi="Tahoma" w:cs="Tahoma"/>
          <w:color w:val="000000"/>
          <w:sz w:val="22"/>
          <w:szCs w:val="22"/>
        </w:rPr>
        <w:t>.</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 xml:space="preserve">2. Además de lo dicho en el punto anterior, el principio de necesidad, vinculado, según el tenor del art. 129.2 LPAC, a las finalidades pretendidas con la norma, presenta otro aspecto a considerar en relación con la orden de vedas, en la medida en que está norma ha de perseguir, entre otros fines, el de </w:t>
      </w:r>
      <w:r w:rsidRPr="001D600F">
        <w:rPr>
          <w:rFonts w:ascii="Tahoma" w:hAnsi="Tahoma" w:cs="Tahoma"/>
          <w:i/>
          <w:color w:val="000000"/>
          <w:sz w:val="22"/>
          <w:szCs w:val="22"/>
        </w:rPr>
        <w:t>utilización razonable</w:t>
      </w:r>
      <w:r w:rsidRPr="001D600F">
        <w:rPr>
          <w:rFonts w:ascii="Tahoma" w:hAnsi="Tahoma" w:cs="Tahoma"/>
          <w:color w:val="000000"/>
          <w:sz w:val="22"/>
          <w:szCs w:val="22"/>
        </w:rPr>
        <w:t xml:space="preserve"> de las especies </w:t>
      </w:r>
      <w:r w:rsidRPr="001D600F">
        <w:rPr>
          <w:rFonts w:ascii="Tahoma" w:hAnsi="Tahoma" w:cs="Tahoma"/>
          <w:color w:val="000000"/>
          <w:sz w:val="22"/>
          <w:szCs w:val="22"/>
        </w:rPr>
        <w:lastRenderedPageBreak/>
        <w:t>cinegéticas (en expresión del art. 7 de la Directiva 2009/147/CE, de 30 de noviembre de 2009, relativa a la conservación de las aves silvestres), lo que necesariamente habrá de proyectarse en la concreta regulación que se propone.</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Así, según el art. 65.2 de la Ley 42/2007, del Patrimonio Cultural y la Biodiversidad,</w:t>
      </w:r>
    </w:p>
    <w:p w:rsidR="00A472E1" w:rsidRPr="001D600F" w:rsidRDefault="00A472E1" w:rsidP="00A472E1">
      <w:pPr>
        <w:spacing w:before="120" w:after="240" w:line="360" w:lineRule="auto"/>
        <w:ind w:left="567"/>
        <w:jc w:val="both"/>
        <w:rPr>
          <w:rFonts w:ascii="Tahoma" w:hAnsi="Tahoma" w:cs="Tahoma"/>
          <w:sz w:val="22"/>
          <w:szCs w:val="22"/>
        </w:rPr>
      </w:pPr>
      <w:r w:rsidRPr="001D600F">
        <w:rPr>
          <w:rFonts w:ascii="Tahoma" w:hAnsi="Tahoma" w:cs="Tahoma"/>
          <w:sz w:val="22"/>
          <w:szCs w:val="22"/>
          <w:shd w:val="clear" w:color="auto" w:fill="FFFFFF"/>
        </w:rPr>
        <w:t xml:space="preserve">…el ejercicio de la caza y la pesca continental se </w:t>
      </w:r>
      <w:proofErr w:type="gramStart"/>
      <w:r w:rsidRPr="001D600F">
        <w:rPr>
          <w:rFonts w:ascii="Tahoma" w:hAnsi="Tahoma" w:cs="Tahoma"/>
          <w:sz w:val="22"/>
          <w:szCs w:val="22"/>
          <w:shd w:val="clear" w:color="auto" w:fill="FFFFFF"/>
        </w:rPr>
        <w:t>regulará</w:t>
      </w:r>
      <w:proofErr w:type="gramEnd"/>
      <w:r w:rsidRPr="001D600F">
        <w:rPr>
          <w:rFonts w:ascii="Tahoma" w:hAnsi="Tahoma" w:cs="Tahoma"/>
          <w:sz w:val="22"/>
          <w:szCs w:val="22"/>
          <w:shd w:val="clear" w:color="auto" w:fill="FFFFFF"/>
        </w:rPr>
        <w:t xml:space="preserve"> de modo que queden garantizados la conservación y el fomento de las especies autorizadas para este ejercicio, a cuyos efectos la Comunidades autónomas determinarán los terrenos y las aguas donde puedan realizarse tales actividades, así como las fechas hábiles para cada especie.</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 xml:space="preserve">En el mismo sentido y en relación con la actividad cinegética en el ámbito de nuestra comunidad autónoma, según el art. 31 de la Ley 2/2007, de caza, la orden foral de vedas contendrá «La regulación específica para cada especie cinegética que se determine en la orden, que </w:t>
      </w:r>
      <w:r w:rsidRPr="001D600F">
        <w:rPr>
          <w:rFonts w:ascii="Tahoma" w:hAnsi="Tahoma" w:cs="Tahoma"/>
          <w:i/>
          <w:color w:val="000000"/>
          <w:sz w:val="22"/>
          <w:szCs w:val="22"/>
        </w:rPr>
        <w:t>garantizará, en todo caso, la viabilidad de sus poblaciones y su pervivencia en el territorio foral de que se trate</w:t>
      </w:r>
      <w:r w:rsidRPr="001D600F">
        <w:rPr>
          <w:rFonts w:ascii="Tahoma" w:hAnsi="Tahoma" w:cs="Tahoma"/>
          <w:color w:val="000000"/>
          <w:sz w:val="22"/>
          <w:szCs w:val="22"/>
        </w:rPr>
        <w:t>».</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Pues bien, ni el proyecto que se somete a dictamen, ni los documentos incorporados al expediente, justifican cómo la finalidad de conservación de las especies cinegéticas cuya caza se autoriza se ha plasmado en la normativa cuya aprobación se propone, en aspectos básicos como los días y horas hábiles que se establecen en relación con las distintas especies cinegéticas en la media veda (art. 2), caza menor (art. 3) o caza mayor (art. 4), entre otros.</w:t>
      </w:r>
    </w:p>
    <w:p w:rsidR="00A472E1" w:rsidRPr="001D600F" w:rsidRDefault="00A472E1" w:rsidP="00A472E1">
      <w:pPr>
        <w:shd w:val="clear" w:color="auto" w:fill="FFFFFF"/>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Más concretamente, y al margen de las referencias –insuficientes a estos efectos</w:t>
      </w:r>
      <w:r w:rsidRPr="001D600F">
        <w:rPr>
          <w:rFonts w:ascii="Tahoma" w:hAnsi="Tahoma" w:cs="Tahoma"/>
          <w:color w:val="000000"/>
          <w:sz w:val="22"/>
          <w:szCs w:val="22"/>
        </w:rPr>
        <w:noBreakHyphen/>
        <w:t xml:space="preserve"> que sobre este particular se contienen en el acta de la reunión del Consejo Territorial de Caza de Álava de 20 de febrero de 2020 en relación con el avefría, el porrón europeo, la codorniz o la becada, no consta que en el curso del procedimiento se haya recabado «n</w:t>
      </w:r>
      <w:r w:rsidRPr="001D600F">
        <w:rPr>
          <w:rStyle w:val="nfasis"/>
          <w:rFonts w:ascii="Tahoma" w:hAnsi="Tahoma" w:cs="Tahoma"/>
          <w:color w:val="000000"/>
          <w:sz w:val="22"/>
          <w:szCs w:val="22"/>
          <w:shd w:val="clear" w:color="auto" w:fill="FFFFFF"/>
        </w:rPr>
        <w:t>ingún informe técnico de carácter medioambiental, biológico o cinegético sobre la población de las especies respecto de las que se autoriza la caza ni sobre su evolución favorable o desfavorable ni, en fin, sobre sus ciclos de reproducción y cría» y</w:t>
      </w:r>
      <w:r w:rsidRPr="001D600F">
        <w:rPr>
          <w:rFonts w:ascii="Tahoma" w:hAnsi="Tahoma" w:cs="Tahoma"/>
          <w:color w:val="000000"/>
          <w:sz w:val="22"/>
          <w:szCs w:val="22"/>
        </w:rPr>
        <w:t xml:space="preserve"> «que </w:t>
      </w:r>
      <w:r w:rsidRPr="001D600F">
        <w:rPr>
          <w:rStyle w:val="nfasis"/>
          <w:rFonts w:ascii="Tahoma" w:hAnsi="Tahoma" w:cs="Tahoma"/>
          <w:color w:val="000000"/>
          <w:sz w:val="22"/>
          <w:szCs w:val="22"/>
        </w:rPr>
        <w:t>justifique que los periodos de veda que se establecen en la Orden impugnada garantizan una utilización razonable de las especies cinegéticas» (STS 1739/2018 bis, de 10 de diciembre, FJ 9) y cuya omisión, según el alto tribunal, evidencia un ejercicio arbitrario de la potestad reglamentaria que da lugar a la nulidad de pleno derecho de la orden de vedas conforme al art. 47.2 LPAC.</w:t>
      </w:r>
    </w:p>
    <w:p w:rsidR="00A472E1" w:rsidRPr="001D600F" w:rsidRDefault="00A472E1" w:rsidP="00A472E1">
      <w:pPr>
        <w:spacing w:before="120" w:after="240" w:line="360" w:lineRule="auto"/>
        <w:jc w:val="both"/>
        <w:rPr>
          <w:rFonts w:ascii="Tahoma" w:hAnsi="Tahoma" w:cs="Tahoma"/>
          <w:b/>
          <w:color w:val="000000"/>
          <w:sz w:val="22"/>
          <w:szCs w:val="22"/>
        </w:rPr>
      </w:pPr>
      <w:r w:rsidRPr="001D600F">
        <w:rPr>
          <w:rFonts w:ascii="Tahoma" w:hAnsi="Tahoma" w:cs="Tahoma"/>
          <w:b/>
          <w:color w:val="000000"/>
          <w:sz w:val="22"/>
          <w:szCs w:val="22"/>
        </w:rPr>
        <w:lastRenderedPageBreak/>
        <w:t>c) Procedimiento.</w:t>
      </w:r>
    </w:p>
    <w:p w:rsidR="00A472E1"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i) Suspensión de plazos.</w:t>
      </w:r>
    </w:p>
    <w:p w:rsidR="00A472E1" w:rsidRPr="000702FD" w:rsidRDefault="00A472E1" w:rsidP="00A472E1">
      <w:pPr>
        <w:spacing w:before="120" w:after="240" w:line="360" w:lineRule="auto"/>
        <w:jc w:val="both"/>
        <w:rPr>
          <w:rFonts w:ascii="Tahoma" w:hAnsi="Tahoma" w:cs="Tahoma"/>
          <w:color w:val="000000"/>
          <w:sz w:val="22"/>
          <w:szCs w:val="22"/>
        </w:rPr>
      </w:pPr>
      <w:r w:rsidRPr="000702FD">
        <w:rPr>
          <w:rFonts w:ascii="Tahoma" w:hAnsi="Tahoma" w:cs="Tahoma"/>
          <w:color w:val="000000"/>
          <w:sz w:val="22"/>
          <w:szCs w:val="22"/>
        </w:rPr>
        <w:t>La incoación del procedimiento para la aprobación del proyecto como norma reglamentaria durante la vigencia del estado de alarma declarado para la gestión de la situación de crisis sanitaria ocasionada por el COVID-19 por el Real Decreto 463/2020, de 14 de marzo, no infringe lo establecido en su disposición adicional tercera, que acordó la interrupción de los plazos para la tramitación de los procedimientos de las entidades del sector público.</w:t>
      </w:r>
    </w:p>
    <w:p w:rsidR="00A472E1" w:rsidRPr="001D600F" w:rsidRDefault="00A472E1" w:rsidP="00A472E1">
      <w:pPr>
        <w:pStyle w:val="Ttulo3"/>
        <w:shd w:val="clear" w:color="auto" w:fill="FFFFFF"/>
        <w:spacing w:before="120" w:after="240" w:line="360" w:lineRule="auto"/>
        <w:rPr>
          <w:rFonts w:ascii="Tahoma" w:hAnsi="Tahoma" w:cs="Tahoma"/>
          <w:b w:val="0"/>
          <w:bCs/>
          <w:color w:val="000000"/>
          <w:sz w:val="22"/>
          <w:szCs w:val="22"/>
        </w:rPr>
      </w:pPr>
      <w:r w:rsidRPr="001D600F">
        <w:rPr>
          <w:rFonts w:ascii="Tahoma" w:hAnsi="Tahoma" w:cs="Tahoma"/>
          <w:b w:val="0"/>
          <w:color w:val="000000"/>
          <w:sz w:val="22"/>
          <w:szCs w:val="22"/>
        </w:rPr>
        <w:t>Ha de entenderse que la interrupción de los plazos administrativos no implica la inhabilidad de los días (en este sentido se pronunció, en relación con la suspensión e interrupción de los plazos procesales, la Resolución del Ministro de Justicia de 13 de abril de 2020 por la que se adapta la prestación del servicio público de justicia al Real Decreto 487/2020, de 10 de abril), de manera que la interrupción de los plazos administrativos es compatible con la realización válida de actividad administrativa.</w:t>
      </w:r>
    </w:p>
    <w:p w:rsidR="00A472E1" w:rsidRPr="001D600F" w:rsidRDefault="00A472E1" w:rsidP="00A472E1">
      <w:pPr>
        <w:pStyle w:val="Ttulo3"/>
        <w:shd w:val="clear" w:color="auto" w:fill="FFFFFF"/>
        <w:spacing w:before="120" w:after="240" w:line="360" w:lineRule="auto"/>
        <w:rPr>
          <w:rFonts w:ascii="Tahoma" w:hAnsi="Tahoma" w:cs="Tahoma"/>
          <w:color w:val="000000"/>
          <w:sz w:val="22"/>
          <w:szCs w:val="22"/>
        </w:rPr>
      </w:pPr>
      <w:r w:rsidRPr="001D600F">
        <w:rPr>
          <w:rFonts w:ascii="Tahoma" w:hAnsi="Tahoma" w:cs="Tahoma"/>
          <w:b w:val="0"/>
          <w:sz w:val="22"/>
          <w:szCs w:val="22"/>
        </w:rPr>
        <w:t>Como resulta de la memoria de 9 de junio de 2020, del Servicio de Secretaría Técnica de Agricultura obrante en el expediente, el único plazo relevante frente a terceros interesados abierto durante la sustanciación del procedimiento –el correspondiente al trámite de audiencia e información pública</w:t>
      </w:r>
      <w:r w:rsidRPr="001D600F">
        <w:rPr>
          <w:rFonts w:ascii="Tahoma" w:hAnsi="Tahoma" w:cs="Tahoma"/>
          <w:b w:val="0"/>
          <w:sz w:val="22"/>
          <w:szCs w:val="22"/>
        </w:rPr>
        <w:noBreakHyphen/>
        <w:t xml:space="preserve"> fue iniciado el día 1 de junio pasado, es decir, una vez quedó sin efecto la suspensión de los plazos administrativos por disposición del art. 9 del Real Decreto 537/2020, de 22 de mayo, por el que se prorroga el estado de alarma declarado por el Real Decreto 463/2020, de 14 de marzo, por el que se declara el estado de alarma para la gestión de la situación de crisis sanitaria ocasionada por el COVID-19.</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ii) Plan Anual Normativo.</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Establece el art. 4 del Decreto Foral 29/2017:</w:t>
      </w:r>
    </w:p>
    <w:p w:rsidR="00A472E1" w:rsidRPr="001D600F" w:rsidRDefault="00A472E1" w:rsidP="00A472E1">
      <w:pPr>
        <w:spacing w:before="120" w:after="240" w:line="360" w:lineRule="auto"/>
        <w:ind w:left="567"/>
        <w:jc w:val="both"/>
        <w:rPr>
          <w:rFonts w:ascii="Tahoma" w:hAnsi="Tahoma" w:cs="Tahoma"/>
          <w:sz w:val="22"/>
          <w:szCs w:val="22"/>
        </w:rPr>
      </w:pPr>
      <w:r w:rsidRPr="001D600F">
        <w:rPr>
          <w:rFonts w:ascii="Tahoma" w:hAnsi="Tahoma" w:cs="Tahoma"/>
          <w:sz w:val="22"/>
          <w:szCs w:val="22"/>
        </w:rPr>
        <w:t>1. El último trimestre de cada año la Diputación Foral de Álava aprobará y hará público un Plan Normativo referido a las iniciativas normativas forales y de carácter general que tenga previsto proponer para su aprobación durante el ejercicio anual siguiente.</w:t>
      </w:r>
    </w:p>
    <w:p w:rsidR="00A472E1" w:rsidRPr="001D600F" w:rsidRDefault="00A472E1" w:rsidP="00A472E1">
      <w:pPr>
        <w:spacing w:before="120" w:after="240" w:line="360" w:lineRule="auto"/>
        <w:ind w:left="567"/>
        <w:jc w:val="both"/>
        <w:rPr>
          <w:rFonts w:ascii="Tahoma" w:hAnsi="Tahoma" w:cs="Tahoma"/>
          <w:sz w:val="22"/>
          <w:szCs w:val="22"/>
        </w:rPr>
      </w:pPr>
      <w:r w:rsidRPr="001D600F">
        <w:rPr>
          <w:rFonts w:ascii="Tahoma" w:hAnsi="Tahoma" w:cs="Tahoma"/>
          <w:sz w:val="22"/>
          <w:szCs w:val="22"/>
        </w:rPr>
        <w:lastRenderedPageBreak/>
        <w:t>2. En el caso de que se proponga la aprobación por el órgano competente de una propuesta normativa que no figure en el Plan Anual Normativo, se deberá justificar la urgencia o la necesidad de tal regulación en la resolución de incoación del procedimiento de elaboración de dicha disposición de carácter general.</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Pues bien, a pesar de que estamos ante una regulación cuya aprobación anual es preceptiva en los términos examinados en el epígrafe anterior, y, por lo mismo, enteramente previsible, del mismo modo a como ha venido sucediendo en años anteriores, la iniciativa que se somete al dictamen de esta Comisión Consultiva no ha sido incluida tampoco este año en el Plan Anual Normativo de la Diputación Foral de Álava correspondiente al ejercicio 2020, aprobado por Acuerdo 824/2019, de 27 de diciembre, del Consejo de Gobierno Foral.</w:t>
      </w:r>
    </w:p>
    <w:p w:rsidR="00A472E1" w:rsidRPr="001D600F" w:rsidRDefault="00A472E1" w:rsidP="00A472E1">
      <w:pPr>
        <w:autoSpaceDE w:val="0"/>
        <w:autoSpaceDN w:val="0"/>
        <w:adjustRightInd w:val="0"/>
        <w:spacing w:before="120" w:after="240" w:line="360" w:lineRule="auto"/>
        <w:jc w:val="both"/>
        <w:rPr>
          <w:rFonts w:ascii="Tahoma" w:hAnsi="Tahoma" w:cs="Tahoma"/>
          <w:sz w:val="22"/>
          <w:szCs w:val="22"/>
        </w:rPr>
      </w:pPr>
      <w:r w:rsidRPr="001D600F">
        <w:rPr>
          <w:rFonts w:ascii="Tahoma" w:hAnsi="Tahoma" w:cs="Tahoma"/>
          <w:sz w:val="22"/>
          <w:szCs w:val="22"/>
        </w:rPr>
        <w:t>A lo anterior hay que añadir que la escueta referencia al «interés público de que la normativa de caza esté aprobada y publicada previamente a la apertura de la media veda en 2020, prevista para el día 15 de agosto, debido al largo procedimiento para aprobar las disposiciones de carácter general» que se contiene en la Orden Foral 116/2020, a los efectos, no del Plan Anual Normativo, sino de la reducción del plazo de información pública –cuestión a la que se hará referencia más adelante</w:t>
      </w:r>
      <w:r w:rsidRPr="001D600F">
        <w:rPr>
          <w:rFonts w:ascii="Tahoma" w:hAnsi="Tahoma" w:cs="Tahoma"/>
          <w:sz w:val="22"/>
          <w:szCs w:val="22"/>
        </w:rPr>
        <w:noBreakHyphen/>
        <w:t xml:space="preserve"> no da cumplimiento a lo previsto en el art. 4.2 DF 29/2017.</w:t>
      </w:r>
    </w:p>
    <w:p w:rsidR="00A472E1" w:rsidRPr="001D600F" w:rsidRDefault="00A472E1" w:rsidP="00A472E1">
      <w:pPr>
        <w:autoSpaceDE w:val="0"/>
        <w:autoSpaceDN w:val="0"/>
        <w:adjustRightInd w:val="0"/>
        <w:spacing w:before="120" w:after="240" w:line="360" w:lineRule="auto"/>
        <w:jc w:val="both"/>
        <w:rPr>
          <w:rFonts w:ascii="Tahoma" w:hAnsi="Tahoma" w:cs="Tahoma"/>
          <w:sz w:val="22"/>
          <w:szCs w:val="22"/>
        </w:rPr>
      </w:pPr>
      <w:r w:rsidRPr="001D600F">
        <w:rPr>
          <w:rFonts w:ascii="Tahoma" w:hAnsi="Tahoma" w:cs="Tahoma"/>
          <w:sz w:val="22"/>
          <w:szCs w:val="22"/>
        </w:rPr>
        <w:t>En conclusión, el hecho de que la normativa cuya aprobación se propone no haya sido incluida en el Plan Anual Normativo, y que la resolución que ha dado inicio al procedimiento de aprobación de la misma no justifique debidamente la necesidad ni la urgencia de su aprobación, supone la infracción de lo dispuesto en el art. 4 del Decreto Foral 29/2017.</w:t>
      </w:r>
    </w:p>
    <w:p w:rsidR="00A472E1" w:rsidRPr="001D600F" w:rsidRDefault="00A472E1" w:rsidP="00A472E1">
      <w:pPr>
        <w:autoSpaceDE w:val="0"/>
        <w:autoSpaceDN w:val="0"/>
        <w:adjustRightInd w:val="0"/>
        <w:spacing w:before="120" w:after="240" w:line="360" w:lineRule="auto"/>
        <w:jc w:val="both"/>
        <w:rPr>
          <w:rFonts w:ascii="Tahoma" w:hAnsi="Tahoma" w:cs="Tahoma"/>
          <w:sz w:val="22"/>
          <w:szCs w:val="22"/>
        </w:rPr>
      </w:pPr>
      <w:r w:rsidRPr="001D600F">
        <w:rPr>
          <w:rFonts w:ascii="Tahoma" w:hAnsi="Tahoma" w:cs="Tahoma"/>
          <w:sz w:val="22"/>
          <w:szCs w:val="22"/>
        </w:rPr>
        <w:t>iii) Consulta pública previa.</w:t>
      </w:r>
    </w:p>
    <w:p w:rsidR="00A472E1" w:rsidRPr="001D600F" w:rsidRDefault="00A472E1" w:rsidP="00A472E1">
      <w:pPr>
        <w:autoSpaceDE w:val="0"/>
        <w:autoSpaceDN w:val="0"/>
        <w:adjustRightInd w:val="0"/>
        <w:spacing w:before="120" w:after="240" w:line="360" w:lineRule="auto"/>
        <w:jc w:val="both"/>
        <w:rPr>
          <w:rFonts w:ascii="Tahoma" w:hAnsi="Tahoma" w:cs="Tahoma"/>
          <w:sz w:val="22"/>
          <w:szCs w:val="22"/>
        </w:rPr>
      </w:pPr>
      <w:r w:rsidRPr="001D600F">
        <w:rPr>
          <w:rFonts w:ascii="Tahoma" w:hAnsi="Tahoma" w:cs="Tahoma"/>
          <w:sz w:val="22"/>
          <w:szCs w:val="22"/>
        </w:rPr>
        <w:t xml:space="preserve">Se ha omitido el trámite de consulta pública previa, omisión que la Orden Foral 116/2020, iniciadora del procedimiento, trata de justificar en que el proyecto «en realidad supone establecer los aspectos concretos, tales como horarios y días hábiles para ejercer la caza, especies </w:t>
      </w:r>
      <w:proofErr w:type="spellStart"/>
      <w:r w:rsidRPr="001D600F">
        <w:rPr>
          <w:rFonts w:ascii="Tahoma" w:hAnsi="Tahoma" w:cs="Tahoma"/>
          <w:sz w:val="22"/>
          <w:szCs w:val="22"/>
        </w:rPr>
        <w:t>cazables</w:t>
      </w:r>
      <w:proofErr w:type="spellEnd"/>
      <w:r w:rsidRPr="001D600F">
        <w:rPr>
          <w:rFonts w:ascii="Tahoma" w:hAnsi="Tahoma" w:cs="Tahoma"/>
          <w:sz w:val="22"/>
          <w:szCs w:val="22"/>
        </w:rPr>
        <w:t xml:space="preserve">, terrenos cinegéticos, cupos, etc. que regularán el ejercicio de la caza en el Territorio Histórico de Álava durante la temporada 2020-2021, que además ha sido acordada en el Consejo Territorial de caza celebrado el pasado día 20 de febrero de 2020, al que asisten, además de personal técnico del </w:t>
      </w:r>
      <w:r w:rsidRPr="001D600F">
        <w:rPr>
          <w:rFonts w:ascii="Tahoma" w:hAnsi="Tahoma" w:cs="Tahoma"/>
          <w:sz w:val="22"/>
          <w:szCs w:val="22"/>
        </w:rPr>
        <w:lastRenderedPageBreak/>
        <w:t>Servicio de Montes, representantes de las dos asociaciones de cotos de caza existentes en Álava, personal técnico ajeno a la Diputación y todos los sectores que pueden resultar afectados o interesados en esta materia».</w:t>
      </w:r>
    </w:p>
    <w:p w:rsidR="00A472E1" w:rsidRPr="001D600F" w:rsidRDefault="00A472E1" w:rsidP="00A472E1">
      <w:pPr>
        <w:autoSpaceDE w:val="0"/>
        <w:autoSpaceDN w:val="0"/>
        <w:adjustRightInd w:val="0"/>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 xml:space="preserve">Pues bien, como ya dijimos en el dictamen relativo a la orden de vedas del año anterior, el hecho de que haya sido oído el Consejo Territorial de Caza de Álava, en el que están presentes los sectores interesados en la actividad cinegética, no exime del trámite de consulta pública previa, pues el art. 9 del DF 29/2017 es claro al indicar que el objeto del trámite es recabar, en relación con los aspectos que se relacionan en el mismo art. 9, la opinión </w:t>
      </w:r>
      <w:r w:rsidRPr="001D600F">
        <w:rPr>
          <w:rFonts w:ascii="Tahoma" w:hAnsi="Tahoma" w:cs="Tahoma"/>
          <w:i/>
          <w:color w:val="000000"/>
          <w:sz w:val="22"/>
          <w:szCs w:val="22"/>
        </w:rPr>
        <w:t>de la ciudadanía</w:t>
      </w:r>
      <w:r w:rsidRPr="001D600F">
        <w:rPr>
          <w:rFonts w:ascii="Tahoma" w:hAnsi="Tahoma" w:cs="Tahoma"/>
          <w:color w:val="000000"/>
          <w:sz w:val="22"/>
          <w:szCs w:val="22"/>
        </w:rPr>
        <w:t xml:space="preserve"> (y no solo de las organizaciones más representativas o de los sectores interesados).</w:t>
      </w:r>
    </w:p>
    <w:p w:rsidR="00A472E1" w:rsidRPr="001D600F" w:rsidRDefault="00A472E1" w:rsidP="00A472E1">
      <w:pPr>
        <w:autoSpaceDE w:val="0"/>
        <w:autoSpaceDN w:val="0"/>
        <w:adjustRightInd w:val="0"/>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Ahora bien, comoquiera que el proyecto se atiene, en lo fundamental, a los contenidos mínimos que para la orden foral de vedas fija el art. 31 de la Ley 2/2011, sin incluir, a diferencia de años anteriores, la regulación de aspectos generales del ejercicio de la caza, en particular, de las modalidades de caza, para las cuales se prevé ahora la aprobación de una norma reglamentaria distinta, puede considerarse, como dice la resolución que inició el procedimiento, que la norma en proyecto regulará, tras su aprobación, aspectos parciales de la materia, lo que faculta para prescindir del trámite de consulta pública previa, de acuerdo con lo establecido en el art. 133.4 LPAC y 10.g) DF 29/2017.</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iv) Audiencia e información pública.</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La memoria del Servicio de Secretaría Técnica de Agricultura de 9 de junio de 2020 da cuenta de que se ha dado audiencia a la ciudadanía sobre el contenido del proyecto por plazo de ocho días desde su publicación en la página web de la Diputación Foral de Álava, no habiéndose formulado alegaciones durante el mismo.</w:t>
      </w:r>
    </w:p>
    <w:p w:rsidR="00A472E1"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La Orden Foral 116/2020 trata de motivar la reducción del plazo de información pública de quince a ocho días –reducción que también se practicó en la tramitación de la orden de vedas de la temporada anterior</w:t>
      </w:r>
      <w:r w:rsidRPr="001D600F">
        <w:rPr>
          <w:rFonts w:ascii="Tahoma" w:hAnsi="Tahoma" w:cs="Tahoma"/>
          <w:color w:val="000000"/>
          <w:sz w:val="22"/>
          <w:szCs w:val="22"/>
        </w:rPr>
        <w:noBreakHyphen/>
        <w:t xml:space="preserve">, en la necesidad de que la normativa propuesta esté en vigor antes del comienzo de la temporada (15 de agosto) unido «al largo procedimiento para aprobar las disposiciones de carácter general», lo cual, así enunciado, comoquiera que se trata de circunstancias enteramente conocidas al menos desde el final de la campaña del año anterior y, en consecuencia, perfectamente previsibles, carece de virtualidad para justificar la reducción del plazo de información </w:t>
      </w:r>
      <w:r w:rsidRPr="001D600F">
        <w:rPr>
          <w:rFonts w:ascii="Tahoma" w:hAnsi="Tahoma" w:cs="Tahoma"/>
          <w:color w:val="000000"/>
          <w:sz w:val="22"/>
          <w:szCs w:val="22"/>
        </w:rPr>
        <w:lastRenderedPageBreak/>
        <w:t>pública y supone el incumplimiento de lo establecido en el art. 13.3 del Decreto Foral 20/2017.</w:t>
      </w:r>
    </w:p>
    <w:p w:rsidR="00A472E1" w:rsidRPr="001D600F" w:rsidRDefault="00A472E1" w:rsidP="00A472E1">
      <w:pPr>
        <w:spacing w:before="120" w:after="240" w:line="360" w:lineRule="auto"/>
        <w:jc w:val="both"/>
        <w:rPr>
          <w:rFonts w:ascii="Tahoma" w:hAnsi="Tahoma" w:cs="Tahoma"/>
          <w:color w:val="000000"/>
          <w:sz w:val="22"/>
          <w:szCs w:val="22"/>
        </w:rPr>
      </w:pP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v) Otros trámites.</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Como se ha dicho ya, figuran en el expediente los informes de impacto normativo y de evaluación previa del impacto en función del género, respectivamente de 9 de junio y de 14 de mayo de 2020, de la Secretaría Técnica de Agricultura, y las observaciones favorables del Servicio de Igualdad, de 18 de mayo de 2020, documentos todos ellos previstos en el art. 14 del Decreto Foral 29/2017.</w:t>
      </w:r>
    </w:p>
    <w:p w:rsidR="00A472E1" w:rsidRPr="001D600F" w:rsidRDefault="00A472E1" w:rsidP="00A472E1">
      <w:pPr>
        <w:spacing w:before="120" w:after="240" w:line="360" w:lineRule="auto"/>
        <w:jc w:val="both"/>
        <w:rPr>
          <w:rFonts w:ascii="Tahoma" w:hAnsi="Tahoma" w:cs="Tahoma"/>
          <w:color w:val="000000"/>
          <w:sz w:val="22"/>
          <w:szCs w:val="22"/>
        </w:rPr>
      </w:pPr>
      <w:r w:rsidRPr="001D600F">
        <w:rPr>
          <w:rFonts w:ascii="Tahoma" w:hAnsi="Tahoma" w:cs="Tahoma"/>
          <w:color w:val="000000"/>
          <w:sz w:val="22"/>
          <w:szCs w:val="22"/>
        </w:rPr>
        <w:t>Con anterioridad a la aprobación previa del proyecto ha sido consultado el Consejo Territorial de Caza de Álava, consulta que tiene carácter preceptivo «en relación con las cuestiones de carácter general que afecten a la actividad cinegética, y en especial, para la elaboración de la Orden Foral Anual de Caza», según lo dispuesto en el art. 33.1 de la Norma Foral de Caza del THA.</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b/>
          <w:sz w:val="22"/>
          <w:szCs w:val="22"/>
          <w:u w:val="single"/>
        </w:rPr>
        <w:t>TERCERA.- Títulos competenciales actuados por la norma reglamentaria en proyecto.</w:t>
      </w:r>
    </w:p>
    <w:p w:rsidR="00A472E1" w:rsidRPr="001D600F" w:rsidRDefault="00A472E1" w:rsidP="00A472E1">
      <w:pPr>
        <w:spacing w:before="120" w:after="240" w:line="360" w:lineRule="auto"/>
        <w:jc w:val="both"/>
        <w:rPr>
          <w:rFonts w:ascii="Tahoma" w:hAnsi="Tahoma" w:cs="Tahoma"/>
          <w:b/>
          <w:sz w:val="22"/>
          <w:szCs w:val="22"/>
          <w:u w:val="single"/>
        </w:rPr>
      </w:pPr>
      <w:r w:rsidRPr="001D600F">
        <w:rPr>
          <w:rFonts w:ascii="Tahoma" w:hAnsi="Tahoma" w:cs="Tahoma"/>
          <w:sz w:val="22"/>
          <w:szCs w:val="22"/>
        </w:rPr>
        <w:t>El proyecto objeto de dictamen, al igual que la Norma Foral habilitante, esto es, la Norma Foral 8/2004, de 14 de junio, de Caza del Territorio Histórico de Álava, actúa la competencia del Territorio Histórico de Álava para «el desarrollo y la ejecución de las normas emanadas de las Instituciones Comunes» de la CAPV en materia de «régimen de aprovechamiento de la riqueza piscícola continental y cinegética» (art. 7.b].3 de la Ley de Territorios Históricos).</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b/>
          <w:sz w:val="22"/>
          <w:szCs w:val="22"/>
          <w:u w:val="single"/>
        </w:rPr>
        <w:t>CUARTA.- Contenido del proyecto.</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El proyecto de norma reglamentaria está integrado por un único artículo que aprueba la normativa que regula el ejercicio de la caza en el Territorio Histórico de Álava durante la campaña 2020-2021 según el articulado que se recoge en el anexo I del proyecto, y por una disposición final de entrada en vigor de la norma el día siguiente al de su publicación oficial.</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lastRenderedPageBreak/>
        <w:t xml:space="preserve">Por su parte, el anexo comprende once artículos que regulan los días y horas hábiles, en general (art. 1) y, junto con la determinación de las especies </w:t>
      </w:r>
      <w:proofErr w:type="spellStart"/>
      <w:r w:rsidRPr="001D600F">
        <w:rPr>
          <w:rFonts w:ascii="Tahoma" w:hAnsi="Tahoma" w:cs="Tahoma"/>
          <w:sz w:val="22"/>
          <w:szCs w:val="22"/>
        </w:rPr>
        <w:t>cazables</w:t>
      </w:r>
      <w:proofErr w:type="spellEnd"/>
      <w:r w:rsidRPr="001D600F">
        <w:rPr>
          <w:rFonts w:ascii="Tahoma" w:hAnsi="Tahoma" w:cs="Tahoma"/>
          <w:sz w:val="22"/>
          <w:szCs w:val="22"/>
        </w:rPr>
        <w:t xml:space="preserve"> y cupos, en particular para la media veda (art. 2) caza menor (art. 3) y caza mayor (art. 4).</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Establece también diversas prohibiciones (art. 5), medidas preventivas y de control por daños a la agricultura, ganadería, montes y fauna silvestre (art. 6), medidas circunstanciales (art. 7), la prohibición de abandono de residuos cinegéticos (art. 8), la determinación de las especies comercializables (art. 9), medidas de protección general de la fauna cinegética (art. 10) y medios de caza autorizados (art. 11).</w:t>
      </w:r>
    </w:p>
    <w:p w:rsidR="00A472E1" w:rsidRPr="001D600F" w:rsidRDefault="00A472E1" w:rsidP="00A472E1">
      <w:pPr>
        <w:spacing w:before="120" w:after="240" w:line="360" w:lineRule="auto"/>
        <w:jc w:val="both"/>
        <w:rPr>
          <w:rFonts w:ascii="Tahoma" w:hAnsi="Tahoma" w:cs="Tahoma"/>
          <w:b/>
          <w:sz w:val="22"/>
          <w:szCs w:val="22"/>
          <w:u w:val="single"/>
        </w:rPr>
      </w:pPr>
      <w:r w:rsidRPr="001D600F">
        <w:rPr>
          <w:rFonts w:ascii="Tahoma" w:hAnsi="Tahoma" w:cs="Tahoma"/>
          <w:b/>
          <w:sz w:val="22"/>
          <w:szCs w:val="22"/>
          <w:u w:val="single"/>
        </w:rPr>
        <w:t>QUINTA.- Análisis del proyecto.</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1. Sobre la orden foral de vedas establece el art. 31 de la Ley 2/2011, de 17 de marzo, de Caza del País Vasco, que:</w:t>
      </w:r>
    </w:p>
    <w:p w:rsidR="00A472E1" w:rsidRPr="001D600F" w:rsidRDefault="00A472E1" w:rsidP="00A472E1">
      <w:pPr>
        <w:autoSpaceDE w:val="0"/>
        <w:autoSpaceDN w:val="0"/>
        <w:adjustRightInd w:val="0"/>
        <w:spacing w:before="120" w:after="240" w:line="360" w:lineRule="auto"/>
        <w:ind w:left="567"/>
        <w:jc w:val="both"/>
        <w:rPr>
          <w:rFonts w:ascii="Tahoma" w:eastAsia="Arial Unicode MS" w:hAnsi="Tahoma" w:cs="Tahoma"/>
          <w:color w:val="000000"/>
          <w:sz w:val="22"/>
          <w:szCs w:val="22"/>
        </w:rPr>
      </w:pPr>
      <w:r w:rsidRPr="001D600F">
        <w:rPr>
          <w:rFonts w:ascii="Tahoma" w:eastAsia="Arial Unicode MS" w:hAnsi="Tahoma" w:cs="Tahoma"/>
          <w:color w:val="000000"/>
          <w:sz w:val="22"/>
          <w:szCs w:val="22"/>
        </w:rPr>
        <w:t xml:space="preserve">1. Las diputaciones forales dictarán anualmente una orden foral de vedas, que tendrá necesariamente, como mínimo, el siguiente contenido: </w:t>
      </w:r>
    </w:p>
    <w:p w:rsidR="00A472E1" w:rsidRPr="001D600F" w:rsidRDefault="00A472E1" w:rsidP="00A472E1">
      <w:pPr>
        <w:pStyle w:val="Prrafodelista"/>
        <w:numPr>
          <w:ilvl w:val="0"/>
          <w:numId w:val="4"/>
        </w:numPr>
        <w:autoSpaceDE w:val="0"/>
        <w:autoSpaceDN w:val="0"/>
        <w:adjustRightInd w:val="0"/>
        <w:spacing w:before="120" w:after="240" w:line="360" w:lineRule="auto"/>
        <w:ind w:left="993"/>
        <w:jc w:val="both"/>
        <w:rPr>
          <w:rFonts w:ascii="Tahoma" w:eastAsia="Arial Unicode MS" w:hAnsi="Tahoma" w:cs="Tahoma"/>
          <w:color w:val="000000"/>
          <w:lang w:eastAsia="es-ES"/>
        </w:rPr>
      </w:pPr>
      <w:r w:rsidRPr="001D600F">
        <w:rPr>
          <w:rFonts w:ascii="Tahoma" w:eastAsia="Arial Unicode MS" w:hAnsi="Tahoma" w:cs="Tahoma"/>
          <w:color w:val="000000"/>
          <w:lang w:eastAsia="es-ES"/>
        </w:rPr>
        <w:t xml:space="preserve">Los días hábiles para el ejercicio de la caza. </w:t>
      </w:r>
    </w:p>
    <w:p w:rsidR="00A472E1" w:rsidRPr="001D600F" w:rsidRDefault="00A472E1" w:rsidP="00A472E1">
      <w:pPr>
        <w:pStyle w:val="Prrafodelista"/>
        <w:numPr>
          <w:ilvl w:val="0"/>
          <w:numId w:val="4"/>
        </w:numPr>
        <w:autoSpaceDE w:val="0"/>
        <w:autoSpaceDN w:val="0"/>
        <w:adjustRightInd w:val="0"/>
        <w:spacing w:before="120" w:after="240" w:line="360" w:lineRule="auto"/>
        <w:ind w:left="993"/>
        <w:jc w:val="both"/>
        <w:rPr>
          <w:rFonts w:ascii="Tahoma" w:eastAsia="Arial Unicode MS" w:hAnsi="Tahoma" w:cs="Tahoma"/>
          <w:color w:val="000000"/>
          <w:lang w:eastAsia="es-ES"/>
        </w:rPr>
      </w:pPr>
      <w:r w:rsidRPr="001D600F">
        <w:rPr>
          <w:rFonts w:ascii="Tahoma" w:eastAsia="Arial Unicode MS" w:hAnsi="Tahoma" w:cs="Tahoma"/>
          <w:color w:val="000000"/>
          <w:lang w:eastAsia="es-ES"/>
        </w:rPr>
        <w:t xml:space="preserve">Los horarios hábiles para el ejercicio de la caza. </w:t>
      </w:r>
    </w:p>
    <w:p w:rsidR="00A472E1" w:rsidRPr="001D600F" w:rsidRDefault="00A472E1" w:rsidP="00A472E1">
      <w:pPr>
        <w:pStyle w:val="Prrafodelista"/>
        <w:numPr>
          <w:ilvl w:val="0"/>
          <w:numId w:val="4"/>
        </w:numPr>
        <w:autoSpaceDE w:val="0"/>
        <w:autoSpaceDN w:val="0"/>
        <w:adjustRightInd w:val="0"/>
        <w:spacing w:before="120" w:after="240" w:line="360" w:lineRule="auto"/>
        <w:ind w:left="993"/>
        <w:jc w:val="both"/>
        <w:rPr>
          <w:rFonts w:ascii="Tahoma" w:eastAsia="Arial Unicode MS" w:hAnsi="Tahoma" w:cs="Tahoma"/>
          <w:color w:val="000000"/>
          <w:lang w:eastAsia="es-ES"/>
        </w:rPr>
      </w:pPr>
      <w:r w:rsidRPr="001D600F">
        <w:rPr>
          <w:rFonts w:ascii="Tahoma" w:eastAsia="Arial Unicode MS" w:hAnsi="Tahoma" w:cs="Tahoma"/>
          <w:color w:val="000000"/>
          <w:lang w:eastAsia="es-ES"/>
        </w:rPr>
        <w:t xml:space="preserve">Las especies cuya caza se autoriza, con diferenciación entre las especies de caza mayor y menor, y dentro de ésta en listas diferenciadas las aves migratorias y las acuáticas. </w:t>
      </w:r>
    </w:p>
    <w:p w:rsidR="00A472E1" w:rsidRPr="001D600F" w:rsidRDefault="00A472E1" w:rsidP="00A472E1">
      <w:pPr>
        <w:pStyle w:val="Prrafodelista"/>
        <w:numPr>
          <w:ilvl w:val="0"/>
          <w:numId w:val="4"/>
        </w:numPr>
        <w:autoSpaceDE w:val="0"/>
        <w:autoSpaceDN w:val="0"/>
        <w:adjustRightInd w:val="0"/>
        <w:spacing w:before="120" w:after="240" w:line="360" w:lineRule="auto"/>
        <w:ind w:left="993"/>
        <w:jc w:val="both"/>
        <w:rPr>
          <w:rFonts w:ascii="Tahoma" w:eastAsia="Arial Unicode MS" w:hAnsi="Tahoma" w:cs="Tahoma"/>
          <w:color w:val="000000"/>
          <w:lang w:eastAsia="es-ES"/>
        </w:rPr>
      </w:pPr>
      <w:r w:rsidRPr="001D600F">
        <w:rPr>
          <w:rFonts w:ascii="Tahoma" w:eastAsia="Arial Unicode MS" w:hAnsi="Tahoma" w:cs="Tahoma"/>
          <w:color w:val="000000"/>
          <w:lang w:eastAsia="es-ES"/>
        </w:rPr>
        <w:t xml:space="preserve">Las especies cinegéticas cuya comercialización se autoriza. </w:t>
      </w:r>
    </w:p>
    <w:p w:rsidR="00A472E1" w:rsidRPr="001D600F" w:rsidRDefault="00A472E1" w:rsidP="00A472E1">
      <w:pPr>
        <w:pStyle w:val="Prrafodelista"/>
        <w:numPr>
          <w:ilvl w:val="0"/>
          <w:numId w:val="4"/>
        </w:numPr>
        <w:autoSpaceDE w:val="0"/>
        <w:autoSpaceDN w:val="0"/>
        <w:adjustRightInd w:val="0"/>
        <w:spacing w:before="120" w:after="240" w:line="360" w:lineRule="auto"/>
        <w:ind w:left="993"/>
        <w:jc w:val="both"/>
        <w:rPr>
          <w:rFonts w:ascii="Tahoma" w:eastAsia="Arial Unicode MS" w:hAnsi="Tahoma" w:cs="Tahoma"/>
          <w:color w:val="000000"/>
          <w:lang w:eastAsia="es-ES"/>
        </w:rPr>
      </w:pPr>
      <w:r w:rsidRPr="001D600F">
        <w:rPr>
          <w:rFonts w:ascii="Tahoma" w:eastAsia="Arial Unicode MS" w:hAnsi="Tahoma" w:cs="Tahoma"/>
          <w:color w:val="000000"/>
          <w:lang w:eastAsia="es-ES"/>
        </w:rPr>
        <w:t xml:space="preserve">La regulación específica para cada especie cinegética que se determine en la orden, que garantizará, en todo caso, la viabilidad de sus poblaciones y su pervivencia en el territorio foral de que se trate. </w:t>
      </w:r>
    </w:p>
    <w:p w:rsidR="00A472E1" w:rsidRPr="001D600F" w:rsidRDefault="00A472E1" w:rsidP="00A472E1">
      <w:pPr>
        <w:pStyle w:val="Prrafodelista"/>
        <w:numPr>
          <w:ilvl w:val="0"/>
          <w:numId w:val="4"/>
        </w:numPr>
        <w:autoSpaceDE w:val="0"/>
        <w:autoSpaceDN w:val="0"/>
        <w:adjustRightInd w:val="0"/>
        <w:spacing w:before="120" w:after="240" w:line="360" w:lineRule="auto"/>
        <w:ind w:left="993"/>
        <w:jc w:val="both"/>
        <w:rPr>
          <w:rFonts w:ascii="Tahoma" w:eastAsia="Arial Unicode MS" w:hAnsi="Tahoma" w:cs="Tahoma"/>
          <w:color w:val="000000"/>
          <w:lang w:eastAsia="es-ES"/>
        </w:rPr>
      </w:pPr>
      <w:r w:rsidRPr="001D600F">
        <w:rPr>
          <w:rFonts w:ascii="Tahoma" w:eastAsia="Arial Unicode MS" w:hAnsi="Tahoma" w:cs="Tahoma"/>
          <w:color w:val="000000"/>
          <w:lang w:eastAsia="es-ES"/>
        </w:rPr>
        <w:t xml:space="preserve">Las modalidades de caza que requieran un permiso especial, y en particular la que regule la caza mayor en cuanto a los artículos 49 y 50 de esta ley. </w:t>
      </w:r>
    </w:p>
    <w:p w:rsidR="00A472E1" w:rsidRPr="001D600F" w:rsidRDefault="00A472E1" w:rsidP="00A472E1">
      <w:pPr>
        <w:pStyle w:val="Prrafodelista"/>
        <w:numPr>
          <w:ilvl w:val="0"/>
          <w:numId w:val="4"/>
        </w:numPr>
        <w:autoSpaceDE w:val="0"/>
        <w:autoSpaceDN w:val="0"/>
        <w:adjustRightInd w:val="0"/>
        <w:spacing w:before="120" w:after="240" w:line="360" w:lineRule="auto"/>
        <w:ind w:left="993"/>
        <w:jc w:val="both"/>
        <w:rPr>
          <w:rFonts w:ascii="Tahoma" w:eastAsia="Arial Unicode MS" w:hAnsi="Tahoma" w:cs="Tahoma"/>
          <w:color w:val="000000"/>
          <w:lang w:eastAsia="es-ES"/>
        </w:rPr>
      </w:pPr>
      <w:r w:rsidRPr="001D600F">
        <w:rPr>
          <w:rFonts w:ascii="Tahoma" w:eastAsia="Arial Unicode MS" w:hAnsi="Tahoma" w:cs="Tahoma"/>
          <w:color w:val="000000"/>
          <w:lang w:eastAsia="es-ES"/>
        </w:rPr>
        <w:t xml:space="preserve">Las normas específicas de protección a la fauna que se consideren necesarias para esa temporada de caza. </w:t>
      </w:r>
    </w:p>
    <w:p w:rsidR="00A472E1" w:rsidRPr="001D600F" w:rsidRDefault="00A472E1" w:rsidP="00A472E1">
      <w:pPr>
        <w:pStyle w:val="Prrafodelista"/>
        <w:numPr>
          <w:ilvl w:val="0"/>
          <w:numId w:val="4"/>
        </w:numPr>
        <w:autoSpaceDE w:val="0"/>
        <w:autoSpaceDN w:val="0"/>
        <w:adjustRightInd w:val="0"/>
        <w:spacing w:before="120" w:after="240" w:line="360" w:lineRule="auto"/>
        <w:ind w:left="993"/>
        <w:jc w:val="both"/>
        <w:rPr>
          <w:rFonts w:ascii="Tahoma" w:eastAsia="Arial Unicode MS" w:hAnsi="Tahoma" w:cs="Tahoma"/>
          <w:color w:val="000000"/>
          <w:lang w:eastAsia="es-ES"/>
        </w:rPr>
      </w:pPr>
      <w:r w:rsidRPr="001D600F">
        <w:rPr>
          <w:rFonts w:ascii="Tahoma" w:eastAsia="Arial Unicode MS" w:hAnsi="Tahoma" w:cs="Tahoma"/>
          <w:color w:val="000000"/>
          <w:lang w:eastAsia="es-ES"/>
        </w:rPr>
        <w:t xml:space="preserve">La actualización de las cuantías de las sanciones conforme a las variaciones del índice de precios al consumo de la Comunidad Autónoma del País Vasco. </w:t>
      </w:r>
    </w:p>
    <w:p w:rsidR="00A472E1" w:rsidRPr="001D600F" w:rsidRDefault="00A472E1" w:rsidP="00A472E1">
      <w:pPr>
        <w:autoSpaceDE w:val="0"/>
        <w:autoSpaceDN w:val="0"/>
        <w:adjustRightInd w:val="0"/>
        <w:spacing w:before="120" w:after="240" w:line="360" w:lineRule="auto"/>
        <w:ind w:left="567"/>
        <w:jc w:val="both"/>
        <w:rPr>
          <w:rFonts w:ascii="Tahoma" w:eastAsia="Arial Unicode MS" w:hAnsi="Tahoma" w:cs="Tahoma"/>
          <w:color w:val="000000"/>
          <w:sz w:val="22"/>
          <w:szCs w:val="22"/>
        </w:rPr>
      </w:pPr>
      <w:r w:rsidRPr="001D600F">
        <w:rPr>
          <w:rFonts w:ascii="Tahoma" w:eastAsia="Arial Unicode MS" w:hAnsi="Tahoma" w:cs="Tahoma"/>
          <w:color w:val="000000"/>
          <w:sz w:val="22"/>
          <w:szCs w:val="22"/>
        </w:rPr>
        <w:t xml:space="preserve">2. Las órdenes forales de vedas podrán incluir otras disposiciones que establezcan vedas específicas en determinados terrenos cinegéticos o de régimen especial. </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lastRenderedPageBreak/>
        <w:t>2. A diferencia de las órdenes de vedas de años anteriores, mediante el proyecto objeto del presente dictamen se propone la aprobación, con vigencia temporal, de la normativa reguladora de la campaña cinegética 2020-2021 que se ajusta, en lo sustancial, a los contenidos previstos en el art. 31 de la Ley 2/2011 transcrito. Simultáneamente se ha propuesto la aprobación separada de un proyecto de orden foral distinto que aborda la regulación general y con vigencia temporalmente indefinida de lo concerniente, principalmente, a las distintas modalidades de caza, cuyo desarrollo reglamentario foral está previsto, al margen de lo que establece el art. 31, en el art. 41 de la Ley.</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Esta regulación separada introducirá claridad en la normativa reglamentaria que desarrolla las distintas previsiones de la Ley y de la Norma Foral de Caza y permitirá la regulación de los contenidos propios de la orden foral de vedas con el enfoque que le corresponde, que es el de la campaña cinegética del ejercicio en que se aprueba, por lo que es merecedora de una opinión favorable desde el punto de vista del principio de seguridad jurídica.</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3. En relación con el contenido mínimo establecido en el art. 31 de la Ley 2/2011, de Caza, el proyecto regula con carácter general los días y horas hábiles para el ejercicio cinegético en el art. 1, con disposiciones particulares de aplicación a la media veda, la caza menor y la caza mayor en los arts. 2 a 4, y específicas para determinadas especies cinegéticas.</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 xml:space="preserve">Las especies </w:t>
      </w:r>
      <w:proofErr w:type="spellStart"/>
      <w:r w:rsidRPr="001D600F">
        <w:rPr>
          <w:rFonts w:ascii="Tahoma" w:hAnsi="Tahoma" w:cs="Tahoma"/>
          <w:sz w:val="22"/>
          <w:szCs w:val="22"/>
        </w:rPr>
        <w:t>cazables</w:t>
      </w:r>
      <w:proofErr w:type="spellEnd"/>
      <w:r w:rsidRPr="001D600F">
        <w:rPr>
          <w:rFonts w:ascii="Tahoma" w:hAnsi="Tahoma" w:cs="Tahoma"/>
          <w:sz w:val="22"/>
          <w:szCs w:val="22"/>
        </w:rPr>
        <w:t xml:space="preserve"> se enumeran en los arts. 2 a 4, siguiendo la clasificación prevista en el art. 12 de la Ley (caza mayor y caza menor, diferenciando dentro de ésta las especies migratorias y las aves acuáticas), con el establecimiento de cupos de captura máximos por persona y día para la perdiz roja, la becada, la codorniz y la liebre. Todas las especies cuya caza se autoriza están dentro de las enumeradas en el Anexo al Decreto 216/2012, de 16 de octubre, por el que se establece el listado de especies cinegéticas de la Comunidad Autónoma del País Vasco, de acuerdo con lo establecido en el art. 11 de la Ley 2/2011 de Caza que atribuye al gobierno Vasco la competencia para establecer reglamentariamente las especies y subespecie que pueden ser declaradas cinegéticas y autoriza a las diputaciones forales para «reducir, pero no ampliar, las especies </w:t>
      </w:r>
      <w:proofErr w:type="spellStart"/>
      <w:r w:rsidRPr="001D600F">
        <w:rPr>
          <w:rFonts w:ascii="Tahoma" w:hAnsi="Tahoma" w:cs="Tahoma"/>
          <w:sz w:val="22"/>
          <w:szCs w:val="22"/>
        </w:rPr>
        <w:t>cazables</w:t>
      </w:r>
      <w:proofErr w:type="spellEnd"/>
      <w:r w:rsidRPr="001D600F">
        <w:rPr>
          <w:rFonts w:ascii="Tahoma" w:hAnsi="Tahoma" w:cs="Tahoma"/>
          <w:sz w:val="22"/>
          <w:szCs w:val="22"/>
        </w:rPr>
        <w:t xml:space="preserve"> en cada territorio histórico» dentro de la orden anual de vedas.</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lastRenderedPageBreak/>
        <w:t>La determinación de las especies cinegéticas cuya comercialización se autoriza se contiene en el art. 9 del proyecto, el cual, por otra parte, se ajusta a lo establecido en el Real Decreto 1118/1989, de 15 de septiembre, por el que se determinan las especies objeto de caza y de pesca comercializables y se dictan normas al respecto.</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Finalmente el proyecto omite actualizar las cuantías de las sanciones establecidas en la Ley 2/2011 de Caza conforme a las variaciones del índice de precios al consumo de la Comunidad Autónoma del País Vasco, omisión indebida, pues se trata un contenido mínimo previsto como necesario en el art. 31.1 de la Ley 2/2011 de Caza.</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4. El art. 5.2 del proyecto, que enumera las razas de perro cuyo empleo en la caza está prohibido, se limita a reproducir el contenido del Decreto del Gobierno Vasco 111/2016, de 19 de julio, pues se trata de una cuestión que compete al Gobierno Vasco conforme al art. 40.4 de la Ley 2/2011, de Caza. Por razones de seguridad jurídica se aconseja indicar en este art. 5.2 del proyecto el origen reglamentario de la prohibición, tal y como se hace en otros puntos del proyecto, como son, por ejemplo, los arts. 8 y 9.</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 xml:space="preserve">5. El art. 5.1 reitera una norma que ya se contenía en la orden foral de vedas de la temporada anterior y que dice así: «Todas las prohibiciones establecidas en esta orden foral en base al artículo 31 de la Ley 2/2011, de 17 de marzo, de caza, estarán tipificadas en el artículo 56.50, de la misma. El resto se considerarán incumplimiento del artículo 57.18 de dicha ley», norma del proyecto cuyo entendimiento exige su puesta en relación con los arts. 55 </w:t>
      </w:r>
      <w:proofErr w:type="gramStart"/>
      <w:r w:rsidRPr="001D600F">
        <w:rPr>
          <w:rFonts w:ascii="Tahoma" w:hAnsi="Tahoma" w:cs="Tahoma"/>
          <w:sz w:val="22"/>
          <w:szCs w:val="22"/>
        </w:rPr>
        <w:t>a</w:t>
      </w:r>
      <w:proofErr w:type="gramEnd"/>
      <w:r w:rsidRPr="001D600F">
        <w:rPr>
          <w:rFonts w:ascii="Tahoma" w:hAnsi="Tahoma" w:cs="Tahoma"/>
          <w:sz w:val="22"/>
          <w:szCs w:val="22"/>
        </w:rPr>
        <w:t xml:space="preserve"> 57 de la Ley 2/2011 de caza, los cuales describen los distintos tipos de infracción, especialmente, por un lado, el art. 56.50 que sanciona como infracción grave «Infringir las normas específicas de las órdenes forales de vedas», y, por otro lado, el art. 57.18, que sanciona como infracción leve «Incumplir lo dispuesto en las normas de reglamentación de la caza».</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Referido a la orden de vedas de la campaña cinegética precedente (2019-2020), este precepto mereció una opinión favorable por parte de esta Comisión Consultiva, si bien que bajo la consideración de que se trataba de un precepto puramente interpretativo y, sobre todo, de que la orden de vedas del año pasado, además de los contenidos específicos propios de la temporada cinegética correspondiente, incluía también otros contenidos más propios de una regulación general de la caza.</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lastRenderedPageBreak/>
        <w:t>La circunstancia de que ahora se proponga la regulación separada de la orden de vedas, ajustada a los contenidos que son propios de la misma de acuerdo con el art. 31 de la Ley, por un lado, y de las modalidades de caza con carácter general, por otro, viene a privar de sentido al art. 5.1 del proyecto: en primer lugar, porque no es de suyo obvio que alguna de las disposiciones del proyecto actual, caso de ser infringida, no haya de ser considerada entre las «normas específicas de las órdenes forales de vedas» a los efectos del tipo descrito en el art. 56.50 de la Ley de Caza. En segundo lugar, porque, para la correcta calificación de eventuales infracciones a las normas del proyecto, no sólo habrá de considerarse lo dispuesto en los arts. 56.50 y 57.18 de la Ley, sino que entrarán también en juego otros tipos de infracción, como son los descritos en el art. 56.31 (uso no autorizado de hurones), 56.32 (empleo no autorizado de medios prohibidos para el ejercicio de la caza) o 56.40 (comercialización de piezas de caza no comercializables), entre otros.</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En definitiva, comoquiera que no corresponde a la orden foral de vedas la calificación directa ni indirecta de las infracciones de las normas que la integran y dado el contenido del proyecto objeto de este dictamen, limitado a lo previsto en el art. 31 de la Ley de Caza, entendemos que el art. 5.1 del proyecto no aporta claridad al ejercicio de la potestad reglamentaria en el materia, más bien al contrario, y que supone un exceso reglamentario, por lo que procede su supresión.</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6. Las demás normas del proyecto se ajustan a las disposiciones legales y normativas de aplicación y, más concretamente, a los contenidos que son propios de las órdenes forales de vedas, sin incurrir en ningún exceso reglamentario.</w:t>
      </w:r>
    </w:p>
    <w:p w:rsidR="00A472E1" w:rsidRDefault="00A472E1" w:rsidP="00A472E1">
      <w:pPr>
        <w:spacing w:before="480" w:after="240" w:line="360" w:lineRule="auto"/>
        <w:jc w:val="both"/>
        <w:rPr>
          <w:rFonts w:ascii="Tahoma" w:hAnsi="Tahoma" w:cs="Tahoma"/>
          <w:b/>
          <w:sz w:val="22"/>
          <w:szCs w:val="22"/>
        </w:rPr>
      </w:pPr>
    </w:p>
    <w:p w:rsidR="00A472E1" w:rsidRDefault="00A472E1" w:rsidP="00A472E1">
      <w:pPr>
        <w:spacing w:before="480" w:after="240" w:line="360" w:lineRule="auto"/>
        <w:jc w:val="both"/>
        <w:rPr>
          <w:rFonts w:ascii="Tahoma" w:hAnsi="Tahoma" w:cs="Tahoma"/>
          <w:b/>
          <w:sz w:val="22"/>
          <w:szCs w:val="22"/>
        </w:rPr>
      </w:pPr>
    </w:p>
    <w:p w:rsidR="00A472E1" w:rsidRPr="001D600F" w:rsidRDefault="00A472E1" w:rsidP="00A472E1">
      <w:pPr>
        <w:spacing w:before="480" w:after="240" w:line="360" w:lineRule="auto"/>
        <w:jc w:val="both"/>
        <w:rPr>
          <w:rFonts w:ascii="Tahoma" w:hAnsi="Tahoma" w:cs="Tahoma"/>
          <w:sz w:val="22"/>
          <w:szCs w:val="22"/>
        </w:rPr>
      </w:pPr>
      <w:r w:rsidRPr="001D600F">
        <w:rPr>
          <w:rFonts w:ascii="Tahoma" w:hAnsi="Tahoma" w:cs="Tahoma"/>
          <w:b/>
          <w:sz w:val="22"/>
          <w:szCs w:val="22"/>
        </w:rPr>
        <w:t>CONCLUSIÓN</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1ª. El proyecto de orden foral debe ser objeto de dictamen de la Comisión Consultiva de la Administración Foral de Álava.</w:t>
      </w:r>
    </w:p>
    <w:p w:rsidR="00A472E1" w:rsidRPr="001D600F" w:rsidRDefault="00A472E1" w:rsidP="00A472E1">
      <w:pPr>
        <w:spacing w:before="120" w:after="240" w:line="360" w:lineRule="auto"/>
        <w:jc w:val="both"/>
        <w:rPr>
          <w:rFonts w:ascii="Tahoma" w:hAnsi="Tahoma" w:cs="Tahoma"/>
          <w:sz w:val="22"/>
          <w:szCs w:val="22"/>
        </w:rPr>
      </w:pPr>
      <w:r w:rsidRPr="001D600F">
        <w:rPr>
          <w:rFonts w:ascii="Tahoma" w:hAnsi="Tahoma" w:cs="Tahoma"/>
          <w:sz w:val="22"/>
          <w:szCs w:val="22"/>
        </w:rPr>
        <w:t xml:space="preserve">2ª. En relación con las cuestiones formales y de procedimiento, la tramitación del proyecto ha infringido lo dispuesto en los arts. 127 </w:t>
      </w:r>
      <w:proofErr w:type="gramStart"/>
      <w:r w:rsidRPr="001D600F">
        <w:rPr>
          <w:rFonts w:ascii="Tahoma" w:hAnsi="Tahoma" w:cs="Tahoma"/>
          <w:sz w:val="22"/>
          <w:szCs w:val="22"/>
        </w:rPr>
        <w:t>a</w:t>
      </w:r>
      <w:proofErr w:type="gramEnd"/>
      <w:r w:rsidRPr="001D600F">
        <w:rPr>
          <w:rFonts w:ascii="Tahoma" w:hAnsi="Tahoma" w:cs="Tahoma"/>
          <w:sz w:val="22"/>
          <w:szCs w:val="22"/>
        </w:rPr>
        <w:t xml:space="preserve"> 133 de la Ley 39/2015, de 1 de </w:t>
      </w:r>
      <w:r w:rsidRPr="001D600F">
        <w:rPr>
          <w:rFonts w:ascii="Tahoma" w:hAnsi="Tahoma" w:cs="Tahoma"/>
          <w:sz w:val="22"/>
          <w:szCs w:val="22"/>
        </w:rPr>
        <w:lastRenderedPageBreak/>
        <w:t xml:space="preserve">octubre, del Procedimiento Administrativo Común de las Administraciones Públicas, y en el </w:t>
      </w:r>
      <w:r w:rsidRPr="001D600F">
        <w:rPr>
          <w:rFonts w:ascii="Tahoma" w:hAnsi="Tahoma" w:cs="Tahoma"/>
          <w:bCs/>
          <w:sz w:val="22"/>
          <w:szCs w:val="22"/>
        </w:rPr>
        <w:t xml:space="preserve">Decreto Foral 29/2017, del Consejo de Gobierno Foral de 23 de mayo, que aprueba el procedimiento de elaboración de disposiciones de carácter general, en </w:t>
      </w:r>
      <w:r w:rsidRPr="001D600F">
        <w:rPr>
          <w:rFonts w:ascii="Tahoma" w:hAnsi="Tahoma" w:cs="Tahoma"/>
          <w:sz w:val="22"/>
          <w:szCs w:val="22"/>
        </w:rPr>
        <w:t>lo relativo a los principios de buena regulación, planificación normativa y audiencia e información pública, en la forma expresada en los epígrafes correspondientes de la anterior consideración jurídica segunda.</w:t>
      </w:r>
    </w:p>
    <w:p w:rsidR="00A472E1" w:rsidRPr="001D600F" w:rsidRDefault="00A472E1" w:rsidP="00A472E1">
      <w:pPr>
        <w:spacing w:before="120" w:after="240" w:line="360" w:lineRule="auto"/>
        <w:jc w:val="both"/>
        <w:rPr>
          <w:rFonts w:ascii="Tahoma" w:eastAsia="Calibri" w:hAnsi="Tahoma" w:cs="Tahoma"/>
          <w:bCs/>
          <w:sz w:val="22"/>
          <w:szCs w:val="22"/>
          <w:lang w:val="es-ES_tradnl"/>
        </w:rPr>
      </w:pPr>
      <w:r w:rsidRPr="001D600F">
        <w:rPr>
          <w:rFonts w:ascii="Tahoma" w:hAnsi="Tahoma" w:cs="Tahoma"/>
          <w:sz w:val="22"/>
          <w:szCs w:val="22"/>
        </w:rPr>
        <w:t xml:space="preserve">3ª. En relación con los contenidos relativos al fondo, en la forma vista en la anterior consideración quinta, la omisión de la actualización de la cuantía de las sanciones previstas en la Ley de Caza infringe lo dispuesto en el art. 31.1 de la misma y el art. 5.1 del proyecto supone un exceso reglamentario. Por lo demás el proyecto de orden foral </w:t>
      </w:r>
      <w:r w:rsidRPr="001D600F">
        <w:rPr>
          <w:rFonts w:ascii="Tahoma" w:eastAsia="Calibri" w:hAnsi="Tahoma" w:cs="Tahoma"/>
          <w:bCs/>
          <w:sz w:val="22"/>
          <w:szCs w:val="22"/>
          <w:lang w:val="es-ES_tradnl"/>
        </w:rPr>
        <w:t>se adecúa al ordenamiento jurídico.</w:t>
      </w:r>
    </w:p>
    <w:p w:rsidR="00A472E1" w:rsidRPr="00A472E1" w:rsidRDefault="00A472E1" w:rsidP="00E81FAD">
      <w:pPr>
        <w:pStyle w:val="Prrafodelista"/>
        <w:spacing w:after="0" w:line="240" w:lineRule="auto"/>
        <w:ind w:left="0"/>
        <w:contextualSpacing w:val="0"/>
        <w:jc w:val="both"/>
        <w:rPr>
          <w:rFonts w:ascii="Arial" w:hAnsi="Arial" w:cs="Arial"/>
          <w:b/>
          <w:lang w:val="es-ES_tradnl"/>
        </w:rPr>
      </w:pPr>
    </w:p>
    <w:sectPr w:rsidR="00A472E1" w:rsidRPr="00A472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272CCB"/>
    <w:rsid w:val="002864A9"/>
    <w:rsid w:val="002C050F"/>
    <w:rsid w:val="003B4D10"/>
    <w:rsid w:val="003C4935"/>
    <w:rsid w:val="006C7C8C"/>
    <w:rsid w:val="00777B2F"/>
    <w:rsid w:val="007A1254"/>
    <w:rsid w:val="009943B4"/>
    <w:rsid w:val="009A68E6"/>
    <w:rsid w:val="009C211F"/>
    <w:rsid w:val="00A472E1"/>
    <w:rsid w:val="00DD4202"/>
    <w:rsid w:val="00E3786E"/>
    <w:rsid w:val="00E81FAD"/>
    <w:rsid w:val="00F815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4228</Words>
  <Characters>23259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8</cp:revision>
  <dcterms:created xsi:type="dcterms:W3CDTF">2020-06-29T13:07:00Z</dcterms:created>
  <dcterms:modified xsi:type="dcterms:W3CDTF">2020-07-13T12:29:00Z</dcterms:modified>
</cp:coreProperties>
</file>