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50F" w:rsidRDefault="002C050F" w:rsidP="002C050F">
      <w:pPr>
        <w:tabs>
          <w:tab w:val="left" w:pos="8460"/>
        </w:tabs>
        <w:spacing w:after="240"/>
        <w:ind w:right="44"/>
        <w:jc w:val="both"/>
        <w:rPr>
          <w:rFonts w:ascii="Arial" w:hAnsi="Arial" w:cs="Arial"/>
          <w:b/>
          <w:sz w:val="24"/>
          <w:szCs w:val="24"/>
          <w:u w:val="single"/>
        </w:rPr>
      </w:pPr>
      <w:r>
        <w:rPr>
          <w:rFonts w:ascii="Arial" w:hAnsi="Arial" w:cs="Arial"/>
          <w:b/>
          <w:sz w:val="24"/>
          <w:szCs w:val="24"/>
          <w:u w:val="single"/>
        </w:rPr>
        <w:t xml:space="preserve">DICTAMEN SOBRE EL PROYECTO DE </w:t>
      </w:r>
      <w:r w:rsidR="009943B4">
        <w:rPr>
          <w:rFonts w:ascii="Arial" w:hAnsi="Arial" w:cs="Arial"/>
          <w:b/>
          <w:sz w:val="24"/>
          <w:szCs w:val="24"/>
          <w:u w:val="single"/>
        </w:rPr>
        <w:t>ORDEN</w:t>
      </w:r>
      <w:r>
        <w:rPr>
          <w:rFonts w:ascii="Arial" w:hAnsi="Arial" w:cs="Arial"/>
          <w:b/>
          <w:sz w:val="24"/>
          <w:szCs w:val="24"/>
          <w:u w:val="single"/>
        </w:rPr>
        <w:t xml:space="preserve"> FORAL DE </w:t>
      </w:r>
      <w:r w:rsidR="009943B4">
        <w:rPr>
          <w:rFonts w:ascii="Arial" w:hAnsi="Arial" w:cs="Arial"/>
          <w:b/>
          <w:sz w:val="24"/>
          <w:szCs w:val="24"/>
          <w:u w:val="single"/>
        </w:rPr>
        <w:t>APROBACIÓN, PARA LA CAMPAÑA 2020/2021, DE LA NORMATIVA REGULADORA DEL APROVECHAMIENTO DE LA PESCA CONTINENTAL EN EL TERRITORIO HISTÓRICO DE ÁLAVA</w:t>
      </w:r>
      <w:r w:rsidR="002864A9">
        <w:rPr>
          <w:rFonts w:ascii="Arial" w:hAnsi="Arial" w:cs="Arial"/>
          <w:b/>
          <w:sz w:val="24"/>
          <w:szCs w:val="24"/>
          <w:u w:val="single"/>
        </w:rPr>
        <w:t xml:space="preserve"> ( Sesión Comisión Consultiva 25 febrero</w:t>
      </w:r>
      <w:r>
        <w:rPr>
          <w:rFonts w:ascii="Arial" w:hAnsi="Arial" w:cs="Arial"/>
          <w:b/>
          <w:sz w:val="24"/>
          <w:szCs w:val="24"/>
          <w:u w:val="single"/>
        </w:rPr>
        <w:t xml:space="preserve"> 2020)</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I. ANTECEDENTES</w:t>
      </w: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r w:rsidRPr="00A105DA">
        <w:rPr>
          <w:rFonts w:ascii="Tahoma" w:hAnsi="Tahoma" w:cs="Tahoma"/>
          <w:sz w:val="22"/>
          <w:szCs w:val="22"/>
        </w:rPr>
        <w:t xml:space="preserve"> Con fecha </w:t>
      </w:r>
      <w:r>
        <w:rPr>
          <w:rFonts w:ascii="Tahoma" w:hAnsi="Tahoma" w:cs="Tahoma"/>
          <w:sz w:val="22"/>
          <w:szCs w:val="22"/>
        </w:rPr>
        <w:t>7</w:t>
      </w:r>
      <w:r w:rsidRPr="00A105DA">
        <w:rPr>
          <w:rFonts w:ascii="Tahoma" w:hAnsi="Tahoma" w:cs="Tahoma"/>
          <w:sz w:val="22"/>
          <w:szCs w:val="22"/>
        </w:rPr>
        <w:t xml:space="preserve"> de febrero se recibe en el registro de la Comisión Consultiva  solicitud de la Directora de Agricultura de dictamen sobre el proyecto de Orden Foral de aprobación, para la campaña </w:t>
      </w:r>
      <w:r w:rsidRPr="004E1305">
        <w:rPr>
          <w:rFonts w:ascii="Tahoma" w:hAnsi="Tahoma" w:cs="Tahoma"/>
          <w:sz w:val="22"/>
          <w:szCs w:val="22"/>
        </w:rPr>
        <w:t>2020/2021</w:t>
      </w:r>
      <w:r w:rsidRPr="00A105DA">
        <w:rPr>
          <w:rFonts w:ascii="Tahoma" w:hAnsi="Tahoma" w:cs="Tahoma"/>
          <w:sz w:val="22"/>
          <w:szCs w:val="22"/>
        </w:rPr>
        <w:t>, de la normativa reguladora del aprovechamiento de la pesca continental en el Territorio Histórico de Álava, junto con informes y documentación previstos en la normativa que regula la elaboración de disposiciones generales.</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II. COMPETENCIA DE LA COMISIÓN</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La Constitución Española, en su artículo 148, prevé que “Las Comunidades Autónomas podrán asumir competencias en las siguientes materias:…11</w:t>
      </w:r>
      <w:proofErr w:type="gramStart"/>
      <w:r w:rsidRPr="0042418E">
        <w:rPr>
          <w:rFonts w:ascii="Tahoma" w:hAnsi="Tahoma" w:cs="Tahoma"/>
          <w:sz w:val="22"/>
          <w:szCs w:val="22"/>
        </w:rPr>
        <w:t>.ª</w:t>
      </w:r>
      <w:proofErr w:type="gramEnd"/>
      <w:r w:rsidRPr="0042418E">
        <w:rPr>
          <w:rFonts w:ascii="Tahoma" w:hAnsi="Tahoma" w:cs="Tahoma"/>
          <w:sz w:val="22"/>
          <w:szCs w:val="22"/>
        </w:rPr>
        <w:t xml:space="preserve"> La pesca en aguas interiores, el marisqueo y la acuicultura, la caza y la pesca fluvial”.</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La Ley Orgánica 3/1979, de 18 de diciembre, del Estatuto de Autonomía para el País Vasco, señala en su artículo 10.10 que “La Comunidad Autónoma del País Vasco tiene competencia exclusiva en las siguientes materias: … 10. Pesca en aguas interiores, marisqueo y acuicultura, caza y pesca fluvial y lacustre.”. </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La Ley 27/1983, de 25 de noviembre, de Relaciones entre las Instituciones comunes de la Comunidad Autónoma y los órganos forales de sus Territorios Históricos, establece en su artículo 7.b que “Corresponde a los Territorios Históricos el desarrollo y la ejecución de las normas emanadas de las Instituciones Comunes en las siguientes materias:… 3. Régimen de aprovechamiento de la riqueza piscícola continental y cinegética”.</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La Ley 42/2007, de 13 de diciembre, del Patrimonio Natural y de la Biodiversidad, de carácter básico según el artículo 1 y la Disposición final segunda establece en el artículo 65: </w:t>
      </w:r>
    </w:p>
    <w:p w:rsidR="009943B4" w:rsidRPr="0042418E" w:rsidRDefault="009943B4" w:rsidP="009943B4">
      <w:pPr>
        <w:ind w:left="708"/>
        <w:jc w:val="both"/>
        <w:rPr>
          <w:rFonts w:ascii="Tahoma" w:hAnsi="Tahoma" w:cs="Tahoma"/>
          <w:sz w:val="22"/>
          <w:szCs w:val="22"/>
        </w:rPr>
      </w:pPr>
      <w:r>
        <w:rPr>
          <w:rFonts w:ascii="Tahoma" w:hAnsi="Tahoma" w:cs="Tahoma"/>
          <w:sz w:val="22"/>
          <w:szCs w:val="22"/>
        </w:rPr>
        <w:t>“</w:t>
      </w:r>
      <w:r w:rsidRPr="0042418E">
        <w:rPr>
          <w:rFonts w:ascii="Tahoma" w:hAnsi="Tahoma" w:cs="Tahoma"/>
          <w:sz w:val="22"/>
          <w:szCs w:val="22"/>
        </w:rPr>
        <w:t>1. La caza y la pesca en aguas continentales sólo podrá realizarse sobre las especies que determinen las Comunidades autónomas, declaración que en ningún caso podrá afectar a las especies incluidas en el Listado de Especies en Régimen de Protección Especial, o a las prohibidas por la Unión Europea.</w:t>
      </w:r>
    </w:p>
    <w:p w:rsidR="009943B4" w:rsidRPr="0042418E" w:rsidRDefault="009943B4" w:rsidP="009943B4">
      <w:pPr>
        <w:ind w:left="708"/>
        <w:jc w:val="both"/>
        <w:rPr>
          <w:rFonts w:ascii="Tahoma" w:hAnsi="Tahoma" w:cs="Tahoma"/>
          <w:sz w:val="22"/>
          <w:szCs w:val="22"/>
        </w:rPr>
      </w:pPr>
      <w:r w:rsidRPr="0042418E">
        <w:rPr>
          <w:rFonts w:ascii="Tahoma" w:hAnsi="Tahoma" w:cs="Tahoma"/>
          <w:sz w:val="22"/>
          <w:szCs w:val="22"/>
        </w:rPr>
        <w:t>2. En todo caso, el ejercicio de la caza y la pesca continental se regulará de modo que queden garantizados la conservación y el fomento de las especies autorizadas para este ejercicio, a cuyos efectos las Comunidades autónomas determinarán los terrenos y las aguas donde puedan realizarse tales actividades, así como las fechas hábiles para cada especie</w:t>
      </w:r>
      <w:r>
        <w:rPr>
          <w:rFonts w:ascii="Tahoma" w:hAnsi="Tahoma" w:cs="Tahoma"/>
          <w:sz w:val="22"/>
          <w:szCs w:val="22"/>
        </w:rPr>
        <w:t>”</w:t>
      </w:r>
      <w:r w:rsidRPr="0042418E">
        <w:rPr>
          <w:rFonts w:ascii="Tahoma" w:hAnsi="Tahoma" w:cs="Tahoma"/>
          <w:sz w:val="22"/>
          <w:szCs w:val="22"/>
        </w:rPr>
        <w:t>.</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En lo que se refiere a los TTHH, el artículo 66 del Decreto Legislativo 1/2014, de 15 de abril, por el que se aprueba el texto refundido de la Ley de Conservación de la Naturaleza del País Vasco, establece que “los órganos forales competentes, en coordinación con el departamento de la Administración General del País Vasco competente en materia de ordenación de recursos naturales y conservación de la naturaleza, aprobarán anualmente para su respectivo ámbito territorial la normativa </w:t>
      </w:r>
      <w:r w:rsidRPr="0042418E">
        <w:rPr>
          <w:rFonts w:ascii="Tahoma" w:hAnsi="Tahoma" w:cs="Tahoma"/>
          <w:sz w:val="22"/>
          <w:szCs w:val="22"/>
        </w:rPr>
        <w:lastRenderedPageBreak/>
        <w:t>que regule los aprovechamientos piscícolas, estableciendo las aguas donde puedan realizarse tales actividades, así como las fechas hábiles para cada especie y las modalidades y métodos de captura para la práctica de la pesca en aguas continentales”.</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3A0A67">
        <w:rPr>
          <w:rFonts w:ascii="Tahoma" w:hAnsi="Tahoma" w:cs="Tahoma"/>
          <w:sz w:val="22"/>
          <w:szCs w:val="22"/>
        </w:rPr>
        <w:t>Finalmente, el artículo 10.5 del Real Decreto 630/2013, de 2 de agosto, por el que se regula el Catálogo español de especies exóticas invasoras (cuyo carácter de legislación básica sobre protección del medio ambiente, de conformidad con lo dispuesto en el artículo 149.1.23.ª de la Constitución, se afirma en la Disposición final primera del propio Real Decreto), señala que “Se podrá contemplar la caza y la pesca como métodos de control, gestión y erradicación de las especies incluidas en el catálogo cuya introducción se produjo con anterioridad a la entrada en vigor de la Ley 42/2007, de 13 de diciembre, cuando este objetivo quede recogido en los instrumentos normativos de caza y pesca y se circunscriba a las áreas de distribución ocupadas por estas especies con anterioridad a esa fecha”.</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Por todo lo expuesto, se deduce que el Territorio Histórico ostenta competencia de desarrollo normativo en materia de Régimen de aprovechamiento de la riqueza piscícola continental.</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Por otra parte, el Decreto Foral 40/1999, del Consejo de Diputados de 30 marzo, que crea la Comisión Consultiva de la Administración Foral de Álava, señala en el artículo 3.1.b que la Comisión Consultiva deberá emitir dictamen preceptivo en</w:t>
      </w:r>
      <w:r>
        <w:rPr>
          <w:rFonts w:ascii="Tahoma" w:hAnsi="Tahoma" w:cs="Tahoma"/>
          <w:sz w:val="22"/>
          <w:szCs w:val="22"/>
        </w:rPr>
        <w:t xml:space="preserve"> relación con</w:t>
      </w:r>
      <w:r w:rsidRPr="0042418E">
        <w:rPr>
          <w:rFonts w:ascii="Tahoma" w:hAnsi="Tahoma" w:cs="Tahoma"/>
          <w:sz w:val="22"/>
          <w:szCs w:val="22"/>
        </w:rPr>
        <w:t xml:space="preserve"> los 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Hay que concluir por tanto que ostentando el Territorio Histórico la competencia de desarrollo normativo de las Leyes de la Comunidad Autónoma en esta materia ostenta igualmente la Diputación Foral de Álava la potestad reglamentaria y, por  ello, es preceptivo el dictamen de la Comisión Consultiva.</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III  HABILITACIÓN NORMATIVA Y COMPETENCIA ORGÁNICA </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El artículo 66 del Decreto Legislativo 1/2014, de 15 de abril, por el que se aprueba el texto refundido de la Ley de Conservación de la Naturaleza del País Vasco, establece que “los órganos forales competentes, en coordinación con el departamento de la Administración General del País Vasco competente en materia de ordenación de recursos naturales y conservación de la naturaleza, aprobarán anualmente para su respectivo ámbito territorial la normativa que regule los aprovechamientos piscícolas, estableciendo las aguas donde puedan realizarse tales actividades, así como las fechas hábiles para cada especie y las modalidades y métodos de captura para la práctica de la pesca en aguas continentales”. </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El art. 7.b.3 LTH indica que en materia de Régimen de aprovechamiento de la riqueza piscícola continental corresponde a los Territorios Históricos el desarrollo y la ejecución de las normas emanadas de las Instituciones Comunes, correspondiéndoles según el art. 8.2 la potestad de desarrollo normativo y la potestad reglamentaria, sin indicar a que órgano concreto de la Diputación le corresponde esta última. Además, no se ha ejercido en esta materia la potestad de desarrollo normativo, que pudiera haber concretado a quien correspondía la potestad reglamentaria.</w:t>
      </w: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r w:rsidRPr="0042418E">
        <w:rPr>
          <w:rFonts w:ascii="Tahoma" w:hAnsi="Tahoma" w:cs="Tahoma"/>
          <w:sz w:val="22"/>
          <w:szCs w:val="22"/>
        </w:rPr>
        <w:t>Respecto a la tramitación de la propuesta, la misma ha sido elaborada por el órgano competente, el Departamento de agricultura de la Diputación Foral de Álava, de acuerdo con lo establecido en Decreto Foral 14/2016, del Consejo de Diputados de 9 de febrero, que aprueba la estructura orgánica y funcional del Departamento de Agricultura</w:t>
      </w:r>
      <w:r>
        <w:rPr>
          <w:rFonts w:ascii="Tahoma" w:hAnsi="Tahoma" w:cs="Tahoma"/>
          <w:sz w:val="22"/>
          <w:szCs w:val="22"/>
        </w:rPr>
        <w:t xml:space="preserve">, que </w:t>
      </w:r>
      <w:r w:rsidRPr="00203429">
        <w:rPr>
          <w:rFonts w:ascii="Tahoma" w:hAnsi="Tahoma" w:cs="Tahoma"/>
          <w:sz w:val="22"/>
          <w:szCs w:val="22"/>
        </w:rPr>
        <w:t>atribuye al Servicio de Montes</w:t>
      </w:r>
      <w:r>
        <w:rPr>
          <w:rFonts w:ascii="Tahoma" w:hAnsi="Tahoma" w:cs="Tahoma"/>
          <w:sz w:val="22"/>
          <w:szCs w:val="22"/>
        </w:rPr>
        <w:t xml:space="preserve"> </w:t>
      </w:r>
      <w:r w:rsidRPr="00203429">
        <w:rPr>
          <w:rFonts w:ascii="Tahoma" w:hAnsi="Tahoma" w:cs="Tahoma"/>
          <w:sz w:val="22"/>
          <w:szCs w:val="22"/>
        </w:rPr>
        <w:t>las funciones entre otras, de ordenar, conservar, gestionar y fomentar la flora y fauna forestal,</w:t>
      </w:r>
      <w:r w:rsidRPr="00203429">
        <w:t xml:space="preserve"> </w:t>
      </w:r>
      <w:r>
        <w:rPr>
          <w:rFonts w:ascii="Tahoma" w:hAnsi="Tahoma" w:cs="Tahoma"/>
          <w:sz w:val="22"/>
          <w:szCs w:val="22"/>
        </w:rPr>
        <w:t>y a su</w:t>
      </w:r>
      <w:r w:rsidRPr="00203429">
        <w:rPr>
          <w:rFonts w:ascii="Tahoma" w:hAnsi="Tahoma" w:cs="Tahoma"/>
          <w:sz w:val="22"/>
          <w:szCs w:val="22"/>
        </w:rPr>
        <w:t xml:space="preserve"> Sección de Caza y Pesca el estudiar y proponer las órdenes generales</w:t>
      </w:r>
      <w:r>
        <w:rPr>
          <w:rFonts w:ascii="Tahoma" w:hAnsi="Tahoma" w:cs="Tahoma"/>
          <w:sz w:val="22"/>
          <w:szCs w:val="22"/>
        </w:rPr>
        <w:t xml:space="preserve"> </w:t>
      </w:r>
      <w:r w:rsidRPr="00203429">
        <w:rPr>
          <w:rFonts w:ascii="Tahoma" w:hAnsi="Tahoma" w:cs="Tahoma"/>
          <w:sz w:val="22"/>
          <w:szCs w:val="22"/>
        </w:rPr>
        <w:t>de vedas de caza y pesca y su normativa complementaria</w:t>
      </w:r>
      <w:r>
        <w:rPr>
          <w:rFonts w:ascii="Tahoma" w:hAnsi="Tahoma" w:cs="Tahoma"/>
          <w:sz w:val="22"/>
          <w:szCs w:val="22"/>
        </w:rPr>
        <w:t>.</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A105DA">
        <w:rPr>
          <w:rFonts w:ascii="Tahoma" w:hAnsi="Tahoma" w:cs="Tahoma"/>
          <w:sz w:val="22"/>
          <w:szCs w:val="22"/>
        </w:rPr>
        <w:t>En cuanto a la competencia orgánica para la aprobación del proyecto, la Norma Foral 52/1992, de 18 de diciembre, de Organización, Funcionamiento y Régimen Jurídico de la Diputación Foral de Álava, atribuye la potestad reglamentaria al Consejo de Gobierno Foral (artículos 3, 7.2 y Disposición Adicional Tercera) pero también la atribuye a los Diputados Forales en estos términos: “A los Diputados Forales les corresponde: … 11.</w:t>
      </w:r>
      <w:r w:rsidRPr="00A105DA">
        <w:rPr>
          <w:rFonts w:ascii="Tahoma" w:hAnsi="Tahoma" w:cs="Tahoma"/>
          <w:sz w:val="22"/>
          <w:szCs w:val="22"/>
        </w:rPr>
        <w:tab/>
        <w:t>Ejercer la potestad reglamentaria y sancionadora, sin perjuicio de las competencias de los otros órganos de la Diputación en las materias propias de su Departamento y en aquellas para las que se hallen expresamente habilitados”.</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En consecuencia, no cabe concluir que el rango de Orden Foral  no sea adecuado para el ejercicio de la potestad reglamentaria.</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IV. PROCEDIMIENTO SEGUIDO EN LA TRAMITACIÓN DEL PROYECTO</w:t>
      </w:r>
    </w:p>
    <w:p w:rsidR="009943B4" w:rsidRPr="0042418E" w:rsidRDefault="009943B4" w:rsidP="009943B4">
      <w:pPr>
        <w:ind w:left="708"/>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2539A2">
        <w:rPr>
          <w:rFonts w:ascii="Tahoma" w:hAnsi="Tahoma" w:cs="Tahoma"/>
          <w:sz w:val="22"/>
          <w:szCs w:val="22"/>
        </w:rPr>
        <w:t xml:space="preserve"> En la elaboración del proyecto se ha observado con carácter general el procedimiento establecido en el Decreto Foral del Consejo de Gobierno Foral 29/2017, de 23 de mayo.</w:t>
      </w:r>
    </w:p>
    <w:p w:rsidR="009943B4" w:rsidRDefault="009943B4" w:rsidP="009943B4">
      <w:pPr>
        <w:ind w:left="708"/>
        <w:jc w:val="both"/>
        <w:rPr>
          <w:rFonts w:ascii="Tahoma" w:hAnsi="Tahoma" w:cs="Tahoma"/>
          <w:sz w:val="22"/>
          <w:szCs w:val="22"/>
        </w:rPr>
      </w:pPr>
    </w:p>
    <w:p w:rsidR="009943B4" w:rsidRDefault="009943B4" w:rsidP="009943B4">
      <w:pPr>
        <w:jc w:val="both"/>
        <w:rPr>
          <w:rFonts w:ascii="Tahoma" w:hAnsi="Tahoma" w:cs="Tahoma"/>
          <w:sz w:val="22"/>
          <w:szCs w:val="22"/>
        </w:rPr>
      </w:pPr>
      <w:r w:rsidRPr="002539A2">
        <w:rPr>
          <w:rFonts w:ascii="Tahoma" w:hAnsi="Tahoma" w:cs="Tahoma"/>
          <w:sz w:val="22"/>
          <w:szCs w:val="22"/>
        </w:rPr>
        <w:t>En lo referente al trámite de consulta pública previa, habida cuenta que la normativa es igual a la  de la temporada anterior con pequeñas modificaciones no sustanciales, en base a lo dispuesto en el artículo 10.g del  Decreto Foral 29/2017 de 23 de mayo, dicha Orden Foral</w:t>
      </w:r>
      <w:r>
        <w:rPr>
          <w:rFonts w:ascii="Tahoma" w:hAnsi="Tahoma" w:cs="Tahoma"/>
          <w:sz w:val="22"/>
          <w:szCs w:val="22"/>
        </w:rPr>
        <w:t xml:space="preserve"> ha quedado exenta</w:t>
      </w:r>
      <w:r w:rsidRPr="002539A2">
        <w:rPr>
          <w:rFonts w:ascii="Tahoma" w:hAnsi="Tahoma" w:cs="Tahoma"/>
          <w:sz w:val="22"/>
          <w:szCs w:val="22"/>
        </w:rPr>
        <w:t xml:space="preserve"> del trám</w:t>
      </w:r>
      <w:r>
        <w:rPr>
          <w:rFonts w:ascii="Tahoma" w:hAnsi="Tahoma" w:cs="Tahoma"/>
          <w:sz w:val="22"/>
          <w:szCs w:val="22"/>
        </w:rPr>
        <w:t xml:space="preserve">ite de consulta pública previa </w:t>
      </w:r>
      <w:r w:rsidRPr="002539A2">
        <w:rPr>
          <w:rFonts w:ascii="Tahoma" w:hAnsi="Tahoma" w:cs="Tahoma"/>
          <w:sz w:val="22"/>
          <w:szCs w:val="22"/>
        </w:rPr>
        <w:t xml:space="preserve">en la Orden Foral </w:t>
      </w:r>
      <w:r>
        <w:rPr>
          <w:rFonts w:ascii="Tahoma" w:hAnsi="Tahoma" w:cs="Tahoma"/>
          <w:sz w:val="22"/>
          <w:szCs w:val="22"/>
        </w:rPr>
        <w:t>7</w:t>
      </w:r>
      <w:r w:rsidRPr="002539A2">
        <w:rPr>
          <w:rFonts w:ascii="Tahoma" w:hAnsi="Tahoma" w:cs="Tahoma"/>
          <w:sz w:val="22"/>
          <w:szCs w:val="22"/>
        </w:rPr>
        <w:t>/</w:t>
      </w:r>
      <w:r>
        <w:rPr>
          <w:rFonts w:ascii="Tahoma" w:hAnsi="Tahoma" w:cs="Tahoma"/>
          <w:sz w:val="22"/>
          <w:szCs w:val="22"/>
        </w:rPr>
        <w:t>2020, de 13 de enero</w:t>
      </w:r>
      <w:r w:rsidRPr="002539A2">
        <w:rPr>
          <w:rFonts w:ascii="Tahoma" w:hAnsi="Tahoma" w:cs="Tahoma"/>
          <w:sz w:val="22"/>
          <w:szCs w:val="22"/>
        </w:rPr>
        <w:t>, de iniciación del procedimiento de elaboración de este Proyect</w:t>
      </w:r>
      <w:r>
        <w:rPr>
          <w:rFonts w:ascii="Tahoma" w:hAnsi="Tahoma" w:cs="Tahoma"/>
          <w:sz w:val="22"/>
          <w:szCs w:val="22"/>
        </w:rPr>
        <w:t>o</w:t>
      </w:r>
      <w:r w:rsidRPr="002539A2">
        <w:rPr>
          <w:rFonts w:ascii="Tahoma" w:hAnsi="Tahoma" w:cs="Tahoma"/>
          <w:sz w:val="22"/>
          <w:szCs w:val="22"/>
        </w:rPr>
        <w:t xml:space="preserve"> de Orden Foral</w:t>
      </w:r>
      <w:r>
        <w:rPr>
          <w:rFonts w:ascii="Tahoma" w:hAnsi="Tahoma" w:cs="Tahoma"/>
          <w:sz w:val="22"/>
          <w:szCs w:val="22"/>
        </w:rPr>
        <w:t>.</w:t>
      </w:r>
    </w:p>
    <w:p w:rsidR="009943B4" w:rsidRPr="002539A2" w:rsidRDefault="009943B4" w:rsidP="009943B4">
      <w:pPr>
        <w:ind w:left="708"/>
        <w:jc w:val="both"/>
        <w:rPr>
          <w:rFonts w:ascii="Tahoma" w:hAnsi="Tahoma" w:cs="Tahoma"/>
          <w:sz w:val="22"/>
          <w:szCs w:val="22"/>
        </w:rPr>
      </w:pPr>
    </w:p>
    <w:p w:rsidR="009943B4" w:rsidRPr="00457462" w:rsidRDefault="009943B4" w:rsidP="009943B4">
      <w:pPr>
        <w:jc w:val="both"/>
        <w:rPr>
          <w:rFonts w:ascii="Tahoma" w:hAnsi="Tahoma" w:cs="Tahoma"/>
          <w:sz w:val="22"/>
          <w:szCs w:val="22"/>
        </w:rPr>
      </w:pPr>
      <w:r w:rsidRPr="002539A2">
        <w:rPr>
          <w:rFonts w:ascii="Tahoma" w:hAnsi="Tahoma" w:cs="Tahoma"/>
          <w:sz w:val="22"/>
          <w:szCs w:val="22"/>
        </w:rPr>
        <w:t xml:space="preserve">Asimismo y por motivos de urgencia  en su  aprobación, dado  que el </w:t>
      </w:r>
      <w:r>
        <w:rPr>
          <w:rFonts w:ascii="Tahoma" w:hAnsi="Tahoma" w:cs="Tahoma"/>
          <w:sz w:val="22"/>
          <w:szCs w:val="22"/>
        </w:rPr>
        <w:t xml:space="preserve">periodo de apertura de la pesca </w:t>
      </w:r>
      <w:r w:rsidRPr="002539A2">
        <w:rPr>
          <w:rFonts w:ascii="Tahoma" w:hAnsi="Tahoma" w:cs="Tahoma"/>
          <w:sz w:val="22"/>
          <w:szCs w:val="22"/>
        </w:rPr>
        <w:t xml:space="preserve">es el día </w:t>
      </w:r>
      <w:r>
        <w:rPr>
          <w:rFonts w:ascii="Tahoma" w:hAnsi="Tahoma" w:cs="Tahoma"/>
          <w:sz w:val="22"/>
          <w:szCs w:val="22"/>
        </w:rPr>
        <w:t xml:space="preserve">19 </w:t>
      </w:r>
      <w:r w:rsidRPr="002539A2">
        <w:rPr>
          <w:rFonts w:ascii="Tahoma" w:hAnsi="Tahoma" w:cs="Tahoma"/>
          <w:sz w:val="22"/>
          <w:szCs w:val="22"/>
        </w:rPr>
        <w:t xml:space="preserve">de marzo, según lo acordado en el Consejo Territorial de Pesca celebrado el día </w:t>
      </w:r>
      <w:r>
        <w:rPr>
          <w:rFonts w:ascii="Tahoma" w:hAnsi="Tahoma" w:cs="Tahoma"/>
          <w:sz w:val="22"/>
          <w:szCs w:val="22"/>
        </w:rPr>
        <w:t>5</w:t>
      </w:r>
      <w:r w:rsidRPr="002539A2">
        <w:rPr>
          <w:rFonts w:ascii="Tahoma" w:hAnsi="Tahoma" w:cs="Tahoma"/>
          <w:sz w:val="22"/>
          <w:szCs w:val="22"/>
        </w:rPr>
        <w:t xml:space="preserve"> de diciembre de 201</w:t>
      </w:r>
      <w:r>
        <w:rPr>
          <w:rFonts w:ascii="Tahoma" w:hAnsi="Tahoma" w:cs="Tahoma"/>
          <w:sz w:val="22"/>
          <w:szCs w:val="22"/>
        </w:rPr>
        <w:t>9</w:t>
      </w:r>
      <w:r w:rsidRPr="002539A2">
        <w:rPr>
          <w:rFonts w:ascii="Tahoma" w:hAnsi="Tahoma" w:cs="Tahoma"/>
          <w:sz w:val="22"/>
          <w:szCs w:val="22"/>
        </w:rPr>
        <w:t xml:space="preserve">, formado por los Departamentos de Agricultura y Medio Ambiente y Urbanismo de la DFA, las Sociedades de Pescadores más representativas de Álava, la Asociación para la Defensa del Cazador y Pescador (ADECAP), el Departamento de Interior del Gobierno Vasco, la Universidad del País Vasco, las Asociaciones Agrarias y Naturalistas de Álava, la Asociación de Ayuntamientos más representativa de Álava y la Asociación de Concejos más representativa de Álava, se reduce el plazo de audiencia e información pública a ocho días naturales , de conformidad con lo dispuesto </w:t>
      </w:r>
      <w:r w:rsidRPr="00457462">
        <w:rPr>
          <w:rFonts w:ascii="Tahoma" w:hAnsi="Tahoma" w:cs="Tahoma"/>
          <w:sz w:val="22"/>
          <w:szCs w:val="22"/>
        </w:rPr>
        <w:t>en el artículo 13.3 del anteriormente citado Decreto Foral.</w:t>
      </w:r>
    </w:p>
    <w:p w:rsidR="009943B4" w:rsidRPr="00457462" w:rsidRDefault="009943B4" w:rsidP="009943B4">
      <w:pPr>
        <w:ind w:left="708"/>
        <w:jc w:val="both"/>
        <w:rPr>
          <w:rFonts w:ascii="Tahoma" w:hAnsi="Tahoma" w:cs="Tahoma"/>
          <w:sz w:val="22"/>
          <w:szCs w:val="22"/>
        </w:rPr>
      </w:pPr>
    </w:p>
    <w:p w:rsidR="009943B4" w:rsidRPr="003B146E" w:rsidRDefault="009943B4" w:rsidP="009943B4">
      <w:pPr>
        <w:jc w:val="both"/>
        <w:rPr>
          <w:rFonts w:ascii="Tahoma" w:hAnsi="Tahoma" w:cs="Tahoma"/>
          <w:sz w:val="22"/>
          <w:szCs w:val="22"/>
        </w:rPr>
      </w:pPr>
      <w:r w:rsidRPr="00457462">
        <w:rPr>
          <w:rFonts w:ascii="Tahoma" w:hAnsi="Tahoma" w:cs="Tahoma"/>
          <w:sz w:val="22"/>
          <w:szCs w:val="22"/>
        </w:rPr>
        <w:t>Finalmente, el proyecto no ha sido incluido en el Plan Anual Normativo de 2020, aprobado mediante Acuerdo 824/2019, de 27 de diciembre. No obstante, de acuerdo con lo establecido en el apartado 2 del art. 4 del DF 29/2017 (“En el caso de que se proponga la aprobación por el órgano competente de una propuesta normativa que no figure en el Plan Anual Normativo, se deberá</w:t>
      </w:r>
      <w:r w:rsidRPr="003B146E">
        <w:rPr>
          <w:rFonts w:ascii="Tahoma" w:hAnsi="Tahoma" w:cs="Tahoma"/>
          <w:sz w:val="22"/>
          <w:szCs w:val="22"/>
        </w:rPr>
        <w:t xml:space="preserve"> justificar la urgencia o la necesidad de tal </w:t>
      </w:r>
      <w:r w:rsidRPr="003B146E">
        <w:rPr>
          <w:rFonts w:ascii="Tahoma" w:hAnsi="Tahoma" w:cs="Tahoma"/>
          <w:sz w:val="22"/>
          <w:szCs w:val="22"/>
        </w:rPr>
        <w:lastRenderedPageBreak/>
        <w:t>regulación en la resolución de incoación del procedimiento de elaboración de dicha disposición de carácter general”), en la Orden Foral de iniciación del procedimiento, si bien no se alude a la omisión de la inclusión del proyecto en el Plan Anual Normativo, se justifica la necesidad de la regulación.</w:t>
      </w:r>
    </w:p>
    <w:p w:rsidR="009943B4" w:rsidRPr="0042418E" w:rsidRDefault="009943B4" w:rsidP="009943B4">
      <w:pPr>
        <w:ind w:left="708"/>
        <w:jc w:val="both"/>
        <w:rPr>
          <w:rFonts w:ascii="Tahoma" w:hAnsi="Tahoma" w:cs="Tahoma"/>
          <w:sz w:val="22"/>
          <w:szCs w:val="22"/>
        </w:rPr>
      </w:pPr>
    </w:p>
    <w:p w:rsidR="009943B4" w:rsidRPr="0042418E" w:rsidRDefault="009943B4" w:rsidP="009943B4">
      <w:pPr>
        <w:ind w:left="708"/>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V. DESCRIPCIÓN DEL PROYECTO</w:t>
      </w:r>
    </w:p>
    <w:p w:rsidR="009943B4" w:rsidRPr="0042418E" w:rsidRDefault="009943B4" w:rsidP="009943B4">
      <w:pPr>
        <w:ind w:left="708"/>
        <w:jc w:val="both"/>
        <w:rPr>
          <w:rFonts w:ascii="Tahoma" w:hAnsi="Tahoma" w:cs="Tahoma"/>
          <w:sz w:val="22"/>
          <w:szCs w:val="22"/>
        </w:rPr>
      </w:pPr>
    </w:p>
    <w:p w:rsidR="009943B4" w:rsidRPr="003A0A67" w:rsidRDefault="009943B4" w:rsidP="009943B4">
      <w:pPr>
        <w:jc w:val="both"/>
        <w:rPr>
          <w:rFonts w:ascii="Tahoma" w:hAnsi="Tahoma" w:cs="Tahoma"/>
          <w:sz w:val="22"/>
          <w:szCs w:val="22"/>
        </w:rPr>
      </w:pPr>
      <w:r w:rsidRPr="0042418E">
        <w:rPr>
          <w:rFonts w:ascii="Tahoma" w:hAnsi="Tahoma" w:cs="Tahoma"/>
          <w:sz w:val="22"/>
          <w:szCs w:val="22"/>
        </w:rPr>
        <w:t>1</w:t>
      </w:r>
      <w:r w:rsidRPr="003A0A67">
        <w:rPr>
          <w:rFonts w:ascii="Tahoma" w:hAnsi="Tahoma" w:cs="Tahoma"/>
          <w:sz w:val="22"/>
          <w:szCs w:val="22"/>
        </w:rPr>
        <w:t xml:space="preserve">. El objeto del proyecto de Orden Foral </w:t>
      </w:r>
      <w:r w:rsidR="00272CCB">
        <w:rPr>
          <w:rFonts w:ascii="Tahoma" w:hAnsi="Tahoma" w:cs="Tahoma"/>
          <w:sz w:val="22"/>
          <w:szCs w:val="22"/>
        </w:rPr>
        <w:t>es aprobar, para la campaña 2020/2021</w:t>
      </w:r>
      <w:r w:rsidRPr="003A0A67">
        <w:rPr>
          <w:rFonts w:ascii="Tahoma" w:hAnsi="Tahoma" w:cs="Tahoma"/>
          <w:sz w:val="22"/>
          <w:szCs w:val="22"/>
        </w:rPr>
        <w:t>, la normativa reguladora del aprovechamiento de la pesca continental en el Territorio Histórico de Álava.</w:t>
      </w:r>
    </w:p>
    <w:p w:rsidR="009943B4" w:rsidRPr="003A0A67" w:rsidRDefault="009943B4" w:rsidP="009943B4">
      <w:pPr>
        <w:ind w:left="708"/>
        <w:jc w:val="both"/>
        <w:rPr>
          <w:rFonts w:ascii="Tahoma" w:hAnsi="Tahoma" w:cs="Tahoma"/>
          <w:sz w:val="22"/>
          <w:szCs w:val="22"/>
        </w:rPr>
      </w:pPr>
    </w:p>
    <w:p w:rsidR="009943B4" w:rsidRDefault="009943B4" w:rsidP="009943B4">
      <w:pPr>
        <w:jc w:val="both"/>
        <w:rPr>
          <w:rFonts w:ascii="Tahoma" w:hAnsi="Tahoma" w:cs="Tahoma"/>
          <w:sz w:val="22"/>
          <w:szCs w:val="22"/>
        </w:rPr>
      </w:pPr>
      <w:r w:rsidRPr="00EC5E9F">
        <w:rPr>
          <w:rFonts w:ascii="Tahoma" w:hAnsi="Tahoma" w:cs="Tahoma"/>
          <w:sz w:val="22"/>
          <w:szCs w:val="22"/>
        </w:rPr>
        <w:t>La normativa que se pretende e</w:t>
      </w:r>
      <w:r w:rsidR="00272CCB">
        <w:rPr>
          <w:rFonts w:ascii="Tahoma" w:hAnsi="Tahoma" w:cs="Tahoma"/>
          <w:sz w:val="22"/>
          <w:szCs w:val="22"/>
        </w:rPr>
        <w:t>stablecer para la temporada 2020-2021</w:t>
      </w:r>
      <w:r w:rsidRPr="00EC5E9F">
        <w:rPr>
          <w:rFonts w:ascii="Tahoma" w:hAnsi="Tahoma" w:cs="Tahoma"/>
          <w:sz w:val="22"/>
          <w:szCs w:val="22"/>
        </w:rPr>
        <w:t xml:space="preserve"> es igual a la de la temporada anterior, con alguna modificac</w:t>
      </w:r>
      <w:r>
        <w:rPr>
          <w:rFonts w:ascii="Tahoma" w:hAnsi="Tahoma" w:cs="Tahoma"/>
          <w:sz w:val="22"/>
          <w:szCs w:val="22"/>
        </w:rPr>
        <w:t>ión no sustancial de la misma -como señala la exposición de motivos de la Orden Foral 16/2020, de 27 de enero, de aprobación previa del proyecto de Orden Foral de la normativa reguladora del aprovechamiento de la pesca continental en el Territorio Histórico de Álava durante la temporada 2020/2021-.</w:t>
      </w:r>
    </w:p>
    <w:p w:rsidR="009943B4" w:rsidRPr="00044F1D" w:rsidRDefault="009943B4" w:rsidP="009943B4">
      <w:pPr>
        <w:ind w:left="708"/>
        <w:jc w:val="both"/>
        <w:rPr>
          <w:rFonts w:ascii="Tahoma" w:hAnsi="Tahoma" w:cs="Tahoma"/>
          <w:sz w:val="22"/>
          <w:szCs w:val="22"/>
        </w:rPr>
      </w:pPr>
      <w:r w:rsidRPr="00EC5E9F">
        <w:rPr>
          <w:rFonts w:ascii="Tahoma" w:hAnsi="Tahoma" w:cs="Tahoma"/>
          <w:sz w:val="22"/>
          <w:szCs w:val="22"/>
        </w:rPr>
        <w:t xml:space="preserve"> </w:t>
      </w:r>
    </w:p>
    <w:p w:rsidR="009943B4" w:rsidRPr="003A0A67" w:rsidRDefault="009943B4" w:rsidP="009943B4">
      <w:pPr>
        <w:jc w:val="both"/>
        <w:rPr>
          <w:rFonts w:ascii="Tahoma" w:hAnsi="Tahoma" w:cs="Tahoma"/>
          <w:sz w:val="22"/>
          <w:szCs w:val="22"/>
        </w:rPr>
      </w:pPr>
      <w:r w:rsidRPr="003A0A67">
        <w:rPr>
          <w:rFonts w:ascii="Tahoma" w:hAnsi="Tahoma" w:cs="Tahoma"/>
          <w:sz w:val="22"/>
          <w:szCs w:val="22"/>
        </w:rPr>
        <w:t xml:space="preserve">2. La iniciativa consta de una parte expositiva, dos artículos (uno que aprueba la normativa remitiéndose a un Anexo a la Orden Foral; y otro deroga la Orden Foral </w:t>
      </w:r>
      <w:r w:rsidRPr="000C7B62">
        <w:rPr>
          <w:rFonts w:ascii="Tahoma" w:hAnsi="Tahoma" w:cs="Tahoma"/>
          <w:sz w:val="22"/>
          <w:szCs w:val="22"/>
        </w:rPr>
        <w:t>107/2019</w:t>
      </w:r>
      <w:r>
        <w:rPr>
          <w:rFonts w:ascii="Tahoma" w:hAnsi="Tahoma" w:cs="Tahoma"/>
          <w:sz w:val="22"/>
          <w:szCs w:val="22"/>
        </w:rPr>
        <w:t>,</w:t>
      </w:r>
      <w:r w:rsidRPr="000C7B62">
        <w:rPr>
          <w:rFonts w:ascii="Tahoma" w:hAnsi="Tahoma" w:cs="Tahoma"/>
          <w:sz w:val="22"/>
          <w:szCs w:val="22"/>
        </w:rPr>
        <w:t xml:space="preserve"> de 7 de marzo</w:t>
      </w:r>
      <w:r>
        <w:rPr>
          <w:rFonts w:ascii="Tahoma" w:hAnsi="Tahoma" w:cs="Tahoma"/>
          <w:sz w:val="22"/>
          <w:szCs w:val="22"/>
        </w:rPr>
        <w:t>,</w:t>
      </w:r>
      <w:r w:rsidRPr="000C7B62">
        <w:rPr>
          <w:rFonts w:ascii="Tahoma" w:hAnsi="Tahoma" w:cs="Tahoma"/>
          <w:sz w:val="22"/>
          <w:szCs w:val="22"/>
        </w:rPr>
        <w:t xml:space="preserve"> que aprueba la normativa reguladora del aprovechamiento de la pesca continental en el Territorio Histórico de Álava</w:t>
      </w:r>
      <w:r>
        <w:rPr>
          <w:rFonts w:ascii="Tahoma" w:hAnsi="Tahoma" w:cs="Tahoma"/>
          <w:sz w:val="22"/>
          <w:szCs w:val="22"/>
        </w:rPr>
        <w:t xml:space="preserve"> durante la temporada 2019-2020</w:t>
      </w:r>
      <w:r w:rsidRPr="003A0A67">
        <w:rPr>
          <w:rFonts w:ascii="Tahoma" w:hAnsi="Tahoma" w:cs="Tahoma"/>
          <w:sz w:val="22"/>
          <w:szCs w:val="22"/>
        </w:rPr>
        <w:t>.</w:t>
      </w:r>
    </w:p>
    <w:p w:rsidR="009943B4" w:rsidRDefault="009943B4" w:rsidP="009943B4">
      <w:pPr>
        <w:ind w:left="708"/>
        <w:jc w:val="both"/>
        <w:rPr>
          <w:rFonts w:ascii="Tahoma" w:hAnsi="Tahoma" w:cs="Tahoma"/>
          <w:sz w:val="22"/>
          <w:szCs w:val="22"/>
        </w:rPr>
      </w:pPr>
    </w:p>
    <w:p w:rsidR="009943B4" w:rsidRDefault="009943B4" w:rsidP="009943B4">
      <w:pPr>
        <w:jc w:val="both"/>
        <w:rPr>
          <w:rFonts w:ascii="Tahoma" w:hAnsi="Tahoma" w:cs="Tahoma"/>
          <w:sz w:val="22"/>
          <w:szCs w:val="22"/>
        </w:rPr>
      </w:pPr>
      <w:r w:rsidRPr="00EC5E9F">
        <w:rPr>
          <w:rFonts w:ascii="Tahoma" w:hAnsi="Tahoma" w:cs="Tahoma"/>
          <w:sz w:val="22"/>
          <w:szCs w:val="22"/>
        </w:rPr>
        <w:t xml:space="preserve">Además dicho anexo establece en su articulado las especies que pueden ser objeto de pesca,  cupos de capturas, dimensiones de las capturas, artes de pesca, elementos auxiliares y cebos y anzuelos, tanto para la pesca de salmónidos y </w:t>
      </w:r>
      <w:proofErr w:type="spellStart"/>
      <w:r w:rsidRPr="00EC5E9F">
        <w:rPr>
          <w:rFonts w:ascii="Tahoma" w:hAnsi="Tahoma" w:cs="Tahoma"/>
          <w:sz w:val="22"/>
          <w:szCs w:val="22"/>
        </w:rPr>
        <w:t>ciprínidos</w:t>
      </w:r>
      <w:proofErr w:type="spellEnd"/>
      <w:r w:rsidRPr="00EC5E9F">
        <w:rPr>
          <w:rFonts w:ascii="Tahoma" w:hAnsi="Tahoma" w:cs="Tahoma"/>
          <w:sz w:val="22"/>
          <w:szCs w:val="22"/>
        </w:rPr>
        <w:t>, como para el control y erradicación de especies de peces y crustáceos exóticas invasoras, en su caso.</w:t>
      </w:r>
    </w:p>
    <w:p w:rsidR="009943B4" w:rsidRPr="00EC5E9F" w:rsidRDefault="009943B4" w:rsidP="009943B4">
      <w:pPr>
        <w:ind w:left="708"/>
        <w:jc w:val="both"/>
        <w:rPr>
          <w:rFonts w:ascii="Tahoma" w:hAnsi="Tahoma" w:cs="Tahoma"/>
          <w:sz w:val="22"/>
          <w:szCs w:val="22"/>
        </w:rPr>
      </w:pPr>
    </w:p>
    <w:p w:rsidR="009943B4" w:rsidRDefault="009943B4" w:rsidP="009943B4">
      <w:pPr>
        <w:jc w:val="both"/>
        <w:rPr>
          <w:rFonts w:ascii="Tahoma" w:hAnsi="Tahoma" w:cs="Tahoma"/>
          <w:sz w:val="22"/>
          <w:szCs w:val="22"/>
        </w:rPr>
      </w:pPr>
      <w:r w:rsidRPr="00EC5E9F">
        <w:rPr>
          <w:rFonts w:ascii="Tahoma" w:hAnsi="Tahoma" w:cs="Tahoma"/>
          <w:sz w:val="22"/>
          <w:szCs w:val="22"/>
        </w:rPr>
        <w:t>Igualmente, declara la pesca como método de control, gestión y erradicación de las especies de peces y crustáceos catalogadas como exóticas invasoras que, incluidas en el Real Decreto 630/2013, fueron introducidas en el Territorio Histórico de Álava con anterioridad a la entrada en vigor de la ley 42/2017, y establece las medidas específicas relativas a dicho Real Decreto 630/2013.</w:t>
      </w:r>
    </w:p>
    <w:p w:rsidR="009943B4" w:rsidRPr="00EC5E9F" w:rsidRDefault="009943B4" w:rsidP="009943B4">
      <w:pPr>
        <w:ind w:left="708"/>
        <w:jc w:val="both"/>
        <w:rPr>
          <w:rFonts w:ascii="Tahoma" w:hAnsi="Tahoma" w:cs="Tahoma"/>
          <w:sz w:val="22"/>
          <w:szCs w:val="22"/>
        </w:rPr>
      </w:pPr>
    </w:p>
    <w:p w:rsidR="009943B4" w:rsidRDefault="009943B4" w:rsidP="009943B4">
      <w:pPr>
        <w:jc w:val="both"/>
        <w:rPr>
          <w:rFonts w:ascii="Tahoma" w:hAnsi="Tahoma" w:cs="Tahoma"/>
          <w:sz w:val="22"/>
          <w:szCs w:val="22"/>
        </w:rPr>
      </w:pPr>
      <w:r w:rsidRPr="00EC5E9F">
        <w:rPr>
          <w:rFonts w:ascii="Tahoma" w:hAnsi="Tahoma" w:cs="Tahoma"/>
          <w:sz w:val="22"/>
          <w:szCs w:val="22"/>
        </w:rPr>
        <w:t>Así mismo contempla la documentación necesaria para el ejercicio de la pesca, las medidas de protección de la fauna piscícola, el establecimiento de la figura de Escenario Deportivo, la delimitación de los tramos vedados, las especies cuya comercialización está prohibida, la obtención de permisos, la cumplimentación de los partes de capturas, la pesca desde embarcación y la localización de la zona preferente de pesca para personas con discapacidad.</w:t>
      </w:r>
    </w:p>
    <w:p w:rsidR="009943B4" w:rsidRPr="00EC5E9F" w:rsidRDefault="009943B4" w:rsidP="009943B4">
      <w:pPr>
        <w:ind w:left="708"/>
        <w:jc w:val="both"/>
        <w:rPr>
          <w:rFonts w:ascii="Tahoma" w:hAnsi="Tahoma" w:cs="Tahoma"/>
          <w:sz w:val="22"/>
          <w:szCs w:val="22"/>
        </w:rPr>
      </w:pPr>
    </w:p>
    <w:p w:rsidR="009943B4" w:rsidRDefault="009943B4" w:rsidP="009943B4">
      <w:pPr>
        <w:jc w:val="both"/>
        <w:rPr>
          <w:rFonts w:ascii="Tahoma" w:hAnsi="Tahoma" w:cs="Tahoma"/>
          <w:sz w:val="22"/>
          <w:szCs w:val="22"/>
        </w:rPr>
      </w:pPr>
      <w:r w:rsidRPr="00EC5E9F">
        <w:rPr>
          <w:rFonts w:ascii="Tahoma" w:hAnsi="Tahoma" w:cs="Tahoma"/>
          <w:sz w:val="22"/>
          <w:szCs w:val="22"/>
        </w:rPr>
        <w:t>Finalmente, en el Anexo I se determinan los tramos pescables por cuenca hidrográfica, en el Anexo II los cotos de pesca de trucha y en el Anexo I</w:t>
      </w:r>
      <w:r>
        <w:rPr>
          <w:rFonts w:ascii="Tahoma" w:hAnsi="Tahoma" w:cs="Tahoma"/>
          <w:sz w:val="22"/>
          <w:szCs w:val="22"/>
        </w:rPr>
        <w:t>II</w:t>
      </w:r>
      <w:r w:rsidRPr="00EC5E9F">
        <w:rPr>
          <w:rFonts w:ascii="Tahoma" w:hAnsi="Tahoma" w:cs="Tahoma"/>
          <w:sz w:val="22"/>
          <w:szCs w:val="22"/>
        </w:rPr>
        <w:t xml:space="preserve"> los tramos de control y erradica</w:t>
      </w:r>
      <w:r>
        <w:rPr>
          <w:rFonts w:ascii="Tahoma" w:hAnsi="Tahoma" w:cs="Tahoma"/>
          <w:sz w:val="22"/>
          <w:szCs w:val="22"/>
        </w:rPr>
        <w:t xml:space="preserve">ción de cangrejos señal y rojo. </w:t>
      </w: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p>
    <w:p w:rsidR="003B4D10" w:rsidRDefault="003B4D10" w:rsidP="009943B4">
      <w:pPr>
        <w:jc w:val="both"/>
        <w:rPr>
          <w:rFonts w:ascii="Tahoma" w:hAnsi="Tahoma" w:cs="Tahoma"/>
          <w:sz w:val="22"/>
          <w:szCs w:val="22"/>
        </w:rPr>
      </w:pPr>
      <w:bookmarkStart w:id="0" w:name="_GoBack"/>
      <w:bookmarkEnd w:id="0"/>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lastRenderedPageBreak/>
        <w:t>VI. ANÁLISIS DEL CONTENIDO DEL PROYECTO</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La Ley 42/2007, de 13 de diciembre, del Patrimonio Natural y de la Bi</w:t>
      </w:r>
      <w:r>
        <w:rPr>
          <w:rFonts w:ascii="Tahoma" w:hAnsi="Tahoma" w:cs="Tahoma"/>
          <w:sz w:val="22"/>
          <w:szCs w:val="22"/>
        </w:rPr>
        <w:t>odiversidad, de carácter básico</w:t>
      </w:r>
      <w:r w:rsidRPr="0087433C">
        <w:t xml:space="preserve"> </w:t>
      </w:r>
      <w:r w:rsidRPr="0087433C">
        <w:rPr>
          <w:rFonts w:ascii="Tahoma" w:hAnsi="Tahoma" w:cs="Tahoma"/>
          <w:sz w:val="22"/>
          <w:szCs w:val="22"/>
        </w:rPr>
        <w:t>según el artículo 1 y la disposición final segunda</w:t>
      </w:r>
      <w:r>
        <w:rPr>
          <w:rFonts w:ascii="Tahoma" w:hAnsi="Tahoma" w:cs="Tahoma"/>
          <w:sz w:val="22"/>
          <w:szCs w:val="22"/>
        </w:rPr>
        <w:t>,</w:t>
      </w:r>
      <w:r w:rsidRPr="0087433C">
        <w:rPr>
          <w:rFonts w:ascii="Tahoma" w:hAnsi="Tahoma" w:cs="Tahoma"/>
          <w:sz w:val="22"/>
          <w:szCs w:val="22"/>
        </w:rPr>
        <w:t xml:space="preserve"> establece en el artículo 65</w:t>
      </w:r>
      <w:r w:rsidRPr="0042418E">
        <w:rPr>
          <w:rFonts w:ascii="Tahoma" w:hAnsi="Tahoma" w:cs="Tahoma"/>
          <w:sz w:val="22"/>
          <w:szCs w:val="22"/>
        </w:rPr>
        <w:t xml:space="preserve"> que “la pesca en aguas continentales sólo podrá realizarse sobre las especies que determinen las Comunidades autónomas, declaración que en ningún caso podrá afectar a las especies incluidas en el Listado de Especies en Régimen de Protección Especial, o a las prohibidas por la Unión Europea”.</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Pr>
          <w:rFonts w:ascii="Tahoma" w:hAnsi="Tahoma" w:cs="Tahoma"/>
          <w:sz w:val="22"/>
          <w:szCs w:val="22"/>
        </w:rPr>
        <w:t xml:space="preserve">Y  añade a continuación </w:t>
      </w:r>
      <w:r w:rsidRPr="0042418E">
        <w:rPr>
          <w:rFonts w:ascii="Tahoma" w:hAnsi="Tahoma" w:cs="Tahoma"/>
          <w:sz w:val="22"/>
          <w:szCs w:val="22"/>
        </w:rPr>
        <w:t>que “En todo caso, el ejercicio de la caza y la pesca continental se regulará de modo que queden garantizados la conservación y el fomento de las especies autorizadas para este ejercicio, a cuyos efectos las Comunidades autónomas determinarán los terrenos y las aguas donde puedan realizarse tales actividades, así como las fechas hábiles para cada especie”.</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Pr>
          <w:rFonts w:ascii="Tahoma" w:hAnsi="Tahoma" w:cs="Tahoma"/>
          <w:sz w:val="22"/>
          <w:szCs w:val="22"/>
        </w:rPr>
        <w:t>Por otra parte,</w:t>
      </w:r>
      <w:r w:rsidRPr="0042418E">
        <w:rPr>
          <w:rFonts w:ascii="Tahoma" w:hAnsi="Tahoma" w:cs="Tahoma"/>
          <w:sz w:val="22"/>
          <w:szCs w:val="22"/>
        </w:rPr>
        <w:t xml:space="preserve"> el artículo 66 del Decreto Legislativo 1/2014, de 15 de abril, por el que se aprueba el texto refundido de la Ley de Conservación de la Naturaleza del País Vasco, establece que “los órganos forales competentes, en coordinación con el departamento de la Administración General del País Vasco competente en materia de ordenación de recursos naturales y conservación de la naturaleza, aprobarán anualmente para su respectivo ámbito territorial la normativa que regule los aprovechamientos piscícolas, estableciendo las aguas donde puedan realizarse tales actividades, así como las fechas hábiles para cada especie y las modalidades y métodos de captura para la práctica de la pesca en aguas continentales”.</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3A0A67">
        <w:rPr>
          <w:rFonts w:ascii="Tahoma" w:hAnsi="Tahoma" w:cs="Tahoma"/>
          <w:sz w:val="22"/>
          <w:szCs w:val="22"/>
        </w:rPr>
        <w:t>Asimismo, de conformidad con el artículo 10.5 del Real Decreto 630/2013, de 2 de agosto, por el que se regula el Catálogo español de especies exóticas invasoras, el proyecto declara la pesca como método de control, gestión y erradicación de las especies de peces y crustáceos catalogadas como exóticas invasoras que, incluidas en el Real Decreto 630/2013, fueron introducidas en el Territorio Histórico de Álava con anterioridad a la entrada en vigor de la Ley 42/2007.</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El proyecto analizado se adecua a la normativa anual que los TTHH deben aprobar para la regulación de los aprovechamientos piscícolas puesto que establece los tramos de agua donde pueden realizarse la actividades, las fechas hábiles para cada especie las modalidades y métodos de captura para la práctica de la pesca en las aguas continentales. </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La propuesta analizada no contiene obligaciones ni reglas de cumplimiento que estén desconectadas o sean impropias del bien jurídico protegido por la normativa de pesca fluvial.</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VII. CONCLUSIONES</w:t>
      </w:r>
    </w:p>
    <w:p w:rsidR="009943B4" w:rsidRDefault="009943B4" w:rsidP="009943B4">
      <w:pPr>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42418E">
        <w:rPr>
          <w:rFonts w:ascii="Tahoma" w:hAnsi="Tahoma" w:cs="Tahoma"/>
          <w:sz w:val="22"/>
          <w:szCs w:val="22"/>
        </w:rPr>
        <w:t xml:space="preserve">Primera: El </w:t>
      </w:r>
      <w:r w:rsidRPr="002539A2">
        <w:rPr>
          <w:rFonts w:ascii="Tahoma" w:hAnsi="Tahoma" w:cs="Tahoma"/>
          <w:sz w:val="22"/>
          <w:szCs w:val="22"/>
        </w:rPr>
        <w:t xml:space="preserve">proyecto de Orden Foral de aprobación, para la campaña </w:t>
      </w:r>
      <w:r>
        <w:rPr>
          <w:rFonts w:ascii="Tahoma" w:hAnsi="Tahoma" w:cs="Tahoma"/>
          <w:sz w:val="22"/>
          <w:szCs w:val="22"/>
        </w:rPr>
        <w:t>2020</w:t>
      </w:r>
      <w:r w:rsidRPr="002539A2">
        <w:rPr>
          <w:rFonts w:ascii="Tahoma" w:hAnsi="Tahoma" w:cs="Tahoma"/>
          <w:sz w:val="22"/>
          <w:szCs w:val="22"/>
        </w:rPr>
        <w:t>/</w:t>
      </w:r>
      <w:r>
        <w:rPr>
          <w:rFonts w:ascii="Tahoma" w:hAnsi="Tahoma" w:cs="Tahoma"/>
          <w:sz w:val="22"/>
          <w:szCs w:val="22"/>
        </w:rPr>
        <w:t>2021</w:t>
      </w:r>
      <w:r w:rsidRPr="002539A2">
        <w:rPr>
          <w:rFonts w:ascii="Tahoma" w:hAnsi="Tahoma" w:cs="Tahoma"/>
          <w:sz w:val="22"/>
          <w:szCs w:val="22"/>
        </w:rPr>
        <w:t>, de la normativa reguladora del aprovechamiento de la pesca continental en el Territorio Histórico de Álava</w:t>
      </w:r>
      <w:r>
        <w:rPr>
          <w:rFonts w:ascii="Tahoma" w:hAnsi="Tahoma" w:cs="Tahoma"/>
          <w:sz w:val="22"/>
          <w:szCs w:val="22"/>
        </w:rPr>
        <w:t>,</w:t>
      </w:r>
      <w:r w:rsidRPr="002539A2">
        <w:rPr>
          <w:rFonts w:ascii="Tahoma" w:hAnsi="Tahoma" w:cs="Tahoma"/>
          <w:sz w:val="22"/>
          <w:szCs w:val="22"/>
        </w:rPr>
        <w:t xml:space="preserve"> </w:t>
      </w:r>
      <w:r w:rsidRPr="0042418E">
        <w:rPr>
          <w:rFonts w:ascii="Tahoma" w:hAnsi="Tahoma" w:cs="Tahoma"/>
          <w:sz w:val="22"/>
          <w:szCs w:val="22"/>
        </w:rPr>
        <w:t xml:space="preserve">debe ser objeto de dictamen </w:t>
      </w:r>
      <w:r>
        <w:rPr>
          <w:rFonts w:ascii="Tahoma" w:hAnsi="Tahoma" w:cs="Tahoma"/>
          <w:sz w:val="22"/>
          <w:szCs w:val="22"/>
        </w:rPr>
        <w:t>por</w:t>
      </w:r>
      <w:r w:rsidRPr="0042418E">
        <w:rPr>
          <w:rFonts w:ascii="Tahoma" w:hAnsi="Tahoma" w:cs="Tahoma"/>
          <w:sz w:val="22"/>
          <w:szCs w:val="22"/>
        </w:rPr>
        <w:t xml:space="preserve"> la Comisión Consultiva de la Administración Foral de Álava.</w:t>
      </w: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r w:rsidRPr="0042418E">
        <w:rPr>
          <w:rFonts w:ascii="Tahoma" w:hAnsi="Tahoma" w:cs="Tahoma"/>
          <w:sz w:val="22"/>
          <w:szCs w:val="22"/>
        </w:rPr>
        <w:t xml:space="preserve">Segunda: El Proyecto de </w:t>
      </w:r>
      <w:r>
        <w:rPr>
          <w:rFonts w:ascii="Tahoma" w:hAnsi="Tahoma" w:cs="Tahoma"/>
          <w:sz w:val="22"/>
          <w:szCs w:val="22"/>
        </w:rPr>
        <w:t>Orden</w:t>
      </w:r>
      <w:r w:rsidRPr="0042418E">
        <w:rPr>
          <w:rFonts w:ascii="Tahoma" w:hAnsi="Tahoma" w:cs="Tahoma"/>
          <w:sz w:val="22"/>
          <w:szCs w:val="22"/>
        </w:rPr>
        <w:t xml:space="preserve"> Foral se adecua al ordenamiento jurídico.</w:t>
      </w:r>
    </w:p>
    <w:p w:rsidR="009943B4" w:rsidRDefault="009943B4" w:rsidP="009943B4">
      <w:pPr>
        <w:ind w:left="708"/>
        <w:jc w:val="both"/>
        <w:rPr>
          <w:rFonts w:ascii="Tahoma" w:hAnsi="Tahoma" w:cs="Tahoma"/>
          <w:sz w:val="22"/>
          <w:szCs w:val="22"/>
        </w:rPr>
      </w:pPr>
    </w:p>
    <w:p w:rsidR="009943B4" w:rsidRDefault="009943B4" w:rsidP="002C050F">
      <w:pPr>
        <w:tabs>
          <w:tab w:val="left" w:pos="8460"/>
        </w:tabs>
        <w:spacing w:after="240"/>
        <w:ind w:right="44"/>
        <w:jc w:val="both"/>
        <w:rPr>
          <w:rFonts w:ascii="Arial" w:hAnsi="Arial" w:cs="Arial"/>
          <w:b/>
          <w:sz w:val="24"/>
          <w:szCs w:val="24"/>
          <w:u w:val="single"/>
        </w:rPr>
      </w:pPr>
    </w:p>
    <w:sectPr w:rsidR="009943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272CCB"/>
    <w:rsid w:val="002864A9"/>
    <w:rsid w:val="002C050F"/>
    <w:rsid w:val="003B4D10"/>
    <w:rsid w:val="006C7C8C"/>
    <w:rsid w:val="009943B4"/>
    <w:rsid w:val="009A68E6"/>
    <w:rsid w:val="009C211F"/>
    <w:rsid w:val="00E378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2380</Words>
  <Characters>13093</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4</cp:revision>
  <dcterms:created xsi:type="dcterms:W3CDTF">2020-03-09T08:02:00Z</dcterms:created>
  <dcterms:modified xsi:type="dcterms:W3CDTF">2020-03-09T13:49:00Z</dcterms:modified>
</cp:coreProperties>
</file>