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FD"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p w:rsidR="001142FD" w:rsidRDefault="002335F2" w:rsidP="001142FD">
      <w:pPr>
        <w:jc w:val="both"/>
        <w:rPr>
          <w:b/>
          <w:sz w:val="24"/>
          <w:szCs w:val="24"/>
          <w:u w:val="single"/>
          <w:lang w:val="es-ES_tradnl"/>
        </w:rPr>
      </w:pPr>
      <w:r w:rsidRPr="00124E95">
        <w:rPr>
          <w:b/>
          <w:caps/>
          <w:sz w:val="24"/>
          <w:szCs w:val="24"/>
          <w:u w:val="single"/>
          <w:lang w:val="eu-ES"/>
        </w:rPr>
        <w:t xml:space="preserve">arabako Foru Ogasunari aitorpenak eta autolikidazioak bide telematikoz aurkezteko baldintza eta eskakizun orokorrak arautzen </w:t>
      </w:r>
      <w:proofErr w:type="spellStart"/>
      <w:r w:rsidRPr="00124E95">
        <w:rPr>
          <w:b/>
          <w:caps/>
          <w:sz w:val="24"/>
          <w:szCs w:val="24"/>
          <w:u w:val="single"/>
          <w:lang w:val="eu-ES"/>
        </w:rPr>
        <w:t>dituen</w:t>
      </w:r>
      <w:proofErr w:type="spellEnd"/>
      <w:r w:rsidRPr="00124E95">
        <w:rPr>
          <w:b/>
          <w:caps/>
          <w:sz w:val="24"/>
          <w:szCs w:val="24"/>
          <w:u w:val="single"/>
          <w:lang w:val="eu-ES"/>
        </w:rPr>
        <w:t xml:space="preserve"> Foru Dekretuar</w:t>
      </w:r>
      <w:r w:rsidR="00C07F69">
        <w:rPr>
          <w:b/>
          <w:caps/>
          <w:sz w:val="24"/>
          <w:szCs w:val="24"/>
          <w:u w:val="single"/>
          <w:lang w:val="eu-ES"/>
        </w:rPr>
        <w:t>en proiektuari buruzko irizpena (</w:t>
      </w:r>
      <w:bookmarkStart w:id="0" w:name="_GoBack"/>
      <w:bookmarkEnd w:id="0"/>
      <w:r w:rsidR="00C07F69">
        <w:rPr>
          <w:b/>
          <w:bCs/>
          <w:sz w:val="24"/>
          <w:szCs w:val="24"/>
          <w:u w:val="single"/>
          <w:lang w:val="eu-ES"/>
        </w:rPr>
        <w:t xml:space="preserve"> Aholku Batzordearen bilkura, 2020ko irailaren 23a)</w:t>
      </w:r>
    </w:p>
    <w:p w:rsidR="00835865" w:rsidRDefault="00835865" w:rsidP="00835865">
      <w:pPr>
        <w:jc w:val="both"/>
        <w:rPr>
          <w:sz w:val="24"/>
          <w:szCs w:val="24"/>
        </w:rPr>
      </w:pPr>
    </w:p>
    <w:p w:rsidR="00835865" w:rsidRPr="00835865" w:rsidRDefault="00835865" w:rsidP="001142FD">
      <w:pPr>
        <w:jc w:val="both"/>
        <w:rPr>
          <w:b/>
          <w:sz w:val="24"/>
          <w:szCs w:val="24"/>
          <w:u w:val="single"/>
        </w:rPr>
      </w:pPr>
    </w:p>
    <w:p w:rsidR="001142FD" w:rsidRPr="0057774C" w:rsidRDefault="001142FD" w:rsidP="001142FD">
      <w:pPr>
        <w:jc w:val="center"/>
        <w:rPr>
          <w:b/>
          <w:sz w:val="24"/>
          <w:szCs w:val="24"/>
          <w:lang w:val="es-ES_tradnl"/>
        </w:rPr>
      </w:pPr>
    </w:p>
    <w:p w:rsidR="00C00967" w:rsidRDefault="002335F2" w:rsidP="00C00967">
      <w:pPr>
        <w:jc w:val="both"/>
        <w:rPr>
          <w:b/>
          <w:sz w:val="24"/>
          <w:szCs w:val="24"/>
        </w:rPr>
      </w:pPr>
      <w:r w:rsidRPr="00124E95">
        <w:rPr>
          <w:b/>
          <w:sz w:val="24"/>
          <w:szCs w:val="24"/>
          <w:lang w:val="eu-ES"/>
        </w:rPr>
        <w:t>I.- EGITATEZKO AURREKARIAK</w:t>
      </w:r>
    </w:p>
    <w:p w:rsidR="00C00967" w:rsidRDefault="00C00967" w:rsidP="00C00967">
      <w:pPr>
        <w:jc w:val="both"/>
        <w:rPr>
          <w:b/>
          <w:sz w:val="24"/>
          <w:szCs w:val="24"/>
        </w:rPr>
      </w:pPr>
    </w:p>
    <w:p w:rsidR="00C00967" w:rsidRDefault="002335F2" w:rsidP="00C00967">
      <w:pPr>
        <w:jc w:val="both"/>
        <w:rPr>
          <w:sz w:val="24"/>
          <w:szCs w:val="24"/>
        </w:rPr>
      </w:pPr>
      <w:r w:rsidRPr="00124E95">
        <w:rPr>
          <w:sz w:val="24"/>
          <w:szCs w:val="24"/>
          <w:lang w:val="eu-ES"/>
        </w:rPr>
        <w:t xml:space="preserve">Irizpen honen xede den foru dekretuaren proiektua Ogasun, Finantza eta Aurrekontu Saileko foru diputatuak igorri zuen </w:t>
      </w:r>
      <w:r w:rsidR="00856A04">
        <w:rPr>
          <w:sz w:val="24"/>
          <w:szCs w:val="24"/>
          <w:lang w:val="eu-ES"/>
        </w:rPr>
        <w:t>a</w:t>
      </w:r>
      <w:r w:rsidRPr="00124E95">
        <w:rPr>
          <w:sz w:val="24"/>
          <w:szCs w:val="24"/>
          <w:lang w:val="eu-ES"/>
        </w:rPr>
        <w:t xml:space="preserve">holku </w:t>
      </w:r>
      <w:r w:rsidR="00856A04">
        <w:rPr>
          <w:sz w:val="24"/>
          <w:szCs w:val="24"/>
          <w:lang w:val="eu-ES"/>
        </w:rPr>
        <w:t>b</w:t>
      </w:r>
      <w:r w:rsidRPr="00124E95">
        <w:rPr>
          <w:sz w:val="24"/>
          <w:szCs w:val="24"/>
          <w:lang w:val="eu-ES"/>
        </w:rPr>
        <w:t>atzorde honetara, bat etorriz Diputatuen Kontseiluaren martxoaren 30eko 40/1999 Foru Dekretuaren 17. artikuluko 1. apartatuan aurreikusitakoarekin.</w:t>
      </w:r>
      <w:r w:rsidR="00C00967">
        <w:rPr>
          <w:sz w:val="24"/>
          <w:szCs w:val="24"/>
        </w:rPr>
        <w:t xml:space="preserve"> </w:t>
      </w:r>
      <w:r w:rsidRPr="00124E95">
        <w:rPr>
          <w:sz w:val="24"/>
          <w:szCs w:val="24"/>
          <w:lang w:val="eu-ES"/>
        </w:rPr>
        <w:t>Irizpen eskaerarekin batera, jendaurrean jartzeko eta entzunaldi izapideen emaitzak jaso</w:t>
      </w:r>
      <w:r w:rsidR="00751761" w:rsidRPr="00124E95">
        <w:rPr>
          <w:sz w:val="24"/>
          <w:szCs w:val="24"/>
          <w:lang w:val="eu-ES"/>
        </w:rPr>
        <w:t>tzen</w:t>
      </w:r>
      <w:r w:rsidRPr="00124E95">
        <w:rPr>
          <w:sz w:val="24"/>
          <w:szCs w:val="24"/>
          <w:lang w:val="eu-ES"/>
        </w:rPr>
        <w:t xml:space="preserve"> dituen memoria ere gehitu da, </w:t>
      </w:r>
      <w:r w:rsidR="00751761" w:rsidRPr="00124E95">
        <w:rPr>
          <w:sz w:val="24"/>
          <w:szCs w:val="24"/>
          <w:lang w:val="eu-ES"/>
        </w:rPr>
        <w:t xml:space="preserve">bai eta </w:t>
      </w:r>
      <w:r w:rsidRPr="00124E95">
        <w:rPr>
          <w:sz w:val="24"/>
          <w:szCs w:val="24"/>
          <w:lang w:val="eu-ES"/>
        </w:rPr>
        <w:t>arau eraginareni buruzko txostena, txosten ekonomikoa eta genero eraginaren aldez aurreko ebaluazioaren txostena</w:t>
      </w:r>
      <w:r w:rsidR="00751761" w:rsidRPr="00124E95">
        <w:rPr>
          <w:sz w:val="24"/>
          <w:szCs w:val="24"/>
          <w:lang w:val="eu-ES"/>
        </w:rPr>
        <w:t xml:space="preserve"> ere</w:t>
      </w:r>
      <w:r w:rsidRPr="00124E95">
        <w:rPr>
          <w:sz w:val="24"/>
          <w:szCs w:val="24"/>
          <w:lang w:val="eu-ES"/>
        </w:rPr>
        <w:t xml:space="preserve">, hala xedatzen baitu Foru Gobernu Kontseiluaren maiatzaren 23ko 29/2017 Foru Dekretuak, zeinak onesten baititu xedapen orokorrak egiteko prozedura, arau eraginari eta genero eraginari buruzko txostenak egiteko gidak eta araugintza jarraibideak. </w:t>
      </w:r>
    </w:p>
    <w:p w:rsidR="00C00967" w:rsidRDefault="00C00967" w:rsidP="00C00967">
      <w:pPr>
        <w:jc w:val="both"/>
        <w:rPr>
          <w:sz w:val="24"/>
          <w:szCs w:val="24"/>
        </w:rPr>
      </w:pPr>
    </w:p>
    <w:p w:rsidR="00C00967" w:rsidRDefault="002335F2" w:rsidP="00C00967">
      <w:pPr>
        <w:jc w:val="both"/>
        <w:rPr>
          <w:sz w:val="24"/>
          <w:szCs w:val="24"/>
        </w:rPr>
      </w:pPr>
      <w:r w:rsidRPr="00124E95">
        <w:rPr>
          <w:sz w:val="24"/>
          <w:szCs w:val="24"/>
          <w:lang w:val="eu-ES"/>
        </w:rPr>
        <w:t>Aipatutako foru dekretuaren proiektuaren bidez, Arabako Foru Ogasunari aitorpenak eta autolikidazioak bide telematikoz aurkezteko baldintza eta eskakizun orokorrak arautzen dira.</w:t>
      </w:r>
    </w:p>
    <w:p w:rsidR="00C00967" w:rsidRDefault="00C00967" w:rsidP="00C00967">
      <w:pPr>
        <w:jc w:val="both"/>
        <w:rPr>
          <w:sz w:val="24"/>
          <w:szCs w:val="24"/>
        </w:rPr>
      </w:pPr>
    </w:p>
    <w:p w:rsidR="00C00967" w:rsidRDefault="002335F2" w:rsidP="00C00967">
      <w:pPr>
        <w:jc w:val="both"/>
        <w:rPr>
          <w:b/>
          <w:sz w:val="24"/>
          <w:szCs w:val="24"/>
        </w:rPr>
      </w:pPr>
      <w:r w:rsidRPr="00124E95">
        <w:rPr>
          <w:b/>
          <w:sz w:val="24"/>
          <w:szCs w:val="24"/>
          <w:lang w:val="eu-ES"/>
        </w:rPr>
        <w:t>II.- OHAR JURIDIKOAK</w:t>
      </w:r>
    </w:p>
    <w:p w:rsidR="00C00967" w:rsidRDefault="00C00967" w:rsidP="00C00967">
      <w:pPr>
        <w:jc w:val="both"/>
        <w:rPr>
          <w:b/>
          <w:sz w:val="24"/>
          <w:szCs w:val="24"/>
        </w:rPr>
      </w:pPr>
    </w:p>
    <w:p w:rsidR="00C00967" w:rsidRDefault="002335F2" w:rsidP="00C00967">
      <w:pPr>
        <w:tabs>
          <w:tab w:val="left" w:pos="1985"/>
          <w:tab w:val="num" w:pos="2705"/>
        </w:tabs>
        <w:jc w:val="both"/>
        <w:rPr>
          <w:b/>
          <w:sz w:val="24"/>
          <w:szCs w:val="24"/>
        </w:rPr>
      </w:pPr>
      <w:r w:rsidRPr="00124E95">
        <w:rPr>
          <w:b/>
          <w:sz w:val="24"/>
          <w:szCs w:val="24"/>
          <w:lang w:val="eu-ES"/>
        </w:rPr>
        <w:t>1.- AHOLKU BATZORDEAREN ESKUMENA IRIZPENA EMATEKO</w:t>
      </w:r>
    </w:p>
    <w:p w:rsidR="00C00967" w:rsidRDefault="00C00967" w:rsidP="00C00967">
      <w:pPr>
        <w:tabs>
          <w:tab w:val="left" w:pos="1985"/>
          <w:tab w:val="num" w:pos="2705"/>
        </w:tabs>
        <w:jc w:val="both"/>
        <w:rPr>
          <w:b/>
          <w:sz w:val="24"/>
          <w:szCs w:val="24"/>
        </w:rPr>
      </w:pPr>
    </w:p>
    <w:p w:rsidR="00C00967" w:rsidRDefault="002335F2" w:rsidP="00C00967">
      <w:pPr>
        <w:jc w:val="both"/>
        <w:rPr>
          <w:i/>
          <w:sz w:val="24"/>
          <w:szCs w:val="24"/>
        </w:rPr>
      </w:pPr>
      <w:r w:rsidRPr="00124E95">
        <w:rPr>
          <w:sz w:val="24"/>
          <w:szCs w:val="24"/>
          <w:lang w:val="eu-ES"/>
        </w:rPr>
        <w:t>Diputatuen Kontseiluaren martxoaren 30eko 40/1999 Foru Dekretuak, 3. artikuluan, Arabako Foru Administrazioaren Aholku Batzordearen eskumenak ezartzen ditu, eta haien artean daude irizpena ematea hauexei buruz: "Erregelamenduzko xedapenen proiektuak, foru arauak betearazteko emandakoak, gaia lurralde historikoaren eskumen osokoa denean, edo autonomia erkidegoaren legeak betearazteko emandakoak, gaia lurralde historikoak erregelamendu bidez garatzeko denean".</w:t>
      </w:r>
    </w:p>
    <w:p w:rsidR="00C00967" w:rsidRDefault="00C00967" w:rsidP="00C00967">
      <w:pPr>
        <w:jc w:val="both"/>
        <w:rPr>
          <w:i/>
          <w:sz w:val="24"/>
          <w:szCs w:val="24"/>
        </w:rPr>
      </w:pPr>
    </w:p>
    <w:p w:rsidR="00C00967" w:rsidRDefault="002335F2" w:rsidP="00C00967">
      <w:pPr>
        <w:jc w:val="both"/>
        <w:rPr>
          <w:sz w:val="24"/>
          <w:szCs w:val="24"/>
          <w:lang w:val="eu-ES"/>
        </w:rPr>
      </w:pPr>
      <w:r w:rsidRPr="00124E95">
        <w:rPr>
          <w:sz w:val="24"/>
          <w:szCs w:val="24"/>
          <w:lang w:val="eu-ES"/>
        </w:rPr>
        <w:t>Zerga arloan Lurralde Historikoaren eskumenari buruz egiten den lehen erreferentzia, Espainiako Konstituzioaren Lehen Xedapen Gehigarrian aurkitzen dugu. Hauxe ezartzen du:</w:t>
      </w:r>
      <w:r w:rsidR="00C00967" w:rsidRPr="00C07F69">
        <w:rPr>
          <w:sz w:val="24"/>
          <w:szCs w:val="24"/>
          <w:lang w:val="eu-ES"/>
        </w:rPr>
        <w:t xml:space="preserve"> </w:t>
      </w:r>
      <w:r w:rsidR="00856A04">
        <w:rPr>
          <w:sz w:val="24"/>
          <w:szCs w:val="24"/>
          <w:lang w:val="eu-ES"/>
        </w:rPr>
        <w:t>"</w:t>
      </w:r>
      <w:r w:rsidRPr="00124E95">
        <w:rPr>
          <w:sz w:val="24"/>
          <w:szCs w:val="24"/>
          <w:lang w:val="eu-ES"/>
        </w:rPr>
        <w:t>Konstituzioak babestu eta onartzen ditu forudun lurraldeetako eskubide historikoak.</w:t>
      </w:r>
      <w:r w:rsidR="00C00967" w:rsidRPr="00C07F69">
        <w:rPr>
          <w:i/>
          <w:sz w:val="24"/>
          <w:szCs w:val="24"/>
          <w:lang w:val="eu-ES"/>
        </w:rPr>
        <w:t xml:space="preserve"> </w:t>
      </w:r>
      <w:r w:rsidR="00076208" w:rsidRPr="00124E95">
        <w:rPr>
          <w:sz w:val="24"/>
          <w:szCs w:val="24"/>
          <w:lang w:val="eu-ES"/>
        </w:rPr>
        <w:t>Foru araubide horren eguneratze orokorra, hala badagokio, Konstituzioaren eta autonomia estatutuen esparruan egingo da</w:t>
      </w:r>
      <w:r w:rsidR="00856A04">
        <w:rPr>
          <w:sz w:val="24"/>
          <w:szCs w:val="24"/>
          <w:lang w:val="eu-ES"/>
        </w:rPr>
        <w:t>"</w:t>
      </w:r>
      <w:r w:rsidR="00076208" w:rsidRPr="00124E95">
        <w:rPr>
          <w:sz w:val="24"/>
          <w:szCs w:val="24"/>
          <w:lang w:val="eu-ES"/>
        </w:rPr>
        <w:t>.</w:t>
      </w:r>
    </w:p>
    <w:p w:rsidR="005D7EA6" w:rsidRPr="005C6EB9" w:rsidRDefault="005D7EA6" w:rsidP="00C00967">
      <w:pPr>
        <w:jc w:val="both"/>
        <w:rPr>
          <w:b/>
          <w:i/>
          <w:sz w:val="24"/>
          <w:szCs w:val="24"/>
        </w:rPr>
      </w:pPr>
    </w:p>
    <w:p w:rsidR="00C00967" w:rsidRPr="005C6EB9" w:rsidRDefault="00076208" w:rsidP="00C00967">
      <w:pPr>
        <w:jc w:val="both"/>
        <w:rPr>
          <w:sz w:val="24"/>
          <w:szCs w:val="24"/>
        </w:rPr>
      </w:pPr>
      <w:r w:rsidRPr="00124E95">
        <w:rPr>
          <w:sz w:val="24"/>
          <w:szCs w:val="24"/>
          <w:lang w:val="eu-ES"/>
        </w:rPr>
        <w:t>Horrez gain, Euskal Autonomia Erkidegoko Autonomia Estatutuaren 41.2.a) artikuluak honako hau ezar</w:t>
      </w:r>
      <w:r w:rsidR="00856A04">
        <w:rPr>
          <w:sz w:val="24"/>
          <w:szCs w:val="24"/>
          <w:lang w:val="eu-ES"/>
        </w:rPr>
        <w:t>tzen du</w:t>
      </w:r>
      <w:r w:rsidRPr="00124E95">
        <w:rPr>
          <w:sz w:val="24"/>
          <w:szCs w:val="24"/>
          <w:lang w:val="eu-ES"/>
        </w:rPr>
        <w:t xml:space="preserve">: </w:t>
      </w:r>
      <w:r w:rsidR="00856A04">
        <w:rPr>
          <w:sz w:val="24"/>
          <w:szCs w:val="24"/>
          <w:lang w:val="eu-ES"/>
        </w:rPr>
        <w:t>"</w:t>
      </w:r>
      <w:r w:rsidRPr="00124E95">
        <w:rPr>
          <w:sz w:val="24"/>
          <w:szCs w:val="24"/>
          <w:lang w:val="eu-ES"/>
        </w:rPr>
        <w:t>Lurralde Historikoetako erakunde eskumendunek zerga araubidea mantendu, ezarri eta arautu ahal izango dute beren lurraldean, Estatuko zerga egitura orokorrari, koordinaziorako, zerga harmonizaziorako eta Estatuarekiko lankidetzarako ekonomia- itunak berak jaso ditzan arauei eta Autonomia Erkidegoaren baitan helburu horiexetarako Eusko Legebiltzarrak eman ditzanei loturik</w:t>
      </w:r>
      <w:r w:rsidR="00856A04">
        <w:rPr>
          <w:sz w:val="24"/>
          <w:szCs w:val="24"/>
          <w:lang w:val="eu-ES"/>
        </w:rPr>
        <w:t>"</w:t>
      </w:r>
      <w:r w:rsidRPr="00124E95">
        <w:rPr>
          <w:sz w:val="24"/>
          <w:szCs w:val="24"/>
          <w:lang w:val="eu-ES"/>
        </w:rPr>
        <w:t>.</w:t>
      </w:r>
    </w:p>
    <w:p w:rsidR="00C00967" w:rsidRPr="005C6EB9" w:rsidRDefault="00C00967" w:rsidP="00C00967">
      <w:pPr>
        <w:jc w:val="both"/>
        <w:rPr>
          <w:sz w:val="24"/>
          <w:szCs w:val="24"/>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C00967" w:rsidRPr="000B1603" w:rsidRDefault="00076208" w:rsidP="00C00967">
      <w:pPr>
        <w:jc w:val="both"/>
        <w:rPr>
          <w:sz w:val="24"/>
          <w:szCs w:val="24"/>
          <w:lang w:val="eu-ES"/>
        </w:rPr>
      </w:pPr>
      <w:r w:rsidRPr="00124E95">
        <w:rPr>
          <w:sz w:val="24"/>
          <w:szCs w:val="24"/>
          <w:lang w:val="eu-ES"/>
        </w:rPr>
        <w:t>EAEren eta estatuaren artean sinatutako Ekonomia Itunak, maiatzaren 23ko 12/2002 Legeak onetsitakoak, honako hau ezar</w:t>
      </w:r>
      <w:r w:rsidR="00856A04">
        <w:rPr>
          <w:sz w:val="24"/>
          <w:szCs w:val="24"/>
          <w:lang w:val="eu-ES"/>
        </w:rPr>
        <w:t xml:space="preserve">tzen du </w:t>
      </w:r>
      <w:r w:rsidRPr="00124E95">
        <w:rPr>
          <w:sz w:val="24"/>
          <w:szCs w:val="24"/>
          <w:lang w:val="eu-ES"/>
        </w:rPr>
        <w:t>1. artikuluan:</w:t>
      </w:r>
    </w:p>
    <w:p w:rsidR="00C00967" w:rsidRPr="000B1603" w:rsidRDefault="00C00967" w:rsidP="00C00967">
      <w:pPr>
        <w:jc w:val="both"/>
        <w:rPr>
          <w:sz w:val="24"/>
          <w:szCs w:val="24"/>
          <w:lang w:val="eu-ES"/>
        </w:rPr>
      </w:pPr>
    </w:p>
    <w:p w:rsidR="00C00967" w:rsidRPr="005C6EB9" w:rsidRDefault="00076208" w:rsidP="00C00967">
      <w:pPr>
        <w:ind w:left="708"/>
        <w:jc w:val="both"/>
        <w:rPr>
          <w:i/>
          <w:sz w:val="24"/>
          <w:szCs w:val="24"/>
        </w:rPr>
      </w:pPr>
      <w:r w:rsidRPr="00124E95">
        <w:rPr>
          <w:sz w:val="24"/>
          <w:szCs w:val="24"/>
          <w:lang w:val="eu-ES"/>
        </w:rPr>
        <w:t>"Lurralde Historikoetako erakunde eskudunek beren zerga sistema eduki, ezarri eta arautu ahal izango dute beren lurraldearen barruan”.</w:t>
      </w:r>
    </w:p>
    <w:p w:rsidR="00C00967" w:rsidRPr="005C6EB9" w:rsidRDefault="00C00967" w:rsidP="00C00967">
      <w:pPr>
        <w:ind w:left="708"/>
        <w:jc w:val="both"/>
        <w:rPr>
          <w:i/>
          <w:sz w:val="24"/>
          <w:szCs w:val="24"/>
        </w:rPr>
      </w:pPr>
      <w:r w:rsidRPr="005C6EB9">
        <w:rPr>
          <w:i/>
          <w:sz w:val="24"/>
          <w:szCs w:val="24"/>
        </w:rPr>
        <w:t>.</w:t>
      </w:r>
    </w:p>
    <w:p w:rsidR="00C00967" w:rsidRPr="005C6EB9" w:rsidRDefault="003E1C30" w:rsidP="00C00967">
      <w:pPr>
        <w:jc w:val="both"/>
        <w:rPr>
          <w:sz w:val="24"/>
          <w:szCs w:val="24"/>
        </w:rPr>
      </w:pPr>
      <w:r w:rsidRPr="00124E95">
        <w:rPr>
          <w:sz w:val="24"/>
          <w:szCs w:val="24"/>
          <w:lang w:val="eu-ES"/>
        </w:rPr>
        <w:t>Bestalde, azaroaren 25eko 27/1983 Legeak, zeina Euskal Autonomia Erkidego osorako erakundeen eta bertako Lurralde Historikoetako foru erakundeen arteko harremanei buruzkoa</w:t>
      </w:r>
      <w:r w:rsidR="00090120" w:rsidRPr="00124E95">
        <w:rPr>
          <w:sz w:val="24"/>
          <w:szCs w:val="24"/>
          <w:lang w:val="eu-ES"/>
        </w:rPr>
        <w:t xml:space="preserve"> baita</w:t>
      </w:r>
      <w:r w:rsidRPr="00124E95">
        <w:rPr>
          <w:sz w:val="24"/>
          <w:szCs w:val="24"/>
          <w:lang w:val="eu-ES"/>
        </w:rPr>
        <w:t xml:space="preserve">, honako hau </w:t>
      </w:r>
      <w:r w:rsidR="00856A04">
        <w:rPr>
          <w:sz w:val="24"/>
          <w:szCs w:val="24"/>
          <w:lang w:val="eu-ES"/>
        </w:rPr>
        <w:t>ezartzen du</w:t>
      </w:r>
      <w:r w:rsidRPr="00124E95">
        <w:rPr>
          <w:sz w:val="24"/>
          <w:szCs w:val="24"/>
          <w:lang w:val="eu-ES"/>
        </w:rPr>
        <w:t xml:space="preserve"> 7.6 artikuluan, foru erakundeen eskumen esklusibo gisa: </w:t>
      </w:r>
      <w:r w:rsidR="00856A04">
        <w:rPr>
          <w:sz w:val="24"/>
          <w:szCs w:val="24"/>
          <w:lang w:val="eu-ES"/>
        </w:rPr>
        <w:t>"</w:t>
      </w:r>
      <w:r w:rsidRPr="00124E95">
        <w:rPr>
          <w:sz w:val="24"/>
          <w:szCs w:val="24"/>
          <w:lang w:val="eu-ES"/>
        </w:rPr>
        <w:t>Autonomia Estatutuaren 41. artikuluak esaten dituenak eta, oro har, Ekon</w:t>
      </w:r>
      <w:r w:rsidR="00090120" w:rsidRPr="00124E95">
        <w:rPr>
          <w:sz w:val="24"/>
          <w:szCs w:val="24"/>
          <w:lang w:val="eu-ES"/>
        </w:rPr>
        <w:t>omia Itunaren Legeak edo zerga</w:t>
      </w:r>
      <w:r w:rsidRPr="00124E95">
        <w:rPr>
          <w:sz w:val="24"/>
          <w:szCs w:val="24"/>
          <w:lang w:val="eu-ES"/>
        </w:rPr>
        <w:t xml:space="preserve"> alorreko beste arau edo manuren batzuk emanda izan ditza</w:t>
      </w:r>
      <w:r w:rsidR="00090120" w:rsidRPr="00124E95">
        <w:rPr>
          <w:sz w:val="24"/>
          <w:szCs w:val="24"/>
          <w:lang w:val="eu-ES"/>
        </w:rPr>
        <w:t>ke</w:t>
      </w:r>
      <w:r w:rsidRPr="00124E95">
        <w:rPr>
          <w:sz w:val="24"/>
          <w:szCs w:val="24"/>
          <w:lang w:val="eu-ES"/>
        </w:rPr>
        <w:t>ten guztia</w:t>
      </w:r>
      <w:r w:rsidR="00090120" w:rsidRPr="00124E95">
        <w:rPr>
          <w:sz w:val="24"/>
          <w:szCs w:val="24"/>
          <w:lang w:val="eu-ES"/>
        </w:rPr>
        <w:t>k</w:t>
      </w:r>
      <w:r w:rsidR="00856A04">
        <w:rPr>
          <w:sz w:val="24"/>
          <w:szCs w:val="24"/>
          <w:lang w:val="eu-ES"/>
        </w:rPr>
        <w:t>"</w:t>
      </w:r>
      <w:r w:rsidRPr="00124E95">
        <w:rPr>
          <w:sz w:val="24"/>
          <w:szCs w:val="24"/>
          <w:lang w:val="eu-ES"/>
        </w:rPr>
        <w:t>.</w:t>
      </w:r>
    </w:p>
    <w:p w:rsidR="00C00967" w:rsidRPr="005C6EB9" w:rsidRDefault="00C00967" w:rsidP="00C00967">
      <w:pPr>
        <w:jc w:val="both"/>
        <w:rPr>
          <w:sz w:val="24"/>
          <w:szCs w:val="24"/>
        </w:rPr>
      </w:pPr>
    </w:p>
    <w:p w:rsidR="00C00967" w:rsidRDefault="00090120" w:rsidP="00C00967">
      <w:pPr>
        <w:jc w:val="both"/>
      </w:pPr>
      <w:r w:rsidRPr="00124E95">
        <w:rPr>
          <w:sz w:val="24"/>
          <w:szCs w:val="24"/>
          <w:lang w:val="eu-ES"/>
        </w:rPr>
        <w:t>Azkenik, Arabako Zergen otsailaren 28ko 6/2005 Foru Arau Orokorrak Arabako Lurralde Historikoko zerga sistemaren printzipioak eta arau juridikoak erregulatzen ditu, eta, 4. artikuluan, ahalmena ematen dio Arabako Foru Aldundiari hura garatzeko beharrezkoak izan daitezkeen xedapenak emateko.</w:t>
      </w:r>
    </w:p>
    <w:p w:rsidR="00751761" w:rsidRPr="005C6EB9" w:rsidRDefault="00751761" w:rsidP="00C00967">
      <w:pPr>
        <w:jc w:val="both"/>
        <w:rPr>
          <w:sz w:val="24"/>
          <w:szCs w:val="24"/>
        </w:rPr>
      </w:pPr>
    </w:p>
    <w:p w:rsidR="00C00967" w:rsidRPr="00090120" w:rsidRDefault="009B48D9" w:rsidP="00C00967">
      <w:pPr>
        <w:jc w:val="both"/>
        <w:rPr>
          <w:sz w:val="24"/>
          <w:szCs w:val="24"/>
        </w:rPr>
      </w:pPr>
      <w:r w:rsidRPr="00124E95">
        <w:rPr>
          <w:sz w:val="24"/>
          <w:szCs w:val="24"/>
          <w:lang w:val="eu-ES"/>
        </w:rPr>
        <w:t>Zehazki, aitorpenak eta autolikidazioak aurkezteko betebeharra, zerga betebehar formala, aipatutako 6/2005 Foru Arauaren 29.2 c) artikuluan jasotzen da, eta artikulu beraren 3. puntuan hau adierazten da: "Artikulu honetan xedatutakoa garatzeko ematen diren erregelamenduzko xedapenetan zerga betebehar formalak betetzearen inguruabarrak arautu ahal izango dira".</w:t>
      </w:r>
    </w:p>
    <w:p w:rsidR="00C00967" w:rsidRPr="005C6EB9" w:rsidRDefault="00C00967" w:rsidP="00C00967">
      <w:pPr>
        <w:jc w:val="both"/>
        <w:rPr>
          <w:sz w:val="24"/>
          <w:szCs w:val="24"/>
        </w:rPr>
      </w:pPr>
    </w:p>
    <w:p w:rsidR="00C00967" w:rsidRPr="005C6EB9" w:rsidRDefault="009B48D9" w:rsidP="00C00967">
      <w:pPr>
        <w:jc w:val="both"/>
        <w:rPr>
          <w:sz w:val="24"/>
          <w:szCs w:val="24"/>
        </w:rPr>
      </w:pPr>
      <w:r w:rsidRPr="00124E95">
        <w:rPr>
          <w:sz w:val="24"/>
          <w:szCs w:val="24"/>
          <w:lang w:val="eu-ES"/>
        </w:rPr>
        <w:t xml:space="preserve">Halaber, Foru Arau horren 81. artikuluak ezartzen du Arabako Foru Aldundiak zergapekoei informazioa eta laguntza eman behar diela beren eskubide eta betebeharrei buruz, besteak beste, autolikidazioak eta aitorpenak egiten laguntzeko, eta, horretarako, zergadunekiko dokumentu prozedura guztietan </w:t>
      </w:r>
      <w:proofErr w:type="spellStart"/>
      <w:r w:rsidRPr="00124E95">
        <w:rPr>
          <w:sz w:val="24"/>
          <w:szCs w:val="24"/>
          <w:lang w:val="eu-ES"/>
        </w:rPr>
        <w:t>IKTak</w:t>
      </w:r>
      <w:proofErr w:type="spellEnd"/>
      <w:r w:rsidRPr="00124E95">
        <w:rPr>
          <w:sz w:val="24"/>
          <w:szCs w:val="24"/>
          <w:lang w:val="eu-ES"/>
        </w:rPr>
        <w:t xml:space="preserve"> (informazio eta komunikazio teknologiak) erabiltzea sustatu behar du.</w:t>
      </w:r>
      <w:r w:rsidR="00C00967" w:rsidRPr="005C6EB9">
        <w:rPr>
          <w:sz w:val="24"/>
          <w:szCs w:val="24"/>
        </w:rPr>
        <w:t xml:space="preserve"> </w:t>
      </w:r>
      <w:r w:rsidR="004C1017" w:rsidRPr="00124E95">
        <w:rPr>
          <w:sz w:val="24"/>
          <w:szCs w:val="24"/>
          <w:lang w:val="eu-ES"/>
        </w:rPr>
        <w:t>Horiek horrela, 81. artikuluan aurreikusitako informazio jarduketak teknika eta bitarteko elektroniko, informatiko eta telematikoak erabiliz eta aplikatuz egin ahal izango dira.</w:t>
      </w:r>
      <w:r w:rsidR="00C00967" w:rsidRPr="005C6EB9">
        <w:rPr>
          <w:sz w:val="24"/>
          <w:szCs w:val="24"/>
        </w:rPr>
        <w:t xml:space="preserve"> </w:t>
      </w:r>
    </w:p>
    <w:p w:rsidR="00C00967" w:rsidRPr="005C6EB9" w:rsidRDefault="00C00967" w:rsidP="00C00967">
      <w:pPr>
        <w:jc w:val="both"/>
        <w:rPr>
          <w:sz w:val="24"/>
          <w:szCs w:val="24"/>
        </w:rPr>
      </w:pPr>
    </w:p>
    <w:p w:rsidR="00C00967" w:rsidRPr="005C6EB9" w:rsidRDefault="004C1017" w:rsidP="00C00967">
      <w:pPr>
        <w:jc w:val="both"/>
        <w:rPr>
          <w:sz w:val="24"/>
          <w:szCs w:val="24"/>
        </w:rPr>
      </w:pPr>
      <w:r w:rsidRPr="00124E95">
        <w:rPr>
          <w:sz w:val="24"/>
          <w:szCs w:val="24"/>
          <w:lang w:val="eu-ES"/>
        </w:rPr>
        <w:t xml:space="preserve">Horregatik guztiagatik, Arabako Foru Ogasunari aitorpenak eta autolikidazioak bide telematikoz aurkezteko baldintza eta eskakizun orokorrak arautzen dituen Foru Dekretuak </w:t>
      </w:r>
      <w:r w:rsidR="00856A04">
        <w:rPr>
          <w:sz w:val="24"/>
          <w:szCs w:val="24"/>
          <w:lang w:val="eu-ES"/>
        </w:rPr>
        <w:t>a</w:t>
      </w:r>
      <w:r w:rsidRPr="00124E95">
        <w:rPr>
          <w:sz w:val="24"/>
          <w:szCs w:val="24"/>
          <w:lang w:val="eu-ES"/>
        </w:rPr>
        <w:t xml:space="preserve">holku </w:t>
      </w:r>
      <w:r w:rsidR="00856A04">
        <w:rPr>
          <w:sz w:val="24"/>
          <w:szCs w:val="24"/>
          <w:lang w:val="eu-ES"/>
        </w:rPr>
        <w:t>b</w:t>
      </w:r>
      <w:r w:rsidRPr="00124E95">
        <w:rPr>
          <w:sz w:val="24"/>
          <w:szCs w:val="24"/>
          <w:lang w:val="eu-ES"/>
        </w:rPr>
        <w:t>atzorde honen nahitaezko irizpena behar du.</w:t>
      </w:r>
    </w:p>
    <w:p w:rsidR="00C00967" w:rsidRPr="005C6EB9" w:rsidRDefault="00C00967" w:rsidP="00C00967">
      <w:pPr>
        <w:jc w:val="both"/>
        <w:rPr>
          <w:sz w:val="24"/>
          <w:szCs w:val="24"/>
        </w:rPr>
      </w:pPr>
    </w:p>
    <w:p w:rsidR="00C00967" w:rsidRDefault="004C1017" w:rsidP="00C00967">
      <w:pPr>
        <w:tabs>
          <w:tab w:val="left" w:pos="1985"/>
          <w:tab w:val="num" w:pos="2705"/>
        </w:tabs>
        <w:jc w:val="both"/>
        <w:rPr>
          <w:b/>
          <w:sz w:val="24"/>
          <w:szCs w:val="24"/>
        </w:rPr>
      </w:pPr>
      <w:r w:rsidRPr="00124E95">
        <w:rPr>
          <w:b/>
          <w:sz w:val="24"/>
          <w:szCs w:val="24"/>
          <w:lang w:val="eu-ES"/>
        </w:rPr>
        <w:t>2.- ERAKUNDE ESKUMENA ETA ARAUDI GAIKUNTZA</w:t>
      </w:r>
    </w:p>
    <w:p w:rsidR="00C00967" w:rsidRPr="005C6EB9" w:rsidRDefault="00C00967" w:rsidP="00C00967">
      <w:pPr>
        <w:tabs>
          <w:tab w:val="left" w:pos="1985"/>
          <w:tab w:val="num" w:pos="2705"/>
        </w:tabs>
        <w:jc w:val="both"/>
        <w:rPr>
          <w:b/>
          <w:sz w:val="24"/>
          <w:szCs w:val="24"/>
        </w:rPr>
      </w:pPr>
    </w:p>
    <w:p w:rsidR="00C00967" w:rsidRDefault="004C1017" w:rsidP="00C00967">
      <w:pPr>
        <w:jc w:val="both"/>
        <w:rPr>
          <w:sz w:val="24"/>
          <w:szCs w:val="24"/>
        </w:rPr>
      </w:pPr>
      <w:r w:rsidRPr="00124E95">
        <w:rPr>
          <w:sz w:val="24"/>
          <w:szCs w:val="24"/>
          <w:lang w:val="eu-ES"/>
        </w:rPr>
        <w:t>Arabako Zergei buruzko Foru Arau Orokorraren 4.1 artikuluak Arabako Foru Aldundiari esleitzen dio zerga arauak garatzeko araudi eskumena; nolanahi ere, tokiko zergei dagokienez, badira toki erakundeei dagozkien eskumenak ere.</w:t>
      </w:r>
      <w:r w:rsidR="00C00967" w:rsidRPr="005C6EB9">
        <w:rPr>
          <w:sz w:val="24"/>
          <w:szCs w:val="24"/>
        </w:rPr>
        <w:t xml:space="preserve"> </w:t>
      </w:r>
    </w:p>
    <w:p w:rsidR="00C00967" w:rsidRPr="005C6EB9" w:rsidRDefault="00C00967" w:rsidP="00C00967">
      <w:pPr>
        <w:jc w:val="both"/>
        <w:rPr>
          <w:sz w:val="24"/>
          <w:szCs w:val="24"/>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C00967" w:rsidRPr="000B1603" w:rsidRDefault="004C1017" w:rsidP="00C00967">
      <w:pPr>
        <w:jc w:val="both"/>
        <w:rPr>
          <w:sz w:val="24"/>
          <w:szCs w:val="24"/>
          <w:lang w:val="eu-ES"/>
        </w:rPr>
      </w:pPr>
      <w:r w:rsidRPr="00124E95">
        <w:rPr>
          <w:sz w:val="24"/>
          <w:szCs w:val="24"/>
          <w:lang w:val="eu-ES"/>
        </w:rPr>
        <w:t xml:space="preserve">Bestalde, Arabako Foru Aldundiaren Antolaketa, Funtzionamendu eta Araubide Juridikoari buruzko abenduaren 18ko 52/92 Foru Arauaren 7.2 artikuluak hau </w:t>
      </w:r>
      <w:r w:rsidR="00856A04">
        <w:rPr>
          <w:sz w:val="24"/>
          <w:szCs w:val="24"/>
          <w:lang w:val="eu-ES"/>
        </w:rPr>
        <w:t>ezartzen du</w:t>
      </w:r>
      <w:r w:rsidRPr="00124E95">
        <w:rPr>
          <w:sz w:val="24"/>
          <w:szCs w:val="24"/>
          <w:lang w:val="eu-ES"/>
        </w:rPr>
        <w:t xml:space="preserve">: </w:t>
      </w:r>
      <w:r w:rsidR="00856A04">
        <w:rPr>
          <w:sz w:val="24"/>
          <w:szCs w:val="24"/>
          <w:lang w:val="eu-ES"/>
        </w:rPr>
        <w:t>"</w:t>
      </w:r>
      <w:r w:rsidRPr="00124E95">
        <w:rPr>
          <w:sz w:val="24"/>
          <w:szCs w:val="24"/>
          <w:lang w:val="eu-ES"/>
        </w:rPr>
        <w:t>Araudi ahalmena baliatuz, Diputatuen Kontseiluari dagokio foru arauak garatu eta egikaritzeko araudiak onestea, foru dekretuen bitartez</w:t>
      </w:r>
      <w:r w:rsidR="00856A04">
        <w:rPr>
          <w:sz w:val="24"/>
          <w:szCs w:val="24"/>
          <w:lang w:val="eu-ES"/>
        </w:rPr>
        <w:t>"</w:t>
      </w:r>
      <w:r w:rsidRPr="00124E95">
        <w:rPr>
          <w:sz w:val="24"/>
          <w:szCs w:val="24"/>
          <w:lang w:val="eu-ES"/>
        </w:rPr>
        <w:t>.</w:t>
      </w:r>
    </w:p>
    <w:p w:rsidR="00C00967" w:rsidRPr="000B1603" w:rsidRDefault="00C00967" w:rsidP="00C00967">
      <w:pPr>
        <w:jc w:val="both"/>
        <w:rPr>
          <w:sz w:val="24"/>
          <w:szCs w:val="24"/>
          <w:lang w:val="eu-ES"/>
        </w:rPr>
      </w:pPr>
    </w:p>
    <w:p w:rsidR="00C00967" w:rsidRPr="009623F1" w:rsidRDefault="004C1017" w:rsidP="00C00967">
      <w:pPr>
        <w:ind w:left="426" w:hanging="426"/>
        <w:jc w:val="both"/>
        <w:rPr>
          <w:b/>
          <w:sz w:val="24"/>
          <w:szCs w:val="24"/>
          <w:lang w:val="eu-ES"/>
        </w:rPr>
      </w:pPr>
      <w:r w:rsidRPr="00124E95">
        <w:rPr>
          <w:b/>
          <w:sz w:val="24"/>
          <w:szCs w:val="24"/>
          <w:lang w:val="eu-ES"/>
        </w:rPr>
        <w:t>3.- PROZEDURA</w:t>
      </w:r>
      <w:r w:rsidR="00C00967" w:rsidRPr="009623F1">
        <w:rPr>
          <w:b/>
          <w:sz w:val="24"/>
          <w:szCs w:val="24"/>
          <w:lang w:val="eu-ES"/>
        </w:rPr>
        <w:t xml:space="preserve"> </w:t>
      </w:r>
    </w:p>
    <w:p w:rsidR="00C00967" w:rsidRPr="009623F1" w:rsidRDefault="00C00967" w:rsidP="00C00967">
      <w:pPr>
        <w:ind w:left="426" w:hanging="426"/>
        <w:jc w:val="both"/>
        <w:rPr>
          <w:b/>
          <w:sz w:val="24"/>
          <w:szCs w:val="24"/>
          <w:lang w:val="eu-ES"/>
        </w:rPr>
      </w:pPr>
    </w:p>
    <w:p w:rsidR="00C00967" w:rsidRPr="009623F1" w:rsidRDefault="004C1017" w:rsidP="00C00967">
      <w:pPr>
        <w:jc w:val="both"/>
        <w:rPr>
          <w:sz w:val="24"/>
          <w:szCs w:val="24"/>
          <w:lang w:val="eu-ES"/>
        </w:rPr>
      </w:pPr>
      <w:r w:rsidRPr="00124E95">
        <w:rPr>
          <w:sz w:val="24"/>
          <w:szCs w:val="24"/>
          <w:lang w:val="eu-ES"/>
        </w:rPr>
        <w:t xml:space="preserve">Prozedura izapidetzean erabat bete dira xedapen orokorrak egiteari </w:t>
      </w:r>
      <w:r w:rsidR="00751761" w:rsidRPr="00124E95">
        <w:rPr>
          <w:sz w:val="24"/>
          <w:szCs w:val="24"/>
          <w:lang w:val="eu-ES"/>
        </w:rPr>
        <w:t>buruzko indarreko</w:t>
      </w:r>
      <w:r w:rsidRPr="00124E95">
        <w:rPr>
          <w:sz w:val="24"/>
          <w:szCs w:val="24"/>
          <w:lang w:val="eu-ES"/>
        </w:rPr>
        <w:t xml:space="preserve"> arauak, </w:t>
      </w:r>
      <w:r w:rsidR="00541735" w:rsidRPr="00124E95">
        <w:rPr>
          <w:sz w:val="24"/>
          <w:szCs w:val="24"/>
          <w:lang w:val="eu-ES"/>
        </w:rPr>
        <w:t xml:space="preserve">honako hauei dagokienez: </w:t>
      </w:r>
      <w:r w:rsidRPr="00124E95">
        <w:rPr>
          <w:sz w:val="24"/>
          <w:szCs w:val="24"/>
          <w:lang w:val="eu-ES"/>
        </w:rPr>
        <w:t>proposamena aurk</w:t>
      </w:r>
      <w:r w:rsidR="00541735" w:rsidRPr="00124E95">
        <w:rPr>
          <w:sz w:val="24"/>
          <w:szCs w:val="24"/>
          <w:lang w:val="eu-ES"/>
        </w:rPr>
        <w:t>ezteko eskumena duen erakundea</w:t>
      </w:r>
      <w:r w:rsidR="00751761" w:rsidRPr="00124E95">
        <w:rPr>
          <w:sz w:val="24"/>
          <w:szCs w:val="24"/>
          <w:lang w:val="eu-ES"/>
        </w:rPr>
        <w:t>;</w:t>
      </w:r>
      <w:r w:rsidRPr="00124E95">
        <w:rPr>
          <w:sz w:val="24"/>
          <w:szCs w:val="24"/>
          <w:lang w:val="eu-ES"/>
        </w:rPr>
        <w:t xml:space="preserve"> arau erag</w:t>
      </w:r>
      <w:r w:rsidR="00541735" w:rsidRPr="00124E95">
        <w:rPr>
          <w:sz w:val="24"/>
          <w:szCs w:val="24"/>
          <w:lang w:val="eu-ES"/>
        </w:rPr>
        <w:t>inari, eragin ekonomikoari eta genero eraginaren aldez aurreko ebaluazioari buruzko txostenak ematea</w:t>
      </w:r>
      <w:r w:rsidR="00751761" w:rsidRPr="00124E95">
        <w:rPr>
          <w:sz w:val="24"/>
          <w:szCs w:val="24"/>
          <w:lang w:val="eu-ES"/>
        </w:rPr>
        <w:t>;</w:t>
      </w:r>
      <w:r w:rsidR="00541735" w:rsidRPr="00124E95">
        <w:rPr>
          <w:sz w:val="24"/>
          <w:szCs w:val="24"/>
          <w:lang w:val="eu-ES"/>
        </w:rPr>
        <w:t xml:space="preserve"> </w:t>
      </w:r>
      <w:r w:rsidRPr="00124E95">
        <w:rPr>
          <w:sz w:val="24"/>
          <w:szCs w:val="24"/>
          <w:lang w:val="eu-ES"/>
        </w:rPr>
        <w:t xml:space="preserve">Aholku </w:t>
      </w:r>
      <w:r w:rsidR="00541735" w:rsidRPr="00124E95">
        <w:rPr>
          <w:sz w:val="24"/>
          <w:szCs w:val="24"/>
          <w:lang w:val="eu-ES"/>
        </w:rPr>
        <w:t>Batzordeari kontsulta eskatzea</w:t>
      </w:r>
      <w:r w:rsidR="00751761" w:rsidRPr="00124E95">
        <w:rPr>
          <w:sz w:val="24"/>
          <w:szCs w:val="24"/>
          <w:lang w:val="eu-ES"/>
        </w:rPr>
        <w:t>,</w:t>
      </w:r>
      <w:r w:rsidRPr="00124E95">
        <w:rPr>
          <w:sz w:val="24"/>
          <w:szCs w:val="24"/>
          <w:lang w:val="eu-ES"/>
        </w:rPr>
        <w:t xml:space="preserve"> eta ona</w:t>
      </w:r>
      <w:r w:rsidR="00541735" w:rsidRPr="00124E95">
        <w:rPr>
          <w:sz w:val="24"/>
          <w:szCs w:val="24"/>
          <w:lang w:val="eu-ES"/>
        </w:rPr>
        <w:t>rtzeko eskumena duen erakundea</w:t>
      </w:r>
      <w:r w:rsidRPr="00124E95">
        <w:rPr>
          <w:sz w:val="24"/>
          <w:szCs w:val="24"/>
          <w:lang w:val="eu-ES"/>
        </w:rPr>
        <w:t>.</w:t>
      </w:r>
    </w:p>
    <w:p w:rsidR="00C00967" w:rsidRPr="009623F1" w:rsidRDefault="00C00967" w:rsidP="00C00967">
      <w:pPr>
        <w:jc w:val="both"/>
        <w:rPr>
          <w:sz w:val="24"/>
          <w:szCs w:val="24"/>
          <w:lang w:val="eu-ES"/>
        </w:rPr>
      </w:pPr>
    </w:p>
    <w:p w:rsidR="00C00967" w:rsidRPr="005C6EB9" w:rsidRDefault="00541735" w:rsidP="00C00967">
      <w:pPr>
        <w:jc w:val="both"/>
        <w:rPr>
          <w:sz w:val="24"/>
          <w:szCs w:val="24"/>
        </w:rPr>
      </w:pPr>
      <w:r w:rsidRPr="00124E95">
        <w:rPr>
          <w:sz w:val="24"/>
          <w:szCs w:val="24"/>
          <w:lang w:val="eu-ES"/>
        </w:rPr>
        <w:t>Hain zuzen ere, Foru Gobernu Kontseiluaren maiatzaren 23ko 29/2017 Foru Dekretuaren 9. artikuluan ezarritakoari erreparatuz, proiektuaren aurrerapena jendaurrean jartzeko izapidea eta aldez aurreko kontsulta publikoa egin dira, baliabide telematikoen bitartez, Arabako Foru Aldundiaren webgunearen bidez. Espedientean izapide horren emaitzei buruzko memoria jaso da, 20</w:t>
      </w:r>
      <w:r w:rsidR="004A1419" w:rsidRPr="00124E95">
        <w:rPr>
          <w:sz w:val="24"/>
          <w:szCs w:val="24"/>
          <w:lang w:val="eu-ES"/>
        </w:rPr>
        <w:t>20</w:t>
      </w:r>
      <w:r w:rsidRPr="00124E95">
        <w:rPr>
          <w:sz w:val="24"/>
          <w:szCs w:val="24"/>
          <w:lang w:val="eu-ES"/>
        </w:rPr>
        <w:t xml:space="preserve">ko abuztuaren </w:t>
      </w:r>
      <w:r w:rsidR="004A1419" w:rsidRPr="00124E95">
        <w:rPr>
          <w:sz w:val="24"/>
          <w:szCs w:val="24"/>
          <w:lang w:val="eu-ES"/>
        </w:rPr>
        <w:t>6</w:t>
      </w:r>
      <w:r w:rsidRPr="00124E95">
        <w:rPr>
          <w:sz w:val="24"/>
          <w:szCs w:val="24"/>
          <w:lang w:val="eu-ES"/>
        </w:rPr>
        <w:t>koa, eta bertan ageri da araudi xedapena idazteko aintzat hartu beharreko proposamen edo oharrik ez dela erregistratu.</w:t>
      </w:r>
    </w:p>
    <w:p w:rsidR="00C00967" w:rsidRPr="005C6EB9" w:rsidRDefault="00C00967" w:rsidP="00C00967">
      <w:pPr>
        <w:jc w:val="both"/>
        <w:rPr>
          <w:sz w:val="24"/>
          <w:szCs w:val="24"/>
        </w:rPr>
      </w:pPr>
    </w:p>
    <w:p w:rsidR="00C00967" w:rsidRPr="005C6EB9" w:rsidRDefault="004A1419" w:rsidP="00C00967">
      <w:pPr>
        <w:jc w:val="both"/>
        <w:rPr>
          <w:sz w:val="24"/>
          <w:szCs w:val="24"/>
        </w:rPr>
      </w:pPr>
      <w:r w:rsidRPr="00124E95">
        <w:rPr>
          <w:sz w:val="24"/>
          <w:szCs w:val="24"/>
          <w:lang w:val="eu-ES"/>
        </w:rPr>
        <w:t>Bestalde, 2020ko uztailaren 21ean, Zerga Araudiaren Zerbitzuak genero eraginar</w:t>
      </w:r>
      <w:r w:rsidR="00B64D16" w:rsidRPr="00124E95">
        <w:rPr>
          <w:sz w:val="24"/>
          <w:szCs w:val="24"/>
          <w:lang w:val="eu-ES"/>
        </w:rPr>
        <w:t>i buruzko</w:t>
      </w:r>
      <w:r w:rsidRPr="00124E95">
        <w:rPr>
          <w:sz w:val="24"/>
          <w:szCs w:val="24"/>
          <w:lang w:val="eu-ES"/>
        </w:rPr>
        <w:t xml:space="preserve"> txosten</w:t>
      </w:r>
      <w:r w:rsidR="00B64D16" w:rsidRPr="00124E95">
        <w:rPr>
          <w:sz w:val="24"/>
          <w:szCs w:val="24"/>
          <w:lang w:val="eu-ES"/>
        </w:rPr>
        <w:t>a</w:t>
      </w:r>
      <w:r w:rsidRPr="00124E95">
        <w:rPr>
          <w:sz w:val="24"/>
          <w:szCs w:val="24"/>
          <w:lang w:val="eu-ES"/>
        </w:rPr>
        <w:t xml:space="preserve"> eman zuen, </w:t>
      </w:r>
      <w:r w:rsidR="00854451" w:rsidRPr="00124E95">
        <w:rPr>
          <w:sz w:val="24"/>
          <w:szCs w:val="24"/>
          <w:lang w:val="eu-ES"/>
        </w:rPr>
        <w:t xml:space="preserve">zeina </w:t>
      </w:r>
      <w:r w:rsidRPr="00124E95">
        <w:rPr>
          <w:sz w:val="24"/>
          <w:szCs w:val="24"/>
          <w:lang w:val="eu-ES"/>
        </w:rPr>
        <w:t xml:space="preserve">foru aldundi honetako Berdintasun, Lankidetza eta Kulturartekotasun Zerbitzuak berretsi </w:t>
      </w:r>
      <w:r w:rsidR="00854451" w:rsidRPr="00124E95">
        <w:rPr>
          <w:sz w:val="24"/>
          <w:szCs w:val="24"/>
          <w:lang w:val="eu-ES"/>
        </w:rPr>
        <w:t>baitzuen</w:t>
      </w:r>
      <w:r w:rsidRPr="00124E95">
        <w:rPr>
          <w:sz w:val="24"/>
          <w:szCs w:val="24"/>
          <w:lang w:val="eu-ES"/>
        </w:rPr>
        <w:t>, 20</w:t>
      </w:r>
      <w:r w:rsidR="00B64D16" w:rsidRPr="00124E95">
        <w:rPr>
          <w:sz w:val="24"/>
          <w:szCs w:val="24"/>
          <w:lang w:val="eu-ES"/>
        </w:rPr>
        <w:t>20</w:t>
      </w:r>
      <w:r w:rsidRPr="00124E95">
        <w:rPr>
          <w:sz w:val="24"/>
          <w:szCs w:val="24"/>
          <w:lang w:val="eu-ES"/>
        </w:rPr>
        <w:t>ko a</w:t>
      </w:r>
      <w:r w:rsidR="00B64D16" w:rsidRPr="00124E95">
        <w:rPr>
          <w:sz w:val="24"/>
          <w:szCs w:val="24"/>
          <w:lang w:val="eu-ES"/>
        </w:rPr>
        <w:t>buztuare</w:t>
      </w:r>
      <w:r w:rsidRPr="00124E95">
        <w:rPr>
          <w:sz w:val="24"/>
          <w:szCs w:val="24"/>
          <w:lang w:val="eu-ES"/>
        </w:rPr>
        <w:t xml:space="preserve">n </w:t>
      </w:r>
      <w:r w:rsidR="00B64D16" w:rsidRPr="00124E95">
        <w:rPr>
          <w:sz w:val="24"/>
          <w:szCs w:val="24"/>
          <w:lang w:val="eu-ES"/>
        </w:rPr>
        <w:t>28</w:t>
      </w:r>
      <w:r w:rsidRPr="00124E95">
        <w:rPr>
          <w:sz w:val="24"/>
          <w:szCs w:val="24"/>
          <w:lang w:val="eu-ES"/>
        </w:rPr>
        <w:t>ko txostenaren bitartez.</w:t>
      </w:r>
    </w:p>
    <w:p w:rsidR="00C00967" w:rsidRPr="005C6EB9" w:rsidRDefault="00C00967" w:rsidP="00C00967">
      <w:pPr>
        <w:jc w:val="both"/>
        <w:rPr>
          <w:sz w:val="24"/>
          <w:szCs w:val="24"/>
        </w:rPr>
      </w:pPr>
    </w:p>
    <w:p w:rsidR="00C00967" w:rsidRPr="00EE5C89" w:rsidRDefault="00B64D16" w:rsidP="00C00967">
      <w:pPr>
        <w:jc w:val="both"/>
        <w:rPr>
          <w:sz w:val="24"/>
          <w:szCs w:val="24"/>
          <w:lang w:val="eu-ES"/>
        </w:rPr>
      </w:pPr>
      <w:r w:rsidRPr="00EE5C89">
        <w:rPr>
          <w:sz w:val="24"/>
          <w:szCs w:val="24"/>
          <w:lang w:val="eu-ES"/>
        </w:rPr>
        <w:t xml:space="preserve">Azkenik, Foru Gobernu Kontseiluaren maiatzaren 23ko 29/2017 Foru Dekretuaren 13. artikuluan ezarritakoari erreparatuz, proiektuaren </w:t>
      </w:r>
      <w:r w:rsidR="00EE5C89" w:rsidRPr="00EE5C89">
        <w:rPr>
          <w:sz w:val="24"/>
          <w:szCs w:val="24"/>
          <w:lang w:val="eu-ES"/>
        </w:rPr>
        <w:t xml:space="preserve">entzunaldi izapidea </w:t>
      </w:r>
      <w:r w:rsidRPr="00EE5C89">
        <w:rPr>
          <w:sz w:val="24"/>
          <w:szCs w:val="24"/>
          <w:lang w:val="eu-ES"/>
        </w:rPr>
        <w:t>egin da, baliabide telematikoen bitartez, Arabako Foru Aldundiaren webgunearen bidez. Espedientean izapide horren emaitzei buruzko memoria jaso da, 2020ko abuztuaren 28koa, eta bertan ageri da araudi xedapena idazteko aintzat hartu beharreko proposamen edo oharrik ez dela erregistratu.</w:t>
      </w:r>
    </w:p>
    <w:p w:rsidR="00C00967" w:rsidRPr="005C6EB9" w:rsidRDefault="00C00967" w:rsidP="00C00967">
      <w:pPr>
        <w:jc w:val="both"/>
        <w:rPr>
          <w:sz w:val="24"/>
          <w:szCs w:val="24"/>
        </w:rPr>
      </w:pPr>
    </w:p>
    <w:p w:rsidR="00C00967" w:rsidRPr="005C6EB9" w:rsidRDefault="00B64D16" w:rsidP="00C00967">
      <w:pPr>
        <w:jc w:val="both"/>
        <w:rPr>
          <w:b/>
          <w:sz w:val="24"/>
          <w:szCs w:val="24"/>
        </w:rPr>
      </w:pPr>
      <w:r w:rsidRPr="00124E95">
        <w:rPr>
          <w:b/>
          <w:sz w:val="24"/>
          <w:szCs w:val="24"/>
          <w:lang w:val="eu-ES"/>
        </w:rPr>
        <w:t>III.- FORU DEKRETUAREN EGITURA.</w:t>
      </w:r>
    </w:p>
    <w:p w:rsidR="00C00967" w:rsidRPr="005C6EB9" w:rsidRDefault="00C00967" w:rsidP="00C00967">
      <w:pPr>
        <w:jc w:val="both"/>
        <w:rPr>
          <w:b/>
          <w:sz w:val="24"/>
          <w:szCs w:val="24"/>
        </w:rPr>
      </w:pPr>
    </w:p>
    <w:p w:rsidR="00C00967" w:rsidRPr="005C6EB9" w:rsidRDefault="00B64D16" w:rsidP="00C00967">
      <w:pPr>
        <w:jc w:val="both"/>
        <w:rPr>
          <w:sz w:val="24"/>
          <w:szCs w:val="24"/>
        </w:rPr>
      </w:pPr>
      <w:r w:rsidRPr="00124E95">
        <w:rPr>
          <w:sz w:val="24"/>
          <w:szCs w:val="24"/>
          <w:lang w:val="eu-ES"/>
        </w:rPr>
        <w:t xml:space="preserve">Foru dekretuaren proiektuak </w:t>
      </w:r>
      <w:r w:rsidR="007F38D7">
        <w:rPr>
          <w:sz w:val="24"/>
          <w:szCs w:val="24"/>
          <w:lang w:val="eu-ES"/>
        </w:rPr>
        <w:t xml:space="preserve">honako egitura hau du: </w:t>
      </w:r>
      <w:r w:rsidRPr="00124E95">
        <w:rPr>
          <w:sz w:val="24"/>
          <w:szCs w:val="24"/>
          <w:lang w:val="eu-ES"/>
        </w:rPr>
        <w:t>zioen azalpena, zortzi artikulu dituen azalpen atal</w:t>
      </w:r>
      <w:r w:rsidR="00854451" w:rsidRPr="00124E95">
        <w:rPr>
          <w:sz w:val="24"/>
          <w:szCs w:val="24"/>
          <w:lang w:val="eu-ES"/>
        </w:rPr>
        <w:t>a</w:t>
      </w:r>
      <w:r w:rsidRPr="00124E95">
        <w:rPr>
          <w:sz w:val="24"/>
          <w:szCs w:val="24"/>
          <w:lang w:val="eu-ES"/>
        </w:rPr>
        <w:t>, xedapen indargabetzaile bat eta azken bi xedapen.</w:t>
      </w:r>
    </w:p>
    <w:p w:rsidR="00C00967" w:rsidRPr="005C6EB9" w:rsidRDefault="00C00967" w:rsidP="00C00967">
      <w:pPr>
        <w:jc w:val="both"/>
        <w:rPr>
          <w:sz w:val="24"/>
          <w:szCs w:val="24"/>
        </w:rPr>
      </w:pPr>
    </w:p>
    <w:p w:rsidR="00C00967" w:rsidRPr="00C07F69" w:rsidRDefault="00B64D16" w:rsidP="00C00967">
      <w:pPr>
        <w:jc w:val="both"/>
        <w:rPr>
          <w:sz w:val="24"/>
          <w:szCs w:val="24"/>
          <w:lang w:val="eu-ES"/>
        </w:rPr>
      </w:pPr>
      <w:r w:rsidRPr="00124E95">
        <w:rPr>
          <w:sz w:val="24"/>
          <w:szCs w:val="24"/>
          <w:lang w:val="eu-ES"/>
        </w:rPr>
        <w:t xml:space="preserve">Foru Dekretuaren proiektuak, xedapen indargabetzailearen bidez, indarrik gabe uzten du Diputatuen Kontseiluaren abenduaren 23ko 110/2008 Foru Dekretua. Foru </w:t>
      </w:r>
      <w:r w:rsidR="007F38D7">
        <w:rPr>
          <w:sz w:val="24"/>
          <w:szCs w:val="24"/>
          <w:lang w:val="eu-ES"/>
        </w:rPr>
        <w:t>d</w:t>
      </w:r>
      <w:r w:rsidRPr="00124E95">
        <w:rPr>
          <w:sz w:val="24"/>
          <w:szCs w:val="24"/>
          <w:lang w:val="eu-ES"/>
        </w:rPr>
        <w:t>ekretu horrek Foru Ogasunean aitorpenak eta autolikidazioak telematikoki aurkezteko baldintza orokorrak arautzen ditu.</w:t>
      </w:r>
    </w:p>
    <w:p w:rsidR="00C00967" w:rsidRPr="00C07F69" w:rsidRDefault="00C00967" w:rsidP="00C00967">
      <w:pPr>
        <w:jc w:val="both"/>
        <w:rPr>
          <w:sz w:val="24"/>
          <w:szCs w:val="24"/>
          <w:lang w:val="eu-ES"/>
        </w:rPr>
      </w:pPr>
    </w:p>
    <w:p w:rsidR="00C00967" w:rsidRPr="00C07F69" w:rsidRDefault="00B64D16" w:rsidP="00C00967">
      <w:pPr>
        <w:jc w:val="both"/>
        <w:rPr>
          <w:lang w:val="eu-ES"/>
        </w:rPr>
      </w:pPr>
      <w:r w:rsidRPr="00124E95">
        <w:rPr>
          <w:sz w:val="24"/>
          <w:szCs w:val="24"/>
          <w:lang w:val="eu-ES"/>
        </w:rPr>
        <w:t>Bestalde, azken xedapenetatik lehenengoak ahalmena ematen dio Ogasun, Finantza eta Aurrekontu Saileko foru diputatuari irizpenaren xede den foru dekretua garatzeko.</w:t>
      </w:r>
    </w:p>
    <w:p w:rsidR="00854451" w:rsidRPr="00C07F69" w:rsidRDefault="00854451"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0B1603" w:rsidRDefault="000B1603" w:rsidP="00C00967">
      <w:pPr>
        <w:jc w:val="both"/>
        <w:rPr>
          <w:sz w:val="24"/>
          <w:szCs w:val="24"/>
          <w:lang w:val="eu-ES"/>
        </w:rPr>
      </w:pPr>
    </w:p>
    <w:p w:rsidR="00C00967" w:rsidRPr="00C07F69" w:rsidRDefault="00021009" w:rsidP="00C00967">
      <w:pPr>
        <w:jc w:val="both"/>
        <w:rPr>
          <w:sz w:val="24"/>
          <w:szCs w:val="24"/>
          <w:lang w:val="eu-ES"/>
        </w:rPr>
      </w:pPr>
      <w:r w:rsidRPr="00124E95">
        <w:rPr>
          <w:sz w:val="24"/>
          <w:szCs w:val="24"/>
          <w:lang w:val="eu-ES"/>
        </w:rPr>
        <w:t>Azken xedapenetako bigarrenak ezartzen duenez, Foru Dekretua argitaratzen den egunean bertan jarriko da indarrean, eta 2021eko urtarrilaren 1ean hasten den aurkezpen epea duten aitorpenei eragingo die.</w:t>
      </w:r>
      <w:r w:rsidR="00C00967" w:rsidRPr="00C07F69">
        <w:rPr>
          <w:sz w:val="24"/>
          <w:szCs w:val="24"/>
          <w:lang w:val="eu-ES"/>
        </w:rPr>
        <w:t xml:space="preserve"> </w:t>
      </w:r>
    </w:p>
    <w:p w:rsidR="00C00967" w:rsidRPr="00C07F69" w:rsidRDefault="00C00967" w:rsidP="00C00967">
      <w:pPr>
        <w:jc w:val="both"/>
        <w:rPr>
          <w:b/>
          <w:sz w:val="24"/>
          <w:szCs w:val="24"/>
          <w:lang w:val="eu-ES"/>
        </w:rPr>
      </w:pPr>
    </w:p>
    <w:p w:rsidR="00C00967" w:rsidRPr="00C07F69" w:rsidRDefault="00021009" w:rsidP="00C00967">
      <w:pPr>
        <w:jc w:val="both"/>
        <w:rPr>
          <w:b/>
          <w:sz w:val="24"/>
          <w:szCs w:val="24"/>
          <w:lang w:val="eu-ES"/>
        </w:rPr>
      </w:pPr>
      <w:r w:rsidRPr="00124E95">
        <w:rPr>
          <w:b/>
          <w:sz w:val="24"/>
          <w:szCs w:val="24"/>
          <w:lang w:val="eu-ES"/>
        </w:rPr>
        <w:t>IV.</w:t>
      </w:r>
      <w:r w:rsidR="00C00967" w:rsidRPr="00C07F69">
        <w:rPr>
          <w:b/>
          <w:sz w:val="24"/>
          <w:szCs w:val="24"/>
          <w:lang w:val="eu-ES"/>
        </w:rPr>
        <w:t xml:space="preserve"> </w:t>
      </w:r>
      <w:r w:rsidRPr="00124E95">
        <w:rPr>
          <w:b/>
          <w:sz w:val="24"/>
          <w:szCs w:val="24"/>
          <w:lang w:val="eu-ES"/>
        </w:rPr>
        <w:t>ARAUDI PROPOSAMENAREN ANALISIA</w:t>
      </w:r>
      <w:r w:rsidR="00C00967" w:rsidRPr="00C07F69">
        <w:rPr>
          <w:b/>
          <w:sz w:val="24"/>
          <w:szCs w:val="24"/>
          <w:lang w:val="eu-ES"/>
        </w:rPr>
        <w:t xml:space="preserve"> </w:t>
      </w:r>
    </w:p>
    <w:p w:rsidR="00C00967" w:rsidRPr="00C07F69" w:rsidRDefault="00C00967" w:rsidP="00C00967">
      <w:pPr>
        <w:jc w:val="both"/>
        <w:rPr>
          <w:b/>
          <w:sz w:val="24"/>
          <w:szCs w:val="24"/>
          <w:lang w:val="eu-ES"/>
        </w:rPr>
      </w:pPr>
    </w:p>
    <w:p w:rsidR="00C00967" w:rsidRPr="00C07F69" w:rsidRDefault="00021009" w:rsidP="00C00967">
      <w:pPr>
        <w:jc w:val="both"/>
        <w:rPr>
          <w:sz w:val="24"/>
          <w:szCs w:val="24"/>
          <w:lang w:val="eu-ES"/>
        </w:rPr>
      </w:pPr>
      <w:r w:rsidRPr="00124E95">
        <w:rPr>
          <w:sz w:val="24"/>
          <w:szCs w:val="24"/>
          <w:lang w:val="eu-ES"/>
        </w:rPr>
        <w:t>Diputatuen Kontseiluaren abenduaren 23ko 110/2008 Foru Dekretua onetsi zenetik hamabi urte igaro direnez gero, egokitzat jo da Foru Ogasunean aitorpenak eta autolikidazioak telematikoki aurkezteko baldintza eta betekizun orokorrak eguneratzea, aldi horretan Aldundiak ezarritako tresna informatikoetara egokitzeko.</w:t>
      </w:r>
    </w:p>
    <w:p w:rsidR="00C00967" w:rsidRPr="00C07F69" w:rsidRDefault="00C00967" w:rsidP="00C00967">
      <w:pPr>
        <w:jc w:val="both"/>
        <w:rPr>
          <w:sz w:val="24"/>
          <w:szCs w:val="24"/>
          <w:lang w:val="eu-ES"/>
        </w:rPr>
      </w:pPr>
    </w:p>
    <w:p w:rsidR="00C00967" w:rsidRPr="005C6EB9" w:rsidRDefault="00021009" w:rsidP="00C00967">
      <w:pPr>
        <w:jc w:val="both"/>
        <w:rPr>
          <w:sz w:val="24"/>
          <w:szCs w:val="24"/>
        </w:rPr>
      </w:pPr>
      <w:r w:rsidRPr="00124E95">
        <w:rPr>
          <w:sz w:val="24"/>
          <w:szCs w:val="24"/>
          <w:lang w:val="eu-ES"/>
        </w:rPr>
        <w:t xml:space="preserve">Azter ditzagun, beraz, irizpenaren xede den </w:t>
      </w:r>
      <w:r w:rsidR="007F38D7">
        <w:rPr>
          <w:sz w:val="24"/>
          <w:szCs w:val="24"/>
          <w:lang w:val="eu-ES"/>
        </w:rPr>
        <w:t>f</w:t>
      </w:r>
      <w:r w:rsidRPr="00124E95">
        <w:rPr>
          <w:sz w:val="24"/>
          <w:szCs w:val="24"/>
          <w:lang w:val="eu-ES"/>
        </w:rPr>
        <w:t xml:space="preserve">oru </w:t>
      </w:r>
      <w:r w:rsidR="007F38D7">
        <w:rPr>
          <w:sz w:val="24"/>
          <w:szCs w:val="24"/>
          <w:lang w:val="eu-ES"/>
        </w:rPr>
        <w:t>d</w:t>
      </w:r>
      <w:r w:rsidRPr="00124E95">
        <w:rPr>
          <w:sz w:val="24"/>
          <w:szCs w:val="24"/>
          <w:lang w:val="eu-ES"/>
        </w:rPr>
        <w:t>ekretuaren artikuluak:</w:t>
      </w:r>
    </w:p>
    <w:p w:rsidR="00C00967" w:rsidRPr="005C6EB9" w:rsidRDefault="00C00967" w:rsidP="00C00967">
      <w:pPr>
        <w:jc w:val="both"/>
        <w:rPr>
          <w:sz w:val="24"/>
          <w:szCs w:val="24"/>
        </w:rPr>
      </w:pPr>
    </w:p>
    <w:p w:rsidR="00C00967" w:rsidRPr="00C07F69" w:rsidRDefault="00021009" w:rsidP="00C00967">
      <w:pPr>
        <w:jc w:val="both"/>
        <w:rPr>
          <w:sz w:val="24"/>
          <w:szCs w:val="24"/>
          <w:lang w:val="en-US"/>
        </w:rPr>
      </w:pPr>
      <w:r w:rsidRPr="00124E95">
        <w:rPr>
          <w:sz w:val="24"/>
          <w:szCs w:val="24"/>
          <w:lang w:val="eu-ES"/>
        </w:rPr>
        <w:t>1. artikulua.</w:t>
      </w:r>
      <w:r w:rsidR="00C00967" w:rsidRPr="00C07F69">
        <w:rPr>
          <w:sz w:val="24"/>
          <w:szCs w:val="24"/>
          <w:lang w:val="en-US"/>
        </w:rPr>
        <w:t xml:space="preserve"> </w:t>
      </w:r>
      <w:r w:rsidR="003F5CF3" w:rsidRPr="00124E95">
        <w:rPr>
          <w:sz w:val="24"/>
          <w:szCs w:val="24"/>
          <w:lang w:val="eu-ES"/>
        </w:rPr>
        <w:t>Bide telematikoz aurkeztu beharreko aitorpenak.</w:t>
      </w:r>
    </w:p>
    <w:p w:rsidR="00F34460" w:rsidRDefault="00F34460" w:rsidP="00C00967">
      <w:pPr>
        <w:jc w:val="both"/>
        <w:rPr>
          <w:sz w:val="24"/>
          <w:szCs w:val="24"/>
          <w:lang w:val="eu-ES"/>
        </w:rPr>
      </w:pPr>
    </w:p>
    <w:p w:rsidR="00C00967" w:rsidRPr="00C07F69" w:rsidRDefault="003F5CF3" w:rsidP="00C00967">
      <w:pPr>
        <w:jc w:val="both"/>
        <w:rPr>
          <w:sz w:val="24"/>
          <w:szCs w:val="24"/>
          <w:lang w:val="eu-ES"/>
        </w:rPr>
      </w:pPr>
      <w:r w:rsidRPr="00124E95">
        <w:rPr>
          <w:sz w:val="24"/>
          <w:szCs w:val="24"/>
          <w:lang w:val="eu-ES"/>
        </w:rPr>
        <w:t xml:space="preserve">Ez dago </w:t>
      </w:r>
      <w:r w:rsidR="00B147E3" w:rsidRPr="00124E95">
        <w:rPr>
          <w:sz w:val="24"/>
          <w:szCs w:val="24"/>
          <w:lang w:val="eu-ES"/>
        </w:rPr>
        <w:t>aldaketa</w:t>
      </w:r>
      <w:r w:rsidRPr="00124E95">
        <w:rPr>
          <w:sz w:val="24"/>
          <w:szCs w:val="24"/>
          <w:lang w:val="eu-ES"/>
        </w:rPr>
        <w:t xml:space="preserve"> nabarmenik artikulu honen </w:t>
      </w:r>
      <w:r w:rsidR="00B147E3" w:rsidRPr="00124E95">
        <w:rPr>
          <w:sz w:val="24"/>
          <w:szCs w:val="24"/>
          <w:lang w:val="eu-ES"/>
        </w:rPr>
        <w:t>edukian</w:t>
      </w:r>
      <w:r w:rsidR="000F741A" w:rsidRPr="00124E95">
        <w:rPr>
          <w:sz w:val="24"/>
          <w:szCs w:val="24"/>
          <w:lang w:val="eu-ES"/>
        </w:rPr>
        <w:t>,</w:t>
      </w:r>
      <w:r w:rsidRPr="00124E95">
        <w:rPr>
          <w:sz w:val="24"/>
          <w:szCs w:val="24"/>
          <w:lang w:val="eu-ES"/>
        </w:rPr>
        <w:t xml:space="preserve"> indargabetu beharreko </w:t>
      </w:r>
      <w:r w:rsidR="00F34460">
        <w:rPr>
          <w:sz w:val="24"/>
          <w:szCs w:val="24"/>
          <w:lang w:val="eu-ES"/>
        </w:rPr>
        <w:t>f</w:t>
      </w:r>
      <w:r w:rsidRPr="00124E95">
        <w:rPr>
          <w:sz w:val="24"/>
          <w:szCs w:val="24"/>
          <w:lang w:val="eu-ES"/>
        </w:rPr>
        <w:t xml:space="preserve">oru </w:t>
      </w:r>
      <w:r w:rsidR="00F34460">
        <w:rPr>
          <w:sz w:val="24"/>
          <w:szCs w:val="24"/>
          <w:lang w:val="eu-ES"/>
        </w:rPr>
        <w:t>d</w:t>
      </w:r>
      <w:r w:rsidRPr="00124E95">
        <w:rPr>
          <w:sz w:val="24"/>
          <w:szCs w:val="24"/>
          <w:lang w:val="eu-ES"/>
        </w:rPr>
        <w:t xml:space="preserve">ekretuaren </w:t>
      </w:r>
      <w:r w:rsidR="00B147E3" w:rsidRPr="00124E95">
        <w:rPr>
          <w:sz w:val="24"/>
          <w:szCs w:val="24"/>
          <w:lang w:val="eu-ES"/>
        </w:rPr>
        <w:t>baliokidearekin alderatuta</w:t>
      </w:r>
      <w:r w:rsidRPr="00124E95">
        <w:rPr>
          <w:sz w:val="24"/>
          <w:szCs w:val="24"/>
          <w:lang w:val="eu-ES"/>
        </w:rPr>
        <w:t>.</w:t>
      </w:r>
    </w:p>
    <w:p w:rsidR="00C00967" w:rsidRPr="00C07F69" w:rsidRDefault="00C00967" w:rsidP="00C00967">
      <w:pPr>
        <w:jc w:val="both"/>
        <w:rPr>
          <w:sz w:val="24"/>
          <w:szCs w:val="24"/>
          <w:lang w:val="eu-ES"/>
        </w:rPr>
      </w:pPr>
    </w:p>
    <w:p w:rsidR="00C00967" w:rsidRPr="00C07F69" w:rsidRDefault="003F5CF3" w:rsidP="00C00967">
      <w:pPr>
        <w:jc w:val="both"/>
        <w:rPr>
          <w:sz w:val="24"/>
          <w:szCs w:val="24"/>
          <w:lang w:val="eu-ES"/>
        </w:rPr>
      </w:pPr>
      <w:r w:rsidRPr="00124E95">
        <w:rPr>
          <w:sz w:val="24"/>
          <w:szCs w:val="24"/>
          <w:lang w:val="eu-ES"/>
        </w:rPr>
        <w:t>2. artikulua.</w:t>
      </w:r>
      <w:r w:rsidR="00C00967" w:rsidRPr="00C07F69">
        <w:rPr>
          <w:sz w:val="24"/>
          <w:szCs w:val="24"/>
          <w:lang w:val="eu-ES"/>
        </w:rPr>
        <w:t xml:space="preserve"> </w:t>
      </w:r>
      <w:r w:rsidRPr="00124E95">
        <w:rPr>
          <w:sz w:val="24"/>
          <w:szCs w:val="24"/>
          <w:lang w:val="eu-ES"/>
        </w:rPr>
        <w:t>Aitorpenak bide telematikoz aurkeztu behar dituzten zergapekoak.</w:t>
      </w:r>
    </w:p>
    <w:p w:rsidR="00C00967" w:rsidRPr="00C07F69" w:rsidRDefault="00C00967" w:rsidP="00C00967">
      <w:pPr>
        <w:jc w:val="both"/>
        <w:rPr>
          <w:sz w:val="24"/>
          <w:szCs w:val="24"/>
          <w:lang w:val="eu-ES"/>
        </w:rPr>
      </w:pPr>
    </w:p>
    <w:p w:rsidR="00C00967" w:rsidRPr="00C07F69" w:rsidRDefault="000F741A" w:rsidP="00C00967">
      <w:pPr>
        <w:jc w:val="both"/>
        <w:rPr>
          <w:sz w:val="24"/>
          <w:szCs w:val="24"/>
          <w:lang w:val="eu-ES"/>
        </w:rPr>
      </w:pPr>
      <w:r w:rsidRPr="00124E95">
        <w:rPr>
          <w:sz w:val="24"/>
          <w:szCs w:val="24"/>
          <w:lang w:val="eu-ES"/>
        </w:rPr>
        <w:t>Hau da egin den aldaketa: zehaztu da oro har</w:t>
      </w:r>
      <w:r w:rsidR="003F5CF3" w:rsidRPr="00124E95">
        <w:rPr>
          <w:sz w:val="24"/>
          <w:szCs w:val="24"/>
          <w:lang w:val="eu-ES"/>
        </w:rPr>
        <w:t xml:space="preserve"> bide telematikoz aurkeztu beharko dituztela aitorpenak "jarduera ekonomikoak garatzen dituzten zergapekoek eta sozietateen gaineko</w:t>
      </w:r>
      <w:r w:rsidRPr="00124E95">
        <w:rPr>
          <w:sz w:val="24"/>
          <w:szCs w:val="24"/>
          <w:lang w:val="eu-ES"/>
        </w:rPr>
        <w:t xml:space="preserve"> </w:t>
      </w:r>
      <w:r w:rsidR="003F5CF3" w:rsidRPr="00124E95">
        <w:rPr>
          <w:sz w:val="24"/>
          <w:szCs w:val="24"/>
          <w:lang w:val="eu-ES"/>
        </w:rPr>
        <w:t>z</w:t>
      </w:r>
      <w:r w:rsidRPr="00124E95">
        <w:rPr>
          <w:sz w:val="24"/>
          <w:szCs w:val="24"/>
          <w:lang w:val="eu-ES"/>
        </w:rPr>
        <w:t xml:space="preserve">ergaren </w:t>
      </w:r>
      <w:r w:rsidR="00F34460">
        <w:rPr>
          <w:sz w:val="24"/>
          <w:szCs w:val="24"/>
          <w:lang w:val="eu-ES"/>
        </w:rPr>
        <w:t>zergadunek", baldin eta Ekonomia Itunaren arabera</w:t>
      </w:r>
      <w:r w:rsidR="003F5CF3" w:rsidRPr="00124E95">
        <w:rPr>
          <w:sz w:val="24"/>
          <w:szCs w:val="24"/>
          <w:lang w:val="eu-ES"/>
        </w:rPr>
        <w:t xml:space="preserve"> Arabako Foru Aldundian aurkeztu behar badituzte aitorpenak.</w:t>
      </w:r>
    </w:p>
    <w:p w:rsidR="00C00967" w:rsidRPr="00C07F69" w:rsidRDefault="00C00967" w:rsidP="00C00967">
      <w:pPr>
        <w:jc w:val="both"/>
        <w:rPr>
          <w:sz w:val="24"/>
          <w:szCs w:val="24"/>
          <w:lang w:val="eu-ES"/>
        </w:rPr>
      </w:pPr>
    </w:p>
    <w:p w:rsidR="00C00967" w:rsidRPr="005C6EB9" w:rsidRDefault="003F5CF3" w:rsidP="00C00967">
      <w:pPr>
        <w:jc w:val="both"/>
        <w:rPr>
          <w:sz w:val="24"/>
          <w:szCs w:val="24"/>
        </w:rPr>
      </w:pPr>
      <w:r w:rsidRPr="00124E95">
        <w:rPr>
          <w:sz w:val="24"/>
          <w:szCs w:val="24"/>
          <w:lang w:val="eu-ES"/>
        </w:rPr>
        <w:t>Horrez gain, jarduera ekonomikoaren kontzeptua pertsona fisikoen errentaren gaineko zergan definitutakoa dela adieraz</w:t>
      </w:r>
      <w:r w:rsidR="000F741A" w:rsidRPr="00124E95">
        <w:rPr>
          <w:sz w:val="24"/>
          <w:szCs w:val="24"/>
          <w:lang w:val="eu-ES"/>
        </w:rPr>
        <w:t>i</w:t>
      </w:r>
      <w:r w:rsidRPr="00124E95">
        <w:rPr>
          <w:sz w:val="24"/>
          <w:szCs w:val="24"/>
          <w:lang w:val="eu-ES"/>
        </w:rPr>
        <w:t xml:space="preserve"> da</w:t>
      </w:r>
    </w:p>
    <w:p w:rsidR="00C00967" w:rsidRPr="005C6EB9" w:rsidRDefault="00C00967" w:rsidP="00C00967">
      <w:pPr>
        <w:jc w:val="both"/>
        <w:rPr>
          <w:sz w:val="24"/>
          <w:szCs w:val="24"/>
        </w:rPr>
      </w:pPr>
    </w:p>
    <w:p w:rsidR="00C00967" w:rsidRPr="005C6EB9" w:rsidRDefault="003F5CF3" w:rsidP="00C00967">
      <w:pPr>
        <w:jc w:val="both"/>
        <w:rPr>
          <w:sz w:val="24"/>
          <w:szCs w:val="24"/>
        </w:rPr>
      </w:pPr>
      <w:r w:rsidRPr="00124E95">
        <w:rPr>
          <w:sz w:val="24"/>
          <w:szCs w:val="24"/>
          <w:lang w:val="eu-ES"/>
        </w:rPr>
        <w:t xml:space="preserve">Aitorpen ereduei buruzko aipamena </w:t>
      </w:r>
      <w:r w:rsidR="00B147E3" w:rsidRPr="00124E95">
        <w:rPr>
          <w:sz w:val="24"/>
          <w:szCs w:val="24"/>
          <w:lang w:val="eu-ES"/>
        </w:rPr>
        <w:t xml:space="preserve">kendu </w:t>
      </w:r>
      <w:r w:rsidRPr="00124E95">
        <w:rPr>
          <w:sz w:val="24"/>
          <w:szCs w:val="24"/>
          <w:lang w:val="eu-ES"/>
        </w:rPr>
        <w:t>da, zehazki, aitorpenak betet</w:t>
      </w:r>
      <w:r w:rsidR="000F741A" w:rsidRPr="00124E95">
        <w:rPr>
          <w:sz w:val="24"/>
          <w:szCs w:val="24"/>
          <w:lang w:val="eu-ES"/>
        </w:rPr>
        <w:t>zeko bertan jasotako jarraibideei buruzkoa</w:t>
      </w:r>
      <w:r w:rsidRPr="00124E95">
        <w:rPr>
          <w:sz w:val="24"/>
          <w:szCs w:val="24"/>
          <w:lang w:val="eu-ES"/>
        </w:rPr>
        <w:t>.</w:t>
      </w:r>
      <w:r w:rsidR="00C00967" w:rsidRPr="005C6EB9">
        <w:rPr>
          <w:sz w:val="24"/>
          <w:szCs w:val="24"/>
        </w:rPr>
        <w:t xml:space="preserve"> </w:t>
      </w:r>
    </w:p>
    <w:p w:rsidR="00C00967" w:rsidRPr="003F5CF3" w:rsidRDefault="003F5CF3" w:rsidP="000F741A">
      <w:pPr>
        <w:spacing w:before="100" w:beforeAutospacing="1" w:after="100" w:afterAutospacing="1"/>
        <w:jc w:val="both"/>
        <w:rPr>
          <w:vanish/>
          <w:sz w:val="24"/>
          <w:szCs w:val="24"/>
        </w:rPr>
      </w:pPr>
      <w:r w:rsidRPr="00124E95">
        <w:rPr>
          <w:sz w:val="24"/>
          <w:szCs w:val="24"/>
          <w:lang w:val="eu-ES"/>
        </w:rPr>
        <w:t>3. artikulua.</w:t>
      </w:r>
      <w:r w:rsidR="00C00967" w:rsidRPr="003F5CF3">
        <w:rPr>
          <w:sz w:val="24"/>
          <w:szCs w:val="24"/>
        </w:rPr>
        <w:t xml:space="preserve"> </w:t>
      </w:r>
      <w:r w:rsidRPr="00124E95">
        <w:rPr>
          <w:sz w:val="24"/>
          <w:szCs w:val="24"/>
          <w:lang w:val="eu-ES"/>
        </w:rPr>
        <w:t>Aitorpenak bide telematikoz aurkezteko baldintza orokorrak eta prozedura orokorra.</w:t>
      </w:r>
      <w:r w:rsidR="00C00967" w:rsidRPr="003F5CF3">
        <w:rPr>
          <w:sz w:val="24"/>
          <w:szCs w:val="24"/>
        </w:rPr>
        <w:t xml:space="preserve"> </w:t>
      </w:r>
    </w:p>
    <w:p w:rsidR="00C00967" w:rsidRPr="005C6EB9" w:rsidRDefault="003F5CF3" w:rsidP="00C00967">
      <w:pPr>
        <w:jc w:val="both"/>
        <w:rPr>
          <w:sz w:val="24"/>
          <w:szCs w:val="24"/>
        </w:rPr>
      </w:pPr>
      <w:r w:rsidRPr="00124E95">
        <w:rPr>
          <w:sz w:val="24"/>
          <w:szCs w:val="24"/>
          <w:lang w:val="eu-ES"/>
        </w:rPr>
        <w:t xml:space="preserve">Artikulu honetan honako </w:t>
      </w:r>
      <w:r w:rsidR="00B147E3" w:rsidRPr="00124E95">
        <w:rPr>
          <w:sz w:val="24"/>
          <w:szCs w:val="24"/>
          <w:lang w:val="eu-ES"/>
        </w:rPr>
        <w:t xml:space="preserve">aldaketa </w:t>
      </w:r>
      <w:r w:rsidRPr="00124E95">
        <w:rPr>
          <w:sz w:val="24"/>
          <w:szCs w:val="24"/>
          <w:lang w:val="eu-ES"/>
        </w:rPr>
        <w:t xml:space="preserve">hauek </w:t>
      </w:r>
      <w:r w:rsidR="00B147E3" w:rsidRPr="00124E95">
        <w:rPr>
          <w:sz w:val="24"/>
          <w:szCs w:val="24"/>
          <w:lang w:val="eu-ES"/>
        </w:rPr>
        <w:t>egin</w:t>
      </w:r>
      <w:r w:rsidRPr="00124E95">
        <w:rPr>
          <w:sz w:val="24"/>
          <w:szCs w:val="24"/>
          <w:lang w:val="eu-ES"/>
        </w:rPr>
        <w:t xml:space="preserve"> dira:</w:t>
      </w:r>
    </w:p>
    <w:p w:rsidR="00C00967" w:rsidRPr="005C6EB9" w:rsidRDefault="00C00967" w:rsidP="00C00967">
      <w:pPr>
        <w:jc w:val="both"/>
        <w:rPr>
          <w:sz w:val="24"/>
          <w:szCs w:val="24"/>
        </w:rPr>
      </w:pPr>
    </w:p>
    <w:p w:rsidR="00C00967" w:rsidRPr="005C6EB9" w:rsidRDefault="003F5CF3" w:rsidP="003F5CF3">
      <w:pPr>
        <w:pStyle w:val="Prrafodelista"/>
        <w:numPr>
          <w:ilvl w:val="0"/>
          <w:numId w:val="19"/>
        </w:numPr>
        <w:spacing w:line="240" w:lineRule="auto"/>
        <w:jc w:val="both"/>
        <w:rPr>
          <w:rFonts w:ascii="Times New Roman" w:eastAsia="Times New Roman" w:hAnsi="Times New Roman"/>
          <w:sz w:val="24"/>
          <w:szCs w:val="24"/>
          <w:lang w:eastAsia="es-ES"/>
        </w:rPr>
      </w:pPr>
      <w:r w:rsidRPr="00124E95">
        <w:rPr>
          <w:rFonts w:ascii="Times New Roman" w:eastAsia="Times New Roman" w:hAnsi="Times New Roman"/>
          <w:sz w:val="24"/>
          <w:szCs w:val="24"/>
          <w:lang w:val="eu-ES" w:eastAsia="es-ES"/>
        </w:rPr>
        <w:t xml:space="preserve">Zergapekoak, edo, hala badagokio, haren ordezkari boluntarioak edo profesional baimenduak </w:t>
      </w:r>
      <w:r w:rsidR="00F34460" w:rsidRPr="00124E95">
        <w:rPr>
          <w:rFonts w:ascii="Times New Roman" w:eastAsia="Times New Roman" w:hAnsi="Times New Roman"/>
          <w:sz w:val="24"/>
          <w:szCs w:val="24"/>
          <w:lang w:val="eu-ES" w:eastAsia="es-ES"/>
        </w:rPr>
        <w:t xml:space="preserve">sarbidea izan behar du </w:t>
      </w:r>
      <w:r w:rsidRPr="00124E95">
        <w:rPr>
          <w:rFonts w:ascii="Times New Roman" w:eastAsia="Times New Roman" w:hAnsi="Times New Roman"/>
          <w:sz w:val="24"/>
          <w:szCs w:val="24"/>
          <w:lang w:val="eu-ES" w:eastAsia="es-ES"/>
        </w:rPr>
        <w:t xml:space="preserve">Arabako Foru Aldundiaren egoitza elektronikoaren </w:t>
      </w:r>
      <w:r w:rsidR="008D5FCD" w:rsidRPr="00124E95">
        <w:rPr>
          <w:rFonts w:ascii="Times New Roman" w:eastAsia="Times New Roman" w:hAnsi="Times New Roman"/>
          <w:sz w:val="24"/>
          <w:szCs w:val="24"/>
          <w:lang w:val="eu-ES" w:eastAsia="es-ES"/>
        </w:rPr>
        <w:t>(</w:t>
      </w:r>
      <w:proofErr w:type="spellStart"/>
      <w:r w:rsidR="008D5FCD" w:rsidRPr="00124E95">
        <w:rPr>
          <w:rFonts w:ascii="Times New Roman" w:eastAsia="Times New Roman" w:hAnsi="Times New Roman"/>
          <w:sz w:val="24"/>
          <w:szCs w:val="24"/>
          <w:lang w:val="eu-ES" w:eastAsia="es-ES"/>
        </w:rPr>
        <w:t>Adundi</w:t>
      </w:r>
      <w:proofErr w:type="spellEnd"/>
      <w:r w:rsidR="008D5FCD" w:rsidRPr="00124E95">
        <w:rPr>
          <w:rFonts w:ascii="Times New Roman" w:eastAsia="Times New Roman" w:hAnsi="Times New Roman"/>
          <w:sz w:val="24"/>
          <w:szCs w:val="24"/>
          <w:lang w:val="eu-ES" w:eastAsia="es-ES"/>
        </w:rPr>
        <w:t xml:space="preserve"> Digitala) </w:t>
      </w:r>
      <w:r w:rsidRPr="00124E95">
        <w:rPr>
          <w:rFonts w:ascii="Times New Roman" w:eastAsia="Times New Roman" w:hAnsi="Times New Roman"/>
          <w:sz w:val="24"/>
          <w:szCs w:val="24"/>
          <w:lang w:val="eu-ES" w:eastAsia="es-ES"/>
        </w:rPr>
        <w:t>erabiltzaile gisa</w:t>
      </w:r>
      <w:r w:rsidR="00F34460">
        <w:rPr>
          <w:rFonts w:ascii="Times New Roman" w:eastAsia="Times New Roman" w:hAnsi="Times New Roman"/>
          <w:sz w:val="24"/>
          <w:szCs w:val="24"/>
          <w:lang w:val="eu-ES" w:eastAsia="es-ES"/>
        </w:rPr>
        <w:t>. Sarbide hori</w:t>
      </w:r>
      <w:r w:rsidRPr="00124E95">
        <w:rPr>
          <w:rFonts w:ascii="Times New Roman" w:eastAsia="Times New Roman" w:hAnsi="Times New Roman"/>
          <w:sz w:val="24"/>
          <w:szCs w:val="24"/>
          <w:lang w:val="eu-ES" w:eastAsia="es-ES"/>
        </w:rPr>
        <w:t xml:space="preserve"> apirilaren 5eko 26/2011 Foru Dekretuan eta azaroaren 29ko 74/2011 Foru Dekretuan </w:t>
      </w:r>
      <w:r w:rsidR="00F34460">
        <w:rPr>
          <w:rFonts w:ascii="Times New Roman" w:eastAsia="Times New Roman" w:hAnsi="Times New Roman"/>
          <w:sz w:val="24"/>
          <w:szCs w:val="24"/>
          <w:lang w:val="eu-ES" w:eastAsia="es-ES"/>
        </w:rPr>
        <w:t xml:space="preserve">dago </w:t>
      </w:r>
      <w:r w:rsidRPr="00124E95">
        <w:rPr>
          <w:rFonts w:ascii="Times New Roman" w:eastAsia="Times New Roman" w:hAnsi="Times New Roman"/>
          <w:sz w:val="24"/>
          <w:szCs w:val="24"/>
          <w:lang w:val="eu-ES" w:eastAsia="es-ES"/>
        </w:rPr>
        <w:t>arautu</w:t>
      </w:r>
      <w:r w:rsidR="00F34460">
        <w:rPr>
          <w:rFonts w:ascii="Times New Roman" w:eastAsia="Times New Roman" w:hAnsi="Times New Roman"/>
          <w:sz w:val="24"/>
          <w:szCs w:val="24"/>
          <w:lang w:val="eu-ES" w:eastAsia="es-ES"/>
        </w:rPr>
        <w:t>t</w:t>
      </w:r>
      <w:r w:rsidRPr="00124E95">
        <w:rPr>
          <w:rFonts w:ascii="Times New Roman" w:eastAsia="Times New Roman" w:hAnsi="Times New Roman"/>
          <w:sz w:val="24"/>
          <w:szCs w:val="24"/>
          <w:lang w:val="eu-ES" w:eastAsia="es-ES"/>
        </w:rPr>
        <w:t>a.</w:t>
      </w:r>
    </w:p>
    <w:p w:rsidR="00C00967" w:rsidRPr="005C6EB9" w:rsidRDefault="00C00967" w:rsidP="00C00967">
      <w:pPr>
        <w:pStyle w:val="Prrafodelista"/>
        <w:spacing w:line="240" w:lineRule="auto"/>
        <w:ind w:left="360"/>
        <w:jc w:val="both"/>
        <w:rPr>
          <w:rFonts w:ascii="Times New Roman" w:hAnsi="Times New Roman"/>
          <w:sz w:val="24"/>
          <w:szCs w:val="24"/>
        </w:rPr>
      </w:pPr>
    </w:p>
    <w:p w:rsidR="00C00967" w:rsidRDefault="00B147E3" w:rsidP="008D5FCD">
      <w:pPr>
        <w:pStyle w:val="Prrafodelista"/>
        <w:spacing w:line="240" w:lineRule="auto"/>
        <w:ind w:left="360"/>
        <w:jc w:val="both"/>
        <w:rPr>
          <w:rFonts w:ascii="Times New Roman" w:hAnsi="Times New Roman"/>
          <w:sz w:val="24"/>
          <w:szCs w:val="24"/>
          <w:lang w:val="eu-ES"/>
        </w:rPr>
      </w:pPr>
      <w:r w:rsidRPr="00124E95">
        <w:rPr>
          <w:rFonts w:ascii="Times New Roman" w:hAnsi="Times New Roman"/>
          <w:sz w:val="24"/>
          <w:szCs w:val="24"/>
          <w:lang w:val="eu-ES"/>
        </w:rPr>
        <w:t>Diputazio Digitala</w:t>
      </w:r>
      <w:r w:rsidR="008D5FCD" w:rsidRPr="00124E95">
        <w:rPr>
          <w:rFonts w:ascii="Times New Roman" w:hAnsi="Times New Roman"/>
          <w:sz w:val="24"/>
          <w:szCs w:val="24"/>
          <w:lang w:val="eu-ES"/>
        </w:rPr>
        <w:t>ren</w:t>
      </w:r>
      <w:r w:rsidRPr="00124E95">
        <w:rPr>
          <w:rFonts w:ascii="Times New Roman" w:hAnsi="Times New Roman"/>
          <w:sz w:val="24"/>
          <w:szCs w:val="24"/>
          <w:lang w:val="eu-ES"/>
        </w:rPr>
        <w:t xml:space="preserve"> zerbitzu</w:t>
      </w:r>
      <w:r w:rsidR="0026073F" w:rsidRPr="00124E95">
        <w:rPr>
          <w:rFonts w:ascii="Times New Roman" w:hAnsi="Times New Roman"/>
          <w:sz w:val="24"/>
          <w:szCs w:val="24"/>
          <w:lang w:val="eu-ES"/>
        </w:rPr>
        <w:t>ei buruzko aipamena kendu da</w:t>
      </w:r>
      <w:r w:rsidRPr="00124E95">
        <w:rPr>
          <w:rFonts w:ascii="Times New Roman" w:hAnsi="Times New Roman"/>
          <w:sz w:val="24"/>
          <w:szCs w:val="24"/>
          <w:lang w:val="eu-ES"/>
        </w:rPr>
        <w:t xml:space="preserve">, </w:t>
      </w:r>
      <w:r w:rsidR="0026073F" w:rsidRPr="00124E95">
        <w:rPr>
          <w:rFonts w:ascii="Times New Roman" w:hAnsi="Times New Roman"/>
          <w:sz w:val="24"/>
          <w:szCs w:val="24"/>
          <w:lang w:val="eu-ES"/>
        </w:rPr>
        <w:t xml:space="preserve">zerbitzu horiek kendu egin baitira </w:t>
      </w:r>
      <w:r w:rsidRPr="00124E95">
        <w:rPr>
          <w:rFonts w:ascii="Times New Roman" w:hAnsi="Times New Roman"/>
          <w:sz w:val="24"/>
          <w:szCs w:val="24"/>
          <w:lang w:val="eu-ES"/>
        </w:rPr>
        <w:t>Egoitza Elektronikoa</w:t>
      </w:r>
      <w:r w:rsidR="008D5FCD" w:rsidRPr="00124E95">
        <w:rPr>
          <w:rFonts w:ascii="Times New Roman" w:hAnsi="Times New Roman"/>
          <w:sz w:val="24"/>
          <w:szCs w:val="24"/>
          <w:lang w:val="eu-ES"/>
        </w:rPr>
        <w:t xml:space="preserve"> abian jarri zenetik.</w:t>
      </w:r>
    </w:p>
    <w:p w:rsidR="007A4076" w:rsidRDefault="007A4076" w:rsidP="008D5FCD">
      <w:pPr>
        <w:pStyle w:val="Prrafodelista"/>
        <w:spacing w:line="240" w:lineRule="auto"/>
        <w:ind w:left="360"/>
        <w:jc w:val="both"/>
        <w:rPr>
          <w:rFonts w:ascii="Times New Roman" w:hAnsi="Times New Roman"/>
          <w:sz w:val="24"/>
          <w:szCs w:val="24"/>
          <w:lang w:val="eu-ES"/>
        </w:rPr>
      </w:pPr>
    </w:p>
    <w:p w:rsidR="007A4076" w:rsidRDefault="007A4076" w:rsidP="008D5FCD">
      <w:pPr>
        <w:pStyle w:val="Prrafodelista"/>
        <w:spacing w:line="240" w:lineRule="auto"/>
        <w:ind w:left="360"/>
        <w:jc w:val="both"/>
        <w:rPr>
          <w:rFonts w:ascii="Times New Roman" w:hAnsi="Times New Roman"/>
          <w:sz w:val="24"/>
          <w:szCs w:val="24"/>
          <w:lang w:val="eu-ES"/>
        </w:rPr>
      </w:pPr>
    </w:p>
    <w:p w:rsidR="007A4076" w:rsidRDefault="007A4076" w:rsidP="008D5FCD">
      <w:pPr>
        <w:pStyle w:val="Prrafodelista"/>
        <w:spacing w:line="240" w:lineRule="auto"/>
        <w:ind w:left="360"/>
        <w:jc w:val="both"/>
        <w:rPr>
          <w:rFonts w:ascii="Times New Roman" w:hAnsi="Times New Roman"/>
          <w:sz w:val="24"/>
          <w:szCs w:val="24"/>
          <w:lang w:val="eu-ES"/>
        </w:rPr>
      </w:pPr>
    </w:p>
    <w:p w:rsidR="007A4076" w:rsidRDefault="007A4076" w:rsidP="008D5FCD">
      <w:pPr>
        <w:pStyle w:val="Prrafodelista"/>
        <w:spacing w:line="240" w:lineRule="auto"/>
        <w:ind w:left="360"/>
        <w:jc w:val="both"/>
        <w:rPr>
          <w:rFonts w:ascii="Times New Roman" w:hAnsi="Times New Roman"/>
          <w:sz w:val="24"/>
          <w:szCs w:val="24"/>
          <w:lang w:val="eu-ES"/>
        </w:rPr>
      </w:pPr>
    </w:p>
    <w:p w:rsidR="007A4076" w:rsidRDefault="007A4076" w:rsidP="008D5FCD">
      <w:pPr>
        <w:pStyle w:val="Prrafodelista"/>
        <w:spacing w:line="240" w:lineRule="auto"/>
        <w:ind w:left="360"/>
        <w:jc w:val="both"/>
        <w:rPr>
          <w:rFonts w:ascii="Times New Roman" w:hAnsi="Times New Roman"/>
          <w:sz w:val="24"/>
          <w:szCs w:val="24"/>
          <w:lang w:val="eu-ES"/>
        </w:rPr>
      </w:pPr>
    </w:p>
    <w:p w:rsidR="007A4076" w:rsidRPr="005C6EB9" w:rsidRDefault="007A4076" w:rsidP="008D5FCD">
      <w:pPr>
        <w:pStyle w:val="Prrafodelista"/>
        <w:spacing w:line="240" w:lineRule="auto"/>
        <w:ind w:left="360"/>
        <w:jc w:val="both"/>
        <w:rPr>
          <w:rFonts w:ascii="Times New Roman" w:eastAsia="Times New Roman" w:hAnsi="Times New Roman"/>
          <w:sz w:val="24"/>
          <w:szCs w:val="24"/>
          <w:lang w:eastAsia="es-ES"/>
        </w:rPr>
      </w:pPr>
    </w:p>
    <w:p w:rsidR="00C00967" w:rsidRPr="005C6EB9" w:rsidRDefault="00C00967" w:rsidP="00C00967">
      <w:pPr>
        <w:pStyle w:val="Prrafodelista"/>
        <w:spacing w:line="240" w:lineRule="auto"/>
        <w:ind w:left="360"/>
        <w:jc w:val="both"/>
        <w:rPr>
          <w:rFonts w:ascii="Times New Roman" w:eastAsia="Times New Roman" w:hAnsi="Times New Roman"/>
          <w:sz w:val="24"/>
          <w:szCs w:val="24"/>
          <w:lang w:eastAsia="es-ES"/>
        </w:rPr>
      </w:pPr>
    </w:p>
    <w:p w:rsidR="00B147E3" w:rsidRDefault="008D5FCD" w:rsidP="00C00967">
      <w:pPr>
        <w:pStyle w:val="Prrafodelista"/>
        <w:numPr>
          <w:ilvl w:val="0"/>
          <w:numId w:val="19"/>
        </w:numPr>
        <w:spacing w:line="240" w:lineRule="auto"/>
        <w:jc w:val="both"/>
        <w:rPr>
          <w:rFonts w:ascii="Times New Roman" w:eastAsia="Times New Roman" w:hAnsi="Times New Roman"/>
          <w:sz w:val="24"/>
          <w:szCs w:val="24"/>
          <w:lang w:eastAsia="es-ES"/>
        </w:rPr>
      </w:pPr>
      <w:r w:rsidRPr="00124E95">
        <w:rPr>
          <w:rFonts w:ascii="Times New Roman" w:eastAsia="Times New Roman" w:hAnsi="Times New Roman"/>
          <w:sz w:val="24"/>
          <w:szCs w:val="24"/>
          <w:lang w:val="eu-ES" w:eastAsia="es-ES"/>
        </w:rPr>
        <w:t xml:space="preserve">"Erabiltzailea/sarbide gakoa" ez da jada egoitza elektronikora sartzeko bidea, "egoitza elektronikora sartzeko berariaz gaitzen den beste edozein sistema"k ordezkatu </w:t>
      </w:r>
      <w:r w:rsidR="00B147E3" w:rsidRPr="00124E95">
        <w:rPr>
          <w:rFonts w:ascii="Times New Roman" w:eastAsia="Times New Roman" w:hAnsi="Times New Roman"/>
          <w:sz w:val="24"/>
          <w:szCs w:val="24"/>
          <w:lang w:val="eu-ES" w:eastAsia="es-ES"/>
        </w:rPr>
        <w:t>bait</w:t>
      </w:r>
      <w:r w:rsidRPr="00124E95">
        <w:rPr>
          <w:rFonts w:ascii="Times New Roman" w:eastAsia="Times New Roman" w:hAnsi="Times New Roman"/>
          <w:sz w:val="24"/>
          <w:szCs w:val="24"/>
          <w:lang w:val="eu-ES" w:eastAsia="es-ES"/>
        </w:rPr>
        <w:t>u.</w:t>
      </w:r>
    </w:p>
    <w:p w:rsidR="00B147E3" w:rsidRDefault="00B147E3" w:rsidP="00B147E3">
      <w:pPr>
        <w:pStyle w:val="Prrafodelista"/>
        <w:spacing w:line="240" w:lineRule="auto"/>
        <w:ind w:left="360"/>
        <w:jc w:val="both"/>
        <w:rPr>
          <w:rFonts w:ascii="Times New Roman" w:eastAsia="Times New Roman" w:hAnsi="Times New Roman"/>
          <w:sz w:val="24"/>
          <w:szCs w:val="24"/>
          <w:lang w:eastAsia="es-ES"/>
        </w:rPr>
      </w:pPr>
    </w:p>
    <w:p w:rsidR="000B1603" w:rsidRDefault="000B1603" w:rsidP="00B147E3">
      <w:pPr>
        <w:pStyle w:val="Prrafodelista"/>
        <w:spacing w:line="240" w:lineRule="auto"/>
        <w:ind w:left="360"/>
        <w:jc w:val="both"/>
        <w:rPr>
          <w:rFonts w:ascii="Times New Roman" w:eastAsia="Times New Roman" w:hAnsi="Times New Roman"/>
          <w:sz w:val="24"/>
          <w:szCs w:val="24"/>
          <w:lang w:eastAsia="es-ES"/>
        </w:rPr>
      </w:pPr>
    </w:p>
    <w:p w:rsidR="000B1603" w:rsidRDefault="000B1603" w:rsidP="00B147E3">
      <w:pPr>
        <w:pStyle w:val="Prrafodelista"/>
        <w:spacing w:line="240" w:lineRule="auto"/>
        <w:ind w:left="360"/>
        <w:jc w:val="both"/>
        <w:rPr>
          <w:rFonts w:ascii="Times New Roman" w:eastAsia="Times New Roman" w:hAnsi="Times New Roman"/>
          <w:sz w:val="24"/>
          <w:szCs w:val="24"/>
          <w:lang w:eastAsia="es-ES"/>
        </w:rPr>
      </w:pPr>
    </w:p>
    <w:p w:rsidR="000A3ADA" w:rsidRPr="000A3ADA" w:rsidRDefault="00B147E3" w:rsidP="000A3ADA">
      <w:pPr>
        <w:pStyle w:val="Prrafodelista"/>
        <w:numPr>
          <w:ilvl w:val="0"/>
          <w:numId w:val="19"/>
        </w:numPr>
        <w:spacing w:before="100" w:beforeAutospacing="1" w:after="100" w:afterAutospacing="1" w:line="240" w:lineRule="auto"/>
        <w:jc w:val="both"/>
        <w:rPr>
          <w:sz w:val="24"/>
          <w:szCs w:val="24"/>
        </w:rPr>
      </w:pPr>
      <w:r w:rsidRPr="00124E95">
        <w:rPr>
          <w:rFonts w:ascii="Times New Roman" w:eastAsia="Times New Roman" w:hAnsi="Times New Roman"/>
          <w:sz w:val="24"/>
          <w:szCs w:val="24"/>
          <w:lang w:val="eu-ES" w:eastAsia="es-ES"/>
        </w:rPr>
        <w:t xml:space="preserve">Aurkeztu aurkeztu dela, eta, hala badagokio, erantsitako artxiboak edo dokumentuak, bai eta horiek zein egunetan eta ordutan aurkeztu diren ere egiaztatzen duen dokumentu bat" sortzeko betebeharra sartu da, aurkezlearentzako bermeak </w:t>
      </w:r>
      <w:r w:rsidR="000A3ADA" w:rsidRPr="00124E95">
        <w:rPr>
          <w:rFonts w:ascii="Times New Roman" w:eastAsia="Times New Roman" w:hAnsi="Times New Roman"/>
          <w:sz w:val="24"/>
          <w:szCs w:val="24"/>
          <w:lang w:val="eu-ES" w:eastAsia="es-ES"/>
        </w:rPr>
        <w:t>areagotzeko.</w:t>
      </w:r>
      <w:r w:rsidR="00C00967" w:rsidRPr="000A3ADA">
        <w:rPr>
          <w:sz w:val="24"/>
          <w:szCs w:val="24"/>
        </w:rPr>
        <w:t xml:space="preserve"> </w:t>
      </w:r>
    </w:p>
    <w:p w:rsidR="00F34460" w:rsidRDefault="000A3ADA" w:rsidP="000A3ADA">
      <w:pPr>
        <w:spacing w:before="100" w:beforeAutospacing="1" w:after="100" w:afterAutospacing="1"/>
        <w:jc w:val="both"/>
        <w:rPr>
          <w:sz w:val="24"/>
          <w:szCs w:val="24"/>
        </w:rPr>
      </w:pPr>
      <w:r w:rsidRPr="00124E95">
        <w:rPr>
          <w:sz w:val="24"/>
          <w:szCs w:val="24"/>
          <w:lang w:val="eu-ES"/>
        </w:rPr>
        <w:t>4. artikulua.</w:t>
      </w:r>
      <w:r w:rsidRPr="005C6EB9">
        <w:rPr>
          <w:sz w:val="24"/>
          <w:szCs w:val="24"/>
        </w:rPr>
        <w:t xml:space="preserve"> </w:t>
      </w:r>
      <w:r w:rsidR="00B147E3" w:rsidRPr="00124E95">
        <w:rPr>
          <w:sz w:val="24"/>
          <w:szCs w:val="24"/>
          <w:lang w:val="eu-ES"/>
        </w:rPr>
        <w:t>Aitorpenak aurkezteko eta ordaintzeko epea.</w:t>
      </w:r>
      <w:r w:rsidR="00C00967" w:rsidRPr="000A3ADA">
        <w:rPr>
          <w:sz w:val="24"/>
          <w:szCs w:val="24"/>
        </w:rPr>
        <w:t xml:space="preserve"> </w:t>
      </w:r>
    </w:p>
    <w:p w:rsidR="00C00967" w:rsidRPr="000A3ADA" w:rsidRDefault="00B147E3" w:rsidP="000A3ADA">
      <w:pPr>
        <w:spacing w:before="100" w:beforeAutospacing="1" w:after="100" w:afterAutospacing="1"/>
        <w:jc w:val="both"/>
        <w:rPr>
          <w:sz w:val="24"/>
          <w:szCs w:val="24"/>
        </w:rPr>
      </w:pPr>
      <w:r w:rsidRPr="00124E95">
        <w:rPr>
          <w:sz w:val="24"/>
          <w:szCs w:val="24"/>
          <w:lang w:val="eu-ES"/>
        </w:rPr>
        <w:t>Ez dago aldaketarik</w:t>
      </w:r>
      <w:r w:rsidR="00205C89" w:rsidRPr="00124E95">
        <w:rPr>
          <w:sz w:val="24"/>
          <w:szCs w:val="24"/>
          <w:lang w:val="eu-ES"/>
        </w:rPr>
        <w:t>,</w:t>
      </w:r>
      <w:r w:rsidRPr="00124E95">
        <w:rPr>
          <w:sz w:val="24"/>
          <w:szCs w:val="24"/>
          <w:lang w:val="eu-ES"/>
        </w:rPr>
        <w:t xml:space="preserve"> 110/2008 Foru Dekretuarekin alderatuta.</w:t>
      </w:r>
    </w:p>
    <w:p w:rsidR="00C00967" w:rsidRPr="00B147E3" w:rsidRDefault="00B147E3" w:rsidP="00B147E3">
      <w:pPr>
        <w:spacing w:before="100" w:beforeAutospacing="1" w:after="100" w:afterAutospacing="1"/>
        <w:jc w:val="both"/>
        <w:rPr>
          <w:sz w:val="24"/>
          <w:szCs w:val="24"/>
        </w:rPr>
      </w:pPr>
      <w:r w:rsidRPr="00124E95">
        <w:rPr>
          <w:sz w:val="24"/>
          <w:szCs w:val="24"/>
          <w:lang w:val="eu-ES"/>
        </w:rPr>
        <w:t>5. artikulua.</w:t>
      </w:r>
      <w:r w:rsidR="00C00967" w:rsidRPr="00B147E3">
        <w:rPr>
          <w:sz w:val="24"/>
          <w:szCs w:val="24"/>
        </w:rPr>
        <w:t xml:space="preserve"> </w:t>
      </w:r>
      <w:r w:rsidRPr="00124E95">
        <w:rPr>
          <w:sz w:val="24"/>
          <w:szCs w:val="24"/>
          <w:lang w:val="eu-ES"/>
        </w:rPr>
        <w:t>Aitorpenak aurkeztea: arau orokorrak.</w:t>
      </w:r>
    </w:p>
    <w:p w:rsidR="00C00967" w:rsidRPr="005C6EB9" w:rsidRDefault="00205C89" w:rsidP="003C6EB1">
      <w:pPr>
        <w:spacing w:before="100" w:beforeAutospacing="1" w:after="100" w:afterAutospacing="1"/>
        <w:jc w:val="both"/>
        <w:rPr>
          <w:sz w:val="24"/>
          <w:szCs w:val="24"/>
        </w:rPr>
      </w:pPr>
      <w:r w:rsidRPr="00124E95">
        <w:rPr>
          <w:sz w:val="24"/>
          <w:szCs w:val="24"/>
          <w:lang w:val="eu-ES"/>
        </w:rPr>
        <w:t>A</w:t>
      </w:r>
      <w:r w:rsidR="00B147E3" w:rsidRPr="00124E95">
        <w:rPr>
          <w:sz w:val="24"/>
          <w:szCs w:val="24"/>
          <w:lang w:val="eu-ES"/>
        </w:rPr>
        <w:t xml:space="preserve">itorpenak </w:t>
      </w:r>
      <w:r w:rsidRPr="00124E95">
        <w:rPr>
          <w:sz w:val="24"/>
          <w:szCs w:val="24"/>
          <w:lang w:val="eu-ES"/>
        </w:rPr>
        <w:t xml:space="preserve">Arabako Foru Aldundian </w:t>
      </w:r>
      <w:r w:rsidR="00B147E3" w:rsidRPr="00124E95">
        <w:rPr>
          <w:sz w:val="24"/>
          <w:szCs w:val="24"/>
          <w:lang w:val="eu-ES"/>
        </w:rPr>
        <w:t>aurkeztu behar izateaz gain</w:t>
      </w:r>
      <w:r w:rsidR="003C6EB1" w:rsidRPr="00124E95">
        <w:rPr>
          <w:sz w:val="24"/>
          <w:szCs w:val="24"/>
          <w:lang w:val="eu-ES"/>
        </w:rPr>
        <w:t xml:space="preserve"> Ekonomia Itunean xedatutakoaren arabera</w:t>
      </w:r>
      <w:r w:rsidR="00B147E3" w:rsidRPr="00124E95">
        <w:rPr>
          <w:sz w:val="24"/>
          <w:szCs w:val="24"/>
          <w:lang w:val="eu-ES"/>
        </w:rPr>
        <w:t xml:space="preserve"> beste zerga administrazio batzuei </w:t>
      </w:r>
      <w:r w:rsidR="003C6EB1" w:rsidRPr="00124E95">
        <w:rPr>
          <w:sz w:val="24"/>
          <w:szCs w:val="24"/>
          <w:lang w:val="eu-ES"/>
        </w:rPr>
        <w:t xml:space="preserve">ere </w:t>
      </w:r>
      <w:r w:rsidR="00B147E3" w:rsidRPr="00124E95">
        <w:rPr>
          <w:sz w:val="24"/>
          <w:szCs w:val="24"/>
          <w:lang w:val="eu-ES"/>
        </w:rPr>
        <w:t>aurkeztu behar dizkieten zergapekoei buruzko aipamena kendu da, garrantzirik ez du</w:t>
      </w:r>
      <w:r w:rsidR="003C6EB1" w:rsidRPr="00124E95">
        <w:rPr>
          <w:sz w:val="24"/>
          <w:szCs w:val="24"/>
          <w:lang w:val="eu-ES"/>
        </w:rPr>
        <w:t>elako.</w:t>
      </w:r>
    </w:p>
    <w:p w:rsidR="00C00967" w:rsidRPr="003C6EB1" w:rsidRDefault="003C6EB1" w:rsidP="003C6EB1">
      <w:pPr>
        <w:spacing w:before="100" w:beforeAutospacing="1" w:after="100" w:afterAutospacing="1"/>
        <w:jc w:val="both"/>
        <w:rPr>
          <w:sz w:val="24"/>
          <w:szCs w:val="24"/>
        </w:rPr>
      </w:pPr>
      <w:r w:rsidRPr="00124E95">
        <w:rPr>
          <w:sz w:val="24"/>
          <w:szCs w:val="24"/>
          <w:lang w:val="eu-ES"/>
        </w:rPr>
        <w:t>6. artikulua.</w:t>
      </w:r>
      <w:r w:rsidR="00C00967" w:rsidRPr="003C6EB1">
        <w:rPr>
          <w:sz w:val="24"/>
          <w:szCs w:val="24"/>
        </w:rPr>
        <w:t xml:space="preserve"> </w:t>
      </w:r>
      <w:r w:rsidRPr="00124E95">
        <w:rPr>
          <w:sz w:val="24"/>
          <w:szCs w:val="24"/>
          <w:lang w:val="eu-ES"/>
        </w:rPr>
        <w:t>Sartzeko eta itzultzeko modua</w:t>
      </w:r>
    </w:p>
    <w:p w:rsidR="00C00967" w:rsidRPr="005C6EB9" w:rsidRDefault="003C6EB1" w:rsidP="00C00967">
      <w:pPr>
        <w:jc w:val="both"/>
        <w:rPr>
          <w:sz w:val="24"/>
          <w:szCs w:val="24"/>
        </w:rPr>
      </w:pPr>
      <w:r w:rsidRPr="00124E95">
        <w:rPr>
          <w:sz w:val="24"/>
          <w:szCs w:val="24"/>
          <w:lang w:val="eu-ES"/>
        </w:rPr>
        <w:t>"Ogasun, Finantza eta Aurrekontu</w:t>
      </w:r>
      <w:r w:rsidR="00205C89" w:rsidRPr="00124E95">
        <w:rPr>
          <w:sz w:val="24"/>
          <w:szCs w:val="24"/>
          <w:lang w:val="eu-ES"/>
        </w:rPr>
        <w:t xml:space="preserve"> Saileko</w:t>
      </w:r>
      <w:r w:rsidRPr="00124E95">
        <w:rPr>
          <w:sz w:val="24"/>
          <w:szCs w:val="24"/>
          <w:lang w:val="eu-ES"/>
        </w:rPr>
        <w:t xml:space="preserve"> diputatua" aipamenaren ordez, "indarreko legeria" jarri da, Internet bidez aurkeztutako aitorpenei dagozkien diru sarrerak eta itzulketak egiteko prozedurak eta epeak ezartze</w:t>
      </w:r>
      <w:r w:rsidR="00205C89" w:rsidRPr="00124E95">
        <w:rPr>
          <w:sz w:val="24"/>
          <w:szCs w:val="24"/>
          <w:lang w:val="eu-ES"/>
        </w:rPr>
        <w:t>ari dagokionez</w:t>
      </w:r>
      <w:r w:rsidRPr="00124E95">
        <w:rPr>
          <w:sz w:val="24"/>
          <w:szCs w:val="24"/>
          <w:lang w:val="eu-ES"/>
        </w:rPr>
        <w:t>.</w:t>
      </w:r>
    </w:p>
    <w:p w:rsidR="00C00967" w:rsidRPr="005C6EB9" w:rsidRDefault="00C00967" w:rsidP="00C00967">
      <w:pPr>
        <w:jc w:val="both"/>
        <w:rPr>
          <w:sz w:val="24"/>
          <w:szCs w:val="24"/>
        </w:rPr>
      </w:pPr>
    </w:p>
    <w:p w:rsidR="00C00967" w:rsidRPr="003C6EB1" w:rsidRDefault="003C6EB1" w:rsidP="00C00967">
      <w:pPr>
        <w:jc w:val="both"/>
        <w:rPr>
          <w:sz w:val="24"/>
          <w:szCs w:val="24"/>
        </w:rPr>
      </w:pPr>
      <w:r w:rsidRPr="00124E95">
        <w:rPr>
          <w:sz w:val="24"/>
          <w:szCs w:val="24"/>
          <w:lang w:val="eu-ES"/>
        </w:rPr>
        <w:t>7. artikulua.</w:t>
      </w:r>
      <w:r w:rsidR="00C00967" w:rsidRPr="003C6EB1">
        <w:rPr>
          <w:sz w:val="24"/>
          <w:szCs w:val="24"/>
        </w:rPr>
        <w:t xml:space="preserve"> </w:t>
      </w:r>
      <w:r w:rsidRPr="00124E95">
        <w:rPr>
          <w:sz w:val="24"/>
          <w:szCs w:val="24"/>
          <w:lang w:val="eu-ES"/>
        </w:rPr>
        <w:t>Aitorpenak bide telematikoz "profesionalen" bidez aurkezteko prozedura.</w:t>
      </w:r>
    </w:p>
    <w:p w:rsidR="00C00967" w:rsidRPr="005C6EB9" w:rsidRDefault="00C00967" w:rsidP="00C00967">
      <w:pPr>
        <w:jc w:val="both"/>
        <w:rPr>
          <w:sz w:val="24"/>
          <w:szCs w:val="24"/>
        </w:rPr>
      </w:pPr>
    </w:p>
    <w:p w:rsidR="00C00967" w:rsidRPr="005C6EB9" w:rsidRDefault="00214181" w:rsidP="00C00967">
      <w:pPr>
        <w:jc w:val="both"/>
        <w:rPr>
          <w:sz w:val="24"/>
          <w:szCs w:val="24"/>
        </w:rPr>
      </w:pPr>
      <w:r w:rsidRPr="00124E95">
        <w:rPr>
          <w:sz w:val="24"/>
          <w:szCs w:val="24"/>
          <w:lang w:val="eu-ES"/>
        </w:rPr>
        <w:t xml:space="preserve">Baliozkotu egin behar dira </w:t>
      </w:r>
      <w:r w:rsidR="003C6EB1" w:rsidRPr="00124E95">
        <w:rPr>
          <w:sz w:val="24"/>
          <w:szCs w:val="24"/>
          <w:lang w:val="eu-ES"/>
        </w:rPr>
        <w:t>Ogasun, Finantza eta Aurrekontu Sailak emandako laguntza programak ez diren beste garapen informatiko batzuen bidez lortutako fitxategiak</w:t>
      </w:r>
      <w:r w:rsidRPr="00124E95">
        <w:rPr>
          <w:sz w:val="24"/>
          <w:szCs w:val="24"/>
          <w:lang w:val="eu-ES"/>
        </w:rPr>
        <w:t>;</w:t>
      </w:r>
      <w:r w:rsidR="003C6EB1" w:rsidRPr="00124E95">
        <w:rPr>
          <w:sz w:val="24"/>
          <w:szCs w:val="24"/>
          <w:lang w:val="eu-ES"/>
        </w:rPr>
        <w:t xml:space="preserve"> hau da, egiaztapen prozesua pasatu behar dute, </w:t>
      </w:r>
      <w:r w:rsidR="00F34460" w:rsidRPr="00124E95">
        <w:rPr>
          <w:sz w:val="24"/>
          <w:szCs w:val="24"/>
          <w:lang w:val="eu-ES"/>
        </w:rPr>
        <w:t xml:space="preserve">egiaztatzeko </w:t>
      </w:r>
      <w:r w:rsidR="003C6EB1" w:rsidRPr="00124E95">
        <w:rPr>
          <w:sz w:val="24"/>
          <w:szCs w:val="24"/>
          <w:lang w:val="eu-ES"/>
        </w:rPr>
        <w:t>sortutako ereduek araudian ezarritako formatua, ezaugarriak eta espezifikazioak dituztela.</w:t>
      </w:r>
      <w:r w:rsidR="00C00967" w:rsidRPr="005C6EB9">
        <w:rPr>
          <w:sz w:val="24"/>
          <w:szCs w:val="24"/>
        </w:rPr>
        <w:t xml:space="preserve"> </w:t>
      </w:r>
      <w:r w:rsidR="003C6EB1" w:rsidRPr="00124E95">
        <w:rPr>
          <w:sz w:val="24"/>
          <w:szCs w:val="24"/>
          <w:lang w:val="eu-ES"/>
        </w:rPr>
        <w:t>Baliozkotzeko programa Foru Aldundiaren webgunetik jaitsi ahal izango da.</w:t>
      </w:r>
    </w:p>
    <w:p w:rsidR="00C00967" w:rsidRPr="005C6EB9" w:rsidRDefault="00C00967" w:rsidP="00C00967">
      <w:pPr>
        <w:jc w:val="both"/>
        <w:rPr>
          <w:sz w:val="24"/>
          <w:szCs w:val="24"/>
        </w:rPr>
      </w:pPr>
    </w:p>
    <w:p w:rsidR="00C00967" w:rsidRPr="005C6EB9" w:rsidRDefault="003C6EB1" w:rsidP="00C00967">
      <w:pPr>
        <w:jc w:val="both"/>
        <w:rPr>
          <w:sz w:val="24"/>
          <w:szCs w:val="24"/>
        </w:rPr>
      </w:pPr>
      <w:r w:rsidRPr="00124E95">
        <w:rPr>
          <w:sz w:val="24"/>
          <w:szCs w:val="24"/>
          <w:lang w:val="eu-ES"/>
        </w:rPr>
        <w:t>Ñabardura hau erantsi da: "Bali</w:t>
      </w:r>
      <w:r w:rsidR="00996E4E" w:rsidRPr="00124E95">
        <w:rPr>
          <w:sz w:val="24"/>
          <w:szCs w:val="24"/>
          <w:lang w:val="eu-ES"/>
        </w:rPr>
        <w:t>ozkotzea</w:t>
      </w:r>
      <w:r w:rsidRPr="00124E95">
        <w:rPr>
          <w:sz w:val="24"/>
          <w:szCs w:val="24"/>
          <w:lang w:val="eu-ES"/>
        </w:rPr>
        <w:t xml:space="preserve">" gainditu ez duten fitxategiak (indarrean dagoen dekretuan "errorea sortu dutela" aipatzen da) </w:t>
      </w:r>
      <w:r w:rsidRPr="00124E95">
        <w:rPr>
          <w:sz w:val="24"/>
          <w:szCs w:val="24"/>
          <w:u w:val="single"/>
          <w:lang w:val="eu-ES"/>
        </w:rPr>
        <w:t>ez dira onartuko</w:t>
      </w:r>
      <w:r w:rsidRPr="00124E95">
        <w:rPr>
          <w:sz w:val="24"/>
          <w:szCs w:val="24"/>
          <w:lang w:val="eu-ES"/>
        </w:rPr>
        <w:t>, baina, lehen bezala, "</w:t>
      </w:r>
      <w:r w:rsidR="00996E4E" w:rsidRPr="00124E95">
        <w:rPr>
          <w:sz w:val="24"/>
          <w:szCs w:val="24"/>
          <w:lang w:val="eu-ES"/>
        </w:rPr>
        <w:t>p</w:t>
      </w:r>
      <w:r w:rsidRPr="00124E95">
        <w:rPr>
          <w:sz w:val="24"/>
          <w:szCs w:val="24"/>
          <w:lang w:val="eu-ES"/>
        </w:rPr>
        <w:t>rofesionalarentzat" diagnostiko bat egingo da ez onartzeko arrazoiei buruz</w:t>
      </w:r>
      <w:r w:rsidR="00996E4E" w:rsidRPr="00124E95">
        <w:rPr>
          <w:sz w:val="24"/>
          <w:szCs w:val="24"/>
          <w:lang w:val="eu-ES"/>
        </w:rPr>
        <w:t>.</w:t>
      </w:r>
    </w:p>
    <w:p w:rsidR="00C00967" w:rsidRPr="005C6EB9" w:rsidRDefault="00C00967" w:rsidP="00C00967">
      <w:pPr>
        <w:jc w:val="both"/>
        <w:rPr>
          <w:sz w:val="24"/>
          <w:szCs w:val="24"/>
        </w:rPr>
      </w:pPr>
    </w:p>
    <w:p w:rsidR="00C00967" w:rsidRPr="00996E4E" w:rsidRDefault="00996E4E" w:rsidP="00C00967">
      <w:pPr>
        <w:jc w:val="both"/>
        <w:rPr>
          <w:sz w:val="24"/>
          <w:szCs w:val="24"/>
        </w:rPr>
      </w:pPr>
      <w:r w:rsidRPr="00124E95">
        <w:rPr>
          <w:sz w:val="24"/>
          <w:szCs w:val="24"/>
          <w:lang w:val="eu-ES"/>
        </w:rPr>
        <w:t>8. artikulua.</w:t>
      </w:r>
      <w:r w:rsidR="00C00967" w:rsidRPr="00996E4E">
        <w:rPr>
          <w:sz w:val="24"/>
          <w:szCs w:val="24"/>
        </w:rPr>
        <w:t xml:space="preserve"> </w:t>
      </w:r>
      <w:r w:rsidRPr="00124E95">
        <w:rPr>
          <w:sz w:val="24"/>
          <w:szCs w:val="24"/>
          <w:lang w:val="eu-ES"/>
        </w:rPr>
        <w:t>Zergapekoak edo haren borondatezko ordezkariak aitorpenak aurkezteko prozedura</w:t>
      </w:r>
      <w:r w:rsidR="00214181" w:rsidRPr="00124E95">
        <w:rPr>
          <w:sz w:val="24"/>
          <w:szCs w:val="24"/>
          <w:lang w:val="eu-ES"/>
        </w:rPr>
        <w:t>.</w:t>
      </w:r>
    </w:p>
    <w:p w:rsidR="00C00967" w:rsidRPr="005C6EB9" w:rsidRDefault="00C00967" w:rsidP="00C00967">
      <w:pPr>
        <w:jc w:val="both"/>
        <w:rPr>
          <w:sz w:val="24"/>
          <w:szCs w:val="24"/>
        </w:rPr>
      </w:pPr>
    </w:p>
    <w:p w:rsidR="00C00967" w:rsidRDefault="00254463" w:rsidP="00C00967">
      <w:pPr>
        <w:jc w:val="both"/>
        <w:rPr>
          <w:sz w:val="24"/>
          <w:szCs w:val="24"/>
          <w:lang w:val="eu-ES"/>
        </w:rPr>
      </w:pPr>
      <w:r w:rsidRPr="00124E95">
        <w:rPr>
          <w:sz w:val="24"/>
          <w:szCs w:val="24"/>
          <w:lang w:val="eu-ES"/>
        </w:rPr>
        <w:t xml:space="preserve">Fitxategiak baliozkotzeari dagokionez, 7. artikuluko aldaketa berberak </w:t>
      </w:r>
      <w:r w:rsidR="00214181" w:rsidRPr="00124E95">
        <w:rPr>
          <w:sz w:val="24"/>
          <w:szCs w:val="24"/>
          <w:lang w:val="eu-ES"/>
        </w:rPr>
        <w:t>egin</w:t>
      </w:r>
      <w:r w:rsidRPr="00124E95">
        <w:rPr>
          <w:sz w:val="24"/>
          <w:szCs w:val="24"/>
          <w:lang w:val="eu-ES"/>
        </w:rPr>
        <w:t xml:space="preserve"> dira, baina zergapekoar</w:t>
      </w:r>
      <w:r w:rsidR="00214181" w:rsidRPr="00124E95">
        <w:rPr>
          <w:sz w:val="24"/>
          <w:szCs w:val="24"/>
          <w:lang w:val="eu-ES"/>
        </w:rPr>
        <w:t>i</w:t>
      </w:r>
      <w:r w:rsidRPr="00124E95">
        <w:rPr>
          <w:sz w:val="24"/>
          <w:szCs w:val="24"/>
          <w:lang w:val="eu-ES"/>
        </w:rPr>
        <w:t xml:space="preserve"> edo haren ordezkari</w:t>
      </w:r>
      <w:r w:rsidR="00214181" w:rsidRPr="00124E95">
        <w:rPr>
          <w:sz w:val="24"/>
          <w:szCs w:val="24"/>
          <w:lang w:val="eu-ES"/>
        </w:rPr>
        <w:t>ari dagokionez.</w:t>
      </w:r>
    </w:p>
    <w:p w:rsidR="00A00CD9" w:rsidRDefault="00A00CD9" w:rsidP="00C00967">
      <w:pPr>
        <w:jc w:val="both"/>
        <w:rPr>
          <w:sz w:val="24"/>
          <w:szCs w:val="24"/>
          <w:lang w:val="eu-ES"/>
        </w:rPr>
      </w:pPr>
    </w:p>
    <w:p w:rsidR="00A00CD9" w:rsidRDefault="00A00CD9" w:rsidP="00C00967">
      <w:pPr>
        <w:jc w:val="both"/>
        <w:rPr>
          <w:sz w:val="24"/>
          <w:szCs w:val="24"/>
          <w:lang w:val="eu-ES"/>
        </w:rPr>
      </w:pPr>
    </w:p>
    <w:p w:rsidR="00A00CD9" w:rsidRDefault="00A00CD9" w:rsidP="00C00967">
      <w:pPr>
        <w:jc w:val="both"/>
        <w:rPr>
          <w:sz w:val="24"/>
          <w:szCs w:val="24"/>
          <w:lang w:val="eu-ES"/>
        </w:rPr>
      </w:pPr>
    </w:p>
    <w:p w:rsidR="00A00CD9" w:rsidRDefault="00A00CD9" w:rsidP="00C00967">
      <w:pPr>
        <w:jc w:val="both"/>
        <w:rPr>
          <w:sz w:val="24"/>
          <w:szCs w:val="24"/>
          <w:lang w:val="eu-ES"/>
        </w:rPr>
      </w:pPr>
    </w:p>
    <w:p w:rsidR="00A00CD9" w:rsidRPr="005C6EB9" w:rsidRDefault="00A00CD9" w:rsidP="00C00967">
      <w:pPr>
        <w:jc w:val="both"/>
        <w:rPr>
          <w:sz w:val="24"/>
          <w:szCs w:val="24"/>
        </w:rPr>
      </w:pPr>
    </w:p>
    <w:p w:rsidR="00C00967" w:rsidRPr="005C6EB9" w:rsidRDefault="00C00967" w:rsidP="00C00967">
      <w:pPr>
        <w:jc w:val="both"/>
        <w:rPr>
          <w:sz w:val="24"/>
          <w:szCs w:val="24"/>
        </w:rPr>
      </w:pPr>
    </w:p>
    <w:p w:rsidR="00C00967" w:rsidRDefault="00254463" w:rsidP="00C00967">
      <w:pPr>
        <w:jc w:val="both"/>
        <w:rPr>
          <w:sz w:val="24"/>
          <w:szCs w:val="24"/>
        </w:rPr>
      </w:pPr>
      <w:r w:rsidRPr="00124E95">
        <w:rPr>
          <w:sz w:val="24"/>
          <w:szCs w:val="24"/>
          <w:lang w:val="eu-ES"/>
        </w:rPr>
        <w:t>Online aitorpenen kasuan, "erabiltzailea/sarbide gakoa" ez da jada egoitza elektronikora sartzeko bidea, "egoitza elektronikora sartzeko berariaz gaitzen den beste edozein sistema"k ordezkatu du.</w:t>
      </w:r>
      <w:r w:rsidR="00C00967">
        <w:rPr>
          <w:sz w:val="24"/>
          <w:szCs w:val="24"/>
        </w:rPr>
        <w:t xml:space="preserve"> </w:t>
      </w:r>
      <w:r w:rsidRPr="00124E95">
        <w:rPr>
          <w:sz w:val="24"/>
          <w:szCs w:val="24"/>
          <w:lang w:val="eu-ES"/>
        </w:rPr>
        <w:t>Horrez gain, aitorpenak sortu eta bidaltzeko zerbitzuan sartzeko metodoa deskribat</w:t>
      </w:r>
      <w:r w:rsidR="000D67AF" w:rsidRPr="00124E95">
        <w:rPr>
          <w:sz w:val="24"/>
          <w:szCs w:val="24"/>
          <w:lang w:val="eu-ES"/>
        </w:rPr>
        <w:t xml:space="preserve">u </w:t>
      </w:r>
      <w:r w:rsidRPr="00124E95">
        <w:rPr>
          <w:sz w:val="24"/>
          <w:szCs w:val="24"/>
          <w:lang w:val="eu-ES"/>
        </w:rPr>
        <w:t>da.</w:t>
      </w:r>
    </w:p>
    <w:p w:rsidR="000B1603" w:rsidRDefault="000B1603" w:rsidP="00C00967">
      <w:pPr>
        <w:jc w:val="both"/>
        <w:rPr>
          <w:sz w:val="24"/>
          <w:szCs w:val="24"/>
        </w:rPr>
      </w:pPr>
    </w:p>
    <w:p w:rsidR="000B1603" w:rsidRDefault="000B1603" w:rsidP="00C00967">
      <w:pPr>
        <w:jc w:val="both"/>
        <w:rPr>
          <w:sz w:val="24"/>
          <w:szCs w:val="24"/>
        </w:rPr>
      </w:pPr>
    </w:p>
    <w:p w:rsidR="00C00967" w:rsidRDefault="00254463" w:rsidP="00C00967">
      <w:pPr>
        <w:jc w:val="both"/>
        <w:rPr>
          <w:b/>
          <w:sz w:val="24"/>
          <w:szCs w:val="24"/>
        </w:rPr>
      </w:pPr>
      <w:r w:rsidRPr="00124E95">
        <w:rPr>
          <w:b/>
          <w:sz w:val="24"/>
          <w:szCs w:val="24"/>
          <w:lang w:val="eu-ES"/>
        </w:rPr>
        <w:t>V. ONDORIOAK</w:t>
      </w:r>
    </w:p>
    <w:p w:rsidR="00C00967" w:rsidRDefault="00C00967" w:rsidP="00C00967">
      <w:pPr>
        <w:jc w:val="both"/>
        <w:rPr>
          <w:b/>
          <w:sz w:val="24"/>
          <w:szCs w:val="24"/>
        </w:rPr>
      </w:pPr>
    </w:p>
    <w:p w:rsidR="00C00967" w:rsidRDefault="00254463" w:rsidP="00C00967">
      <w:pPr>
        <w:jc w:val="both"/>
        <w:outlineLvl w:val="1"/>
        <w:rPr>
          <w:rFonts w:eastAsia="Calibri"/>
        </w:rPr>
      </w:pPr>
      <w:r w:rsidRPr="00124E95">
        <w:rPr>
          <w:b/>
          <w:bCs/>
          <w:sz w:val="24"/>
          <w:szCs w:val="24"/>
          <w:lang w:val="eu-ES"/>
        </w:rPr>
        <w:t>LEHENA.</w:t>
      </w:r>
      <w:r w:rsidR="00C00967" w:rsidRPr="00254463">
        <w:rPr>
          <w:b/>
          <w:bCs/>
          <w:sz w:val="24"/>
          <w:szCs w:val="24"/>
        </w:rPr>
        <w:t xml:space="preserve">- </w:t>
      </w:r>
      <w:r w:rsidRPr="00124E95">
        <w:rPr>
          <w:rFonts w:eastAsia="Calibri"/>
          <w:bCs/>
          <w:sz w:val="24"/>
          <w:szCs w:val="24"/>
          <w:lang w:val="eu-ES"/>
        </w:rPr>
        <w:t>Arabako Foru Aldundiko Aholku Batzordeak irizpena eman behar du proposatutako foru dekretuaren proiektuari dagokionez, Arabako Lurralde Historikoaren eskumeneko gaia delako.</w:t>
      </w:r>
    </w:p>
    <w:p w:rsidR="000D67AF" w:rsidRPr="00254463" w:rsidRDefault="000D67AF" w:rsidP="00C00967">
      <w:pPr>
        <w:jc w:val="both"/>
        <w:outlineLvl w:val="1"/>
        <w:rPr>
          <w:rFonts w:eastAsia="Calibri"/>
          <w:bCs/>
          <w:sz w:val="24"/>
          <w:szCs w:val="24"/>
        </w:rPr>
      </w:pPr>
    </w:p>
    <w:p w:rsidR="00C00967" w:rsidRDefault="00254463" w:rsidP="00C00967">
      <w:pPr>
        <w:jc w:val="both"/>
        <w:rPr>
          <w:rFonts w:ascii="Tahoma" w:hAnsi="Tahoma" w:cs="Tahoma"/>
          <w:sz w:val="22"/>
          <w:szCs w:val="22"/>
        </w:rPr>
      </w:pPr>
      <w:r w:rsidRPr="00124E95">
        <w:rPr>
          <w:b/>
          <w:bCs/>
          <w:sz w:val="24"/>
          <w:szCs w:val="24"/>
          <w:lang w:val="eu-ES"/>
        </w:rPr>
        <w:t xml:space="preserve">BIGARRENA.- </w:t>
      </w:r>
      <w:r w:rsidRPr="00124E95">
        <w:rPr>
          <w:bCs/>
          <w:sz w:val="24"/>
          <w:szCs w:val="24"/>
          <w:lang w:val="eu-ES"/>
        </w:rPr>
        <w:t>Foru dekretuaren proiektuak ordenamendu juridikoa betetzen du eta araudian ezarritako lege gaikuntza eta eskumen esparruaren barruan eman da.</w:t>
      </w:r>
    </w:p>
    <w:p w:rsidR="00C00967" w:rsidRDefault="00C00967" w:rsidP="00C00967">
      <w:pPr>
        <w:jc w:val="both"/>
        <w:rPr>
          <w:rFonts w:ascii="Tahoma" w:hAnsi="Tahoma" w:cs="Tahoma"/>
          <w:sz w:val="22"/>
          <w:szCs w:val="22"/>
        </w:rPr>
      </w:pPr>
    </w:p>
    <w:p w:rsidR="001142FD" w:rsidRPr="00C00967" w:rsidRDefault="001142FD" w:rsidP="001142FD"/>
    <w:p w:rsidR="001142FD" w:rsidRPr="004D3706" w:rsidRDefault="001142FD" w:rsidP="001142FD">
      <w:pPr>
        <w:rPr>
          <w:lang w:val="es-ES_tradnl"/>
        </w:rPr>
      </w:pPr>
    </w:p>
    <w:p w:rsidR="001142FD" w:rsidRPr="001142FD" w:rsidRDefault="001142FD" w:rsidP="00E81FAD">
      <w:pPr>
        <w:pStyle w:val="Prrafodelista"/>
        <w:spacing w:after="0" w:line="240" w:lineRule="auto"/>
        <w:ind w:left="0"/>
        <w:contextualSpacing w:val="0"/>
        <w:jc w:val="both"/>
        <w:rPr>
          <w:rFonts w:ascii="Arial" w:hAnsi="Arial" w:cs="Arial"/>
          <w:b/>
          <w:sz w:val="24"/>
          <w:szCs w:val="24"/>
          <w:highlight w:val="yellow"/>
          <w:u w:val="single"/>
          <w:lang w:val="es-ES_tradnl"/>
        </w:rPr>
      </w:pPr>
    </w:p>
    <w:p w:rsidR="001142FD"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p w:rsidR="001142FD"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p w:rsidR="001142FD"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p w:rsidR="001142FD"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p w:rsidR="001142FD"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sectPr w:rsidR="001142FD" w:rsidSect="00182738">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E95" w:rsidRDefault="00124E95" w:rsidP="00124E95">
      <w:r>
        <w:separator/>
      </w:r>
    </w:p>
  </w:endnote>
  <w:endnote w:type="continuationSeparator" w:id="0">
    <w:p w:rsidR="00124E95" w:rsidRDefault="00124E95" w:rsidP="0012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95" w:rsidRDefault="00124E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95" w:rsidRDefault="00124E9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95" w:rsidRDefault="00124E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E95" w:rsidRDefault="00124E95" w:rsidP="00124E95">
      <w:r>
        <w:separator/>
      </w:r>
    </w:p>
  </w:footnote>
  <w:footnote w:type="continuationSeparator" w:id="0">
    <w:p w:rsidR="00124E95" w:rsidRDefault="00124E95" w:rsidP="00124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95" w:rsidRDefault="00124E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95" w:rsidRDefault="00124E9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E95" w:rsidRDefault="00124E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E9C"/>
    <w:multiLevelType w:val="hybridMultilevel"/>
    <w:tmpl w:val="B69AC43A"/>
    <w:lvl w:ilvl="0" w:tplc="10A6F2D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3E7A97"/>
    <w:multiLevelType w:val="hybridMultilevel"/>
    <w:tmpl w:val="2C60DD5C"/>
    <w:lvl w:ilvl="0" w:tplc="19541EF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6FF7869"/>
    <w:multiLevelType w:val="hybridMultilevel"/>
    <w:tmpl w:val="D8D2686A"/>
    <w:lvl w:ilvl="0" w:tplc="20DCF55E">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1202FC"/>
    <w:multiLevelType w:val="hybridMultilevel"/>
    <w:tmpl w:val="8B7A60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F901FA"/>
    <w:multiLevelType w:val="hybridMultilevel"/>
    <w:tmpl w:val="4AB0B8F2"/>
    <w:lvl w:ilvl="0" w:tplc="C1E02B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25720C5"/>
    <w:multiLevelType w:val="hybridMultilevel"/>
    <w:tmpl w:val="84647EC0"/>
    <w:lvl w:ilvl="0" w:tplc="0C0A0017">
      <w:start w:val="1"/>
      <w:numFmt w:val="lowerLetter"/>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FF47D6"/>
    <w:multiLevelType w:val="hybridMultilevel"/>
    <w:tmpl w:val="5460485E"/>
    <w:lvl w:ilvl="0" w:tplc="EAB0FCFE">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nsid w:val="29554B72"/>
    <w:multiLevelType w:val="multilevel"/>
    <w:tmpl w:val="B5040D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99719A"/>
    <w:multiLevelType w:val="multilevel"/>
    <w:tmpl w:val="D88AB5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6981FDC"/>
    <w:multiLevelType w:val="hybridMultilevel"/>
    <w:tmpl w:val="6114A56E"/>
    <w:lvl w:ilvl="0" w:tplc="B9BE2082">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nsid w:val="42F915CE"/>
    <w:multiLevelType w:val="hybridMultilevel"/>
    <w:tmpl w:val="8AC4FA0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1">
    <w:nsid w:val="4A5D1CE5"/>
    <w:multiLevelType w:val="hybridMultilevel"/>
    <w:tmpl w:val="8646C262"/>
    <w:lvl w:ilvl="0" w:tplc="E51E3C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986C10"/>
    <w:multiLevelType w:val="hybridMultilevel"/>
    <w:tmpl w:val="1130B6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D0748A4"/>
    <w:multiLevelType w:val="multilevel"/>
    <w:tmpl w:val="2422B52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i w:val="0"/>
      </w:rPr>
    </w:lvl>
    <w:lvl w:ilvl="2">
      <w:start w:val="1"/>
      <w:numFmt w:val="decimal"/>
      <w:isLgl/>
      <w:lvlText w:val="%1.%2.%3"/>
      <w:lvlJc w:val="left"/>
      <w:pPr>
        <w:ind w:left="2496" w:hanging="720"/>
      </w:pPr>
      <w:rPr>
        <w:rFonts w:hint="default"/>
        <w:i w:val="0"/>
      </w:rPr>
    </w:lvl>
    <w:lvl w:ilvl="3">
      <w:start w:val="1"/>
      <w:numFmt w:val="decimal"/>
      <w:isLgl/>
      <w:lvlText w:val="%1.%2.%3.%4"/>
      <w:lvlJc w:val="left"/>
      <w:pPr>
        <w:ind w:left="3204" w:hanging="720"/>
      </w:pPr>
      <w:rPr>
        <w:rFonts w:hint="default"/>
        <w:i w:val="0"/>
      </w:rPr>
    </w:lvl>
    <w:lvl w:ilvl="4">
      <w:start w:val="1"/>
      <w:numFmt w:val="decimal"/>
      <w:isLgl/>
      <w:lvlText w:val="%1.%2.%3.%4.%5"/>
      <w:lvlJc w:val="left"/>
      <w:pPr>
        <w:ind w:left="4272" w:hanging="1080"/>
      </w:pPr>
      <w:rPr>
        <w:rFonts w:hint="default"/>
        <w:i w:val="0"/>
      </w:rPr>
    </w:lvl>
    <w:lvl w:ilvl="5">
      <w:start w:val="1"/>
      <w:numFmt w:val="decimal"/>
      <w:isLgl/>
      <w:lvlText w:val="%1.%2.%3.%4.%5.%6"/>
      <w:lvlJc w:val="left"/>
      <w:pPr>
        <w:ind w:left="4980" w:hanging="1080"/>
      </w:pPr>
      <w:rPr>
        <w:rFonts w:hint="default"/>
        <w:i w:val="0"/>
      </w:rPr>
    </w:lvl>
    <w:lvl w:ilvl="6">
      <w:start w:val="1"/>
      <w:numFmt w:val="decimal"/>
      <w:isLgl/>
      <w:lvlText w:val="%1.%2.%3.%4.%5.%6.%7"/>
      <w:lvlJc w:val="left"/>
      <w:pPr>
        <w:ind w:left="6048" w:hanging="1440"/>
      </w:pPr>
      <w:rPr>
        <w:rFonts w:hint="default"/>
        <w:i w:val="0"/>
      </w:rPr>
    </w:lvl>
    <w:lvl w:ilvl="7">
      <w:start w:val="1"/>
      <w:numFmt w:val="decimal"/>
      <w:isLgl/>
      <w:lvlText w:val="%1.%2.%3.%4.%5.%6.%7.%8"/>
      <w:lvlJc w:val="left"/>
      <w:pPr>
        <w:ind w:left="6756" w:hanging="1440"/>
      </w:pPr>
      <w:rPr>
        <w:rFonts w:hint="default"/>
        <w:i w:val="0"/>
      </w:rPr>
    </w:lvl>
    <w:lvl w:ilvl="8">
      <w:start w:val="1"/>
      <w:numFmt w:val="decimal"/>
      <w:isLgl/>
      <w:lvlText w:val="%1.%2.%3.%4.%5.%6.%7.%8.%9"/>
      <w:lvlJc w:val="left"/>
      <w:pPr>
        <w:ind w:left="7824" w:hanging="1800"/>
      </w:pPr>
      <w:rPr>
        <w:rFonts w:hint="default"/>
        <w:i w:val="0"/>
      </w:rPr>
    </w:lvl>
  </w:abstractNum>
  <w:abstractNum w:abstractNumId="14">
    <w:nsid w:val="521E18E6"/>
    <w:multiLevelType w:val="multilevel"/>
    <w:tmpl w:val="D52EE0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539A1162"/>
    <w:multiLevelType w:val="hybridMultilevel"/>
    <w:tmpl w:val="9A1234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BC554FE"/>
    <w:multiLevelType w:val="hybridMultilevel"/>
    <w:tmpl w:val="05364B8C"/>
    <w:lvl w:ilvl="0" w:tplc="032E46BC">
      <w:numFmt w:val="bullet"/>
      <w:lvlText w:val="-"/>
      <w:lvlJc w:val="left"/>
      <w:pPr>
        <w:ind w:left="1068" w:hanging="360"/>
      </w:pPr>
      <w:rPr>
        <w:rFonts w:ascii="Times New Roman" w:eastAsia="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nsid w:val="6F2C3FAE"/>
    <w:multiLevelType w:val="hybridMultilevel"/>
    <w:tmpl w:val="90B621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88845AD"/>
    <w:multiLevelType w:val="hybridMultilevel"/>
    <w:tmpl w:val="7040BA24"/>
    <w:lvl w:ilvl="0" w:tplc="EAB0FC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8"/>
  </w:num>
  <w:num w:numId="4">
    <w:abstractNumId w:val="6"/>
  </w:num>
  <w:num w:numId="5">
    <w:abstractNumId w:val="0"/>
  </w:num>
  <w:num w:numId="6">
    <w:abstractNumId w:val="5"/>
  </w:num>
  <w:num w:numId="7">
    <w:abstractNumId w:val="16"/>
  </w:num>
  <w:num w:numId="8">
    <w:abstractNumId w:val="3"/>
  </w:num>
  <w:num w:numId="9">
    <w:abstractNumId w:val="15"/>
  </w:num>
  <w:num w:numId="10">
    <w:abstractNumId w:val="9"/>
  </w:num>
  <w:num w:numId="11">
    <w:abstractNumId w:val="4"/>
  </w:num>
  <w:num w:numId="12">
    <w:abstractNumId w:val="7"/>
  </w:num>
  <w:num w:numId="13">
    <w:abstractNumId w:val="14"/>
  </w:num>
  <w:num w:numId="14">
    <w:abstractNumId w:val="13"/>
  </w:num>
  <w:num w:numId="15">
    <w:abstractNumId w:val="2"/>
  </w:num>
  <w:num w:numId="16">
    <w:abstractNumId w:val="8"/>
  </w:num>
  <w:num w:numId="17">
    <w:abstractNumId w:val="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tBookmark" w:val="00001"/>
  </w:docVars>
  <w:rsids>
    <w:rsidRoot w:val="002C050F"/>
    <w:rsid w:val="00021009"/>
    <w:rsid w:val="00076208"/>
    <w:rsid w:val="00090120"/>
    <w:rsid w:val="000A0414"/>
    <w:rsid w:val="000A3ADA"/>
    <w:rsid w:val="000B1603"/>
    <w:rsid w:val="000D67AF"/>
    <w:rsid w:val="000F741A"/>
    <w:rsid w:val="001142FD"/>
    <w:rsid w:val="00124E95"/>
    <w:rsid w:val="00182738"/>
    <w:rsid w:val="00205C89"/>
    <w:rsid w:val="00206E47"/>
    <w:rsid w:val="00214181"/>
    <w:rsid w:val="002335F2"/>
    <w:rsid w:val="00254463"/>
    <w:rsid w:val="0026073F"/>
    <w:rsid w:val="00272CCB"/>
    <w:rsid w:val="002864A9"/>
    <w:rsid w:val="002B6238"/>
    <w:rsid w:val="002C050F"/>
    <w:rsid w:val="003B4D10"/>
    <w:rsid w:val="003C6EB1"/>
    <w:rsid w:val="003D502C"/>
    <w:rsid w:val="003E0AA5"/>
    <w:rsid w:val="003E1C30"/>
    <w:rsid w:val="003F5CF3"/>
    <w:rsid w:val="004A1419"/>
    <w:rsid w:val="004C1017"/>
    <w:rsid w:val="00541735"/>
    <w:rsid w:val="005D7EA6"/>
    <w:rsid w:val="00640D51"/>
    <w:rsid w:val="006C7C8C"/>
    <w:rsid w:val="00751761"/>
    <w:rsid w:val="00777B2F"/>
    <w:rsid w:val="007A1254"/>
    <w:rsid w:val="007A4076"/>
    <w:rsid w:val="007F00EC"/>
    <w:rsid w:val="007F38D7"/>
    <w:rsid w:val="00835865"/>
    <w:rsid w:val="00854451"/>
    <w:rsid w:val="00856A04"/>
    <w:rsid w:val="008D5FCD"/>
    <w:rsid w:val="00902E39"/>
    <w:rsid w:val="009623F1"/>
    <w:rsid w:val="00977705"/>
    <w:rsid w:val="009943B4"/>
    <w:rsid w:val="00996E4E"/>
    <w:rsid w:val="009A68E6"/>
    <w:rsid w:val="009B48D9"/>
    <w:rsid w:val="009C211F"/>
    <w:rsid w:val="009E20D5"/>
    <w:rsid w:val="00A00CD9"/>
    <w:rsid w:val="00A472E1"/>
    <w:rsid w:val="00A64113"/>
    <w:rsid w:val="00B059AC"/>
    <w:rsid w:val="00B147E3"/>
    <w:rsid w:val="00B64D16"/>
    <w:rsid w:val="00C00967"/>
    <w:rsid w:val="00C07F69"/>
    <w:rsid w:val="00DD4202"/>
    <w:rsid w:val="00E3786E"/>
    <w:rsid w:val="00E81FAD"/>
    <w:rsid w:val="00EE5C89"/>
    <w:rsid w:val="00F34460"/>
    <w:rsid w:val="00F8157B"/>
    <w:rsid w:val="00FA0E7E"/>
    <w:rsid w:val="00FD1DD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A472E1"/>
    <w:pPr>
      <w:keepNext/>
      <w:jc w:val="both"/>
      <w:outlineLvl w:val="2"/>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customStyle="1" w:styleId="Default">
    <w:name w:val="Default"/>
    <w:rsid w:val="007A12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rafodelista1">
    <w:name w:val="Párrafo de lista1"/>
    <w:basedOn w:val="Normal"/>
    <w:rsid w:val="007A1254"/>
    <w:pPr>
      <w:suppressAutoHyphens/>
      <w:spacing w:after="200" w:line="276" w:lineRule="auto"/>
      <w:ind w:left="720"/>
    </w:pPr>
    <w:rPr>
      <w:rFonts w:ascii="Calibri" w:eastAsia="SimSun" w:hAnsi="Calibri" w:cs="Calibri"/>
      <w:kern w:val="1"/>
      <w:sz w:val="22"/>
      <w:szCs w:val="22"/>
      <w:lang w:eastAsia="ar-SA"/>
    </w:rPr>
  </w:style>
  <w:style w:type="character" w:customStyle="1" w:styleId="Ttulo3Car">
    <w:name w:val="Título 3 Car"/>
    <w:basedOn w:val="Fuentedeprrafopredeter"/>
    <w:link w:val="Ttulo3"/>
    <w:rsid w:val="00A472E1"/>
    <w:rPr>
      <w:rFonts w:ascii="Verdana" w:eastAsia="Times New Roman" w:hAnsi="Verdana" w:cs="Times New Roman"/>
      <w:b/>
      <w:sz w:val="20"/>
      <w:szCs w:val="20"/>
      <w:lang w:eastAsia="es-ES"/>
    </w:rPr>
  </w:style>
  <w:style w:type="character" w:styleId="nfasis">
    <w:name w:val="Emphasis"/>
    <w:uiPriority w:val="20"/>
    <w:qFormat/>
    <w:rsid w:val="00A472E1"/>
    <w:rPr>
      <w:i/>
      <w:iCs/>
    </w:rPr>
  </w:style>
  <w:style w:type="paragraph" w:styleId="NormalWeb">
    <w:name w:val="Normal (Web)"/>
    <w:basedOn w:val="Normal"/>
    <w:uiPriority w:val="99"/>
    <w:unhideWhenUsed/>
    <w:rsid w:val="001142FD"/>
    <w:pPr>
      <w:spacing w:after="158"/>
    </w:pPr>
    <w:rPr>
      <w:sz w:val="24"/>
      <w:szCs w:val="24"/>
    </w:rPr>
  </w:style>
  <w:style w:type="character" w:customStyle="1" w:styleId="form-control-text">
    <w:name w:val="form-control-text"/>
    <w:basedOn w:val="Fuentedeprrafopredeter"/>
    <w:rsid w:val="009B48D9"/>
  </w:style>
  <w:style w:type="paragraph" w:styleId="Encabezado">
    <w:name w:val="header"/>
    <w:basedOn w:val="Normal"/>
    <w:link w:val="EncabezadoCar"/>
    <w:uiPriority w:val="99"/>
    <w:semiHidden/>
    <w:unhideWhenUsed/>
    <w:rsid w:val="00124E95"/>
    <w:pPr>
      <w:tabs>
        <w:tab w:val="center" w:pos="4252"/>
        <w:tab w:val="right" w:pos="8504"/>
      </w:tabs>
    </w:pPr>
  </w:style>
  <w:style w:type="character" w:customStyle="1" w:styleId="EncabezadoCar">
    <w:name w:val="Encabezado Car"/>
    <w:basedOn w:val="Fuentedeprrafopredeter"/>
    <w:link w:val="Encabezado"/>
    <w:uiPriority w:val="99"/>
    <w:semiHidden/>
    <w:rsid w:val="00124E9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semiHidden/>
    <w:unhideWhenUsed/>
    <w:rsid w:val="00124E95"/>
    <w:pPr>
      <w:tabs>
        <w:tab w:val="center" w:pos="4252"/>
        <w:tab w:val="right" w:pos="8504"/>
      </w:tabs>
    </w:pPr>
  </w:style>
  <w:style w:type="character" w:customStyle="1" w:styleId="PiedepginaCar">
    <w:name w:val="Pie de página Car"/>
    <w:basedOn w:val="Fuentedeprrafopredeter"/>
    <w:link w:val="Piedepgina"/>
    <w:uiPriority w:val="99"/>
    <w:semiHidden/>
    <w:rsid w:val="00124E95"/>
    <w:rPr>
      <w:rFonts w:ascii="Times New Roman" w:eastAsia="Times New Roman" w:hAnsi="Times New Roman" w:cs="Times New Roman"/>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A472E1"/>
    <w:pPr>
      <w:keepNext/>
      <w:jc w:val="both"/>
      <w:outlineLvl w:val="2"/>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customStyle="1" w:styleId="Default">
    <w:name w:val="Default"/>
    <w:rsid w:val="007A12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rafodelista1">
    <w:name w:val="Párrafo de lista1"/>
    <w:basedOn w:val="Normal"/>
    <w:rsid w:val="007A1254"/>
    <w:pPr>
      <w:suppressAutoHyphens/>
      <w:spacing w:after="200" w:line="276" w:lineRule="auto"/>
      <w:ind w:left="720"/>
    </w:pPr>
    <w:rPr>
      <w:rFonts w:ascii="Calibri" w:eastAsia="SimSun" w:hAnsi="Calibri" w:cs="Calibri"/>
      <w:kern w:val="1"/>
      <w:sz w:val="22"/>
      <w:szCs w:val="22"/>
      <w:lang w:eastAsia="ar-SA"/>
    </w:rPr>
  </w:style>
  <w:style w:type="character" w:customStyle="1" w:styleId="Ttulo3Car">
    <w:name w:val="Título 3 Car"/>
    <w:basedOn w:val="Fuentedeprrafopredeter"/>
    <w:link w:val="Ttulo3"/>
    <w:rsid w:val="00A472E1"/>
    <w:rPr>
      <w:rFonts w:ascii="Verdana" w:eastAsia="Times New Roman" w:hAnsi="Verdana" w:cs="Times New Roman"/>
      <w:b/>
      <w:sz w:val="20"/>
      <w:szCs w:val="20"/>
      <w:lang w:eastAsia="es-ES"/>
    </w:rPr>
  </w:style>
  <w:style w:type="character" w:styleId="nfasis">
    <w:name w:val="Emphasis"/>
    <w:uiPriority w:val="20"/>
    <w:qFormat/>
    <w:rsid w:val="00A472E1"/>
    <w:rPr>
      <w:i/>
      <w:iCs/>
    </w:rPr>
  </w:style>
  <w:style w:type="paragraph" w:styleId="NormalWeb">
    <w:name w:val="Normal (Web)"/>
    <w:basedOn w:val="Normal"/>
    <w:uiPriority w:val="99"/>
    <w:unhideWhenUsed/>
    <w:rsid w:val="001142FD"/>
    <w:pPr>
      <w:spacing w:after="158"/>
    </w:pPr>
    <w:rPr>
      <w:sz w:val="24"/>
      <w:szCs w:val="24"/>
    </w:rPr>
  </w:style>
  <w:style w:type="character" w:customStyle="1" w:styleId="form-control-text">
    <w:name w:val="form-control-text"/>
    <w:basedOn w:val="Fuentedeprrafopredeter"/>
    <w:rsid w:val="009B48D9"/>
  </w:style>
  <w:style w:type="paragraph" w:styleId="Encabezado">
    <w:name w:val="header"/>
    <w:basedOn w:val="Normal"/>
    <w:link w:val="EncabezadoCar"/>
    <w:uiPriority w:val="99"/>
    <w:semiHidden/>
    <w:unhideWhenUsed/>
    <w:rsid w:val="00124E95"/>
    <w:pPr>
      <w:tabs>
        <w:tab w:val="center" w:pos="4252"/>
        <w:tab w:val="right" w:pos="8504"/>
      </w:tabs>
    </w:pPr>
  </w:style>
  <w:style w:type="character" w:customStyle="1" w:styleId="EncabezadoCar">
    <w:name w:val="Encabezado Car"/>
    <w:basedOn w:val="Fuentedeprrafopredeter"/>
    <w:link w:val="Encabezado"/>
    <w:uiPriority w:val="99"/>
    <w:semiHidden/>
    <w:rsid w:val="00124E95"/>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semiHidden/>
    <w:unhideWhenUsed/>
    <w:rsid w:val="00124E95"/>
    <w:pPr>
      <w:tabs>
        <w:tab w:val="center" w:pos="4252"/>
        <w:tab w:val="right" w:pos="8504"/>
      </w:tabs>
    </w:pPr>
  </w:style>
  <w:style w:type="character" w:customStyle="1" w:styleId="PiedepginaCar">
    <w:name w:val="Pie de página Car"/>
    <w:basedOn w:val="Fuentedeprrafopredeter"/>
    <w:link w:val="Piedepgina"/>
    <w:uiPriority w:val="99"/>
    <w:semiHidden/>
    <w:rsid w:val="00124E95"/>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4934">
      <w:bodyDiv w:val="1"/>
      <w:marLeft w:val="0"/>
      <w:marRight w:val="0"/>
      <w:marTop w:val="0"/>
      <w:marBottom w:val="0"/>
      <w:divBdr>
        <w:top w:val="none" w:sz="0" w:space="0" w:color="auto"/>
        <w:left w:val="none" w:sz="0" w:space="0" w:color="auto"/>
        <w:bottom w:val="none" w:sz="0" w:space="0" w:color="auto"/>
        <w:right w:val="none" w:sz="0" w:space="0" w:color="auto"/>
      </w:divBdr>
      <w:divsChild>
        <w:div w:id="1817337572">
          <w:marLeft w:val="0"/>
          <w:marRight w:val="0"/>
          <w:marTop w:val="0"/>
          <w:marBottom w:val="0"/>
          <w:divBdr>
            <w:top w:val="none" w:sz="0" w:space="0" w:color="auto"/>
            <w:left w:val="none" w:sz="0" w:space="0" w:color="auto"/>
            <w:bottom w:val="none" w:sz="0" w:space="0" w:color="auto"/>
            <w:right w:val="none" w:sz="0" w:space="0" w:color="auto"/>
          </w:divBdr>
          <w:divsChild>
            <w:div w:id="6554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6040">
      <w:bodyDiv w:val="1"/>
      <w:marLeft w:val="0"/>
      <w:marRight w:val="0"/>
      <w:marTop w:val="0"/>
      <w:marBottom w:val="0"/>
      <w:divBdr>
        <w:top w:val="none" w:sz="0" w:space="0" w:color="auto"/>
        <w:left w:val="none" w:sz="0" w:space="0" w:color="auto"/>
        <w:bottom w:val="none" w:sz="0" w:space="0" w:color="auto"/>
        <w:right w:val="none" w:sz="0" w:space="0" w:color="auto"/>
      </w:divBdr>
      <w:divsChild>
        <w:div w:id="433593910">
          <w:marLeft w:val="0"/>
          <w:marRight w:val="0"/>
          <w:marTop w:val="0"/>
          <w:marBottom w:val="0"/>
          <w:divBdr>
            <w:top w:val="none" w:sz="0" w:space="0" w:color="auto"/>
            <w:left w:val="none" w:sz="0" w:space="0" w:color="auto"/>
            <w:bottom w:val="none" w:sz="0" w:space="0" w:color="auto"/>
            <w:right w:val="none" w:sz="0" w:space="0" w:color="auto"/>
          </w:divBdr>
          <w:divsChild>
            <w:div w:id="21240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386">
      <w:bodyDiv w:val="1"/>
      <w:marLeft w:val="0"/>
      <w:marRight w:val="0"/>
      <w:marTop w:val="0"/>
      <w:marBottom w:val="0"/>
      <w:divBdr>
        <w:top w:val="none" w:sz="0" w:space="0" w:color="auto"/>
        <w:left w:val="none" w:sz="0" w:space="0" w:color="auto"/>
        <w:bottom w:val="none" w:sz="0" w:space="0" w:color="auto"/>
        <w:right w:val="none" w:sz="0" w:space="0" w:color="auto"/>
      </w:divBdr>
      <w:divsChild>
        <w:div w:id="866993007">
          <w:marLeft w:val="0"/>
          <w:marRight w:val="0"/>
          <w:marTop w:val="0"/>
          <w:marBottom w:val="0"/>
          <w:divBdr>
            <w:top w:val="none" w:sz="0" w:space="0" w:color="auto"/>
            <w:left w:val="none" w:sz="0" w:space="0" w:color="auto"/>
            <w:bottom w:val="none" w:sz="0" w:space="0" w:color="auto"/>
            <w:right w:val="none" w:sz="0" w:space="0" w:color="auto"/>
          </w:divBdr>
          <w:divsChild>
            <w:div w:id="152667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6912">
      <w:bodyDiv w:val="1"/>
      <w:marLeft w:val="0"/>
      <w:marRight w:val="0"/>
      <w:marTop w:val="0"/>
      <w:marBottom w:val="0"/>
      <w:divBdr>
        <w:top w:val="none" w:sz="0" w:space="0" w:color="auto"/>
        <w:left w:val="none" w:sz="0" w:space="0" w:color="auto"/>
        <w:bottom w:val="none" w:sz="0" w:space="0" w:color="auto"/>
        <w:right w:val="none" w:sz="0" w:space="0" w:color="auto"/>
      </w:divBdr>
      <w:divsChild>
        <w:div w:id="1486049300">
          <w:marLeft w:val="0"/>
          <w:marRight w:val="0"/>
          <w:marTop w:val="0"/>
          <w:marBottom w:val="0"/>
          <w:divBdr>
            <w:top w:val="none" w:sz="0" w:space="0" w:color="auto"/>
            <w:left w:val="none" w:sz="0" w:space="0" w:color="auto"/>
            <w:bottom w:val="none" w:sz="0" w:space="0" w:color="auto"/>
            <w:right w:val="none" w:sz="0" w:space="0" w:color="auto"/>
          </w:divBdr>
          <w:divsChild>
            <w:div w:id="17327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4919">
      <w:bodyDiv w:val="1"/>
      <w:marLeft w:val="0"/>
      <w:marRight w:val="0"/>
      <w:marTop w:val="0"/>
      <w:marBottom w:val="0"/>
      <w:divBdr>
        <w:top w:val="none" w:sz="0" w:space="0" w:color="auto"/>
        <w:left w:val="none" w:sz="0" w:space="0" w:color="auto"/>
        <w:bottom w:val="none" w:sz="0" w:space="0" w:color="auto"/>
        <w:right w:val="none" w:sz="0" w:space="0" w:color="auto"/>
      </w:divBdr>
      <w:divsChild>
        <w:div w:id="1408304197">
          <w:marLeft w:val="0"/>
          <w:marRight w:val="0"/>
          <w:marTop w:val="0"/>
          <w:marBottom w:val="0"/>
          <w:divBdr>
            <w:top w:val="none" w:sz="0" w:space="0" w:color="auto"/>
            <w:left w:val="none" w:sz="0" w:space="0" w:color="auto"/>
            <w:bottom w:val="none" w:sz="0" w:space="0" w:color="auto"/>
            <w:right w:val="none" w:sz="0" w:space="0" w:color="auto"/>
          </w:divBdr>
          <w:divsChild>
            <w:div w:id="9004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20952">
      <w:bodyDiv w:val="1"/>
      <w:marLeft w:val="0"/>
      <w:marRight w:val="0"/>
      <w:marTop w:val="0"/>
      <w:marBottom w:val="0"/>
      <w:divBdr>
        <w:top w:val="none" w:sz="0" w:space="0" w:color="auto"/>
        <w:left w:val="none" w:sz="0" w:space="0" w:color="auto"/>
        <w:bottom w:val="none" w:sz="0" w:space="0" w:color="auto"/>
        <w:right w:val="none" w:sz="0" w:space="0" w:color="auto"/>
      </w:divBdr>
      <w:divsChild>
        <w:div w:id="70280499">
          <w:marLeft w:val="0"/>
          <w:marRight w:val="0"/>
          <w:marTop w:val="0"/>
          <w:marBottom w:val="0"/>
          <w:divBdr>
            <w:top w:val="none" w:sz="0" w:space="0" w:color="auto"/>
            <w:left w:val="none" w:sz="0" w:space="0" w:color="auto"/>
            <w:bottom w:val="none" w:sz="0" w:space="0" w:color="auto"/>
            <w:right w:val="none" w:sz="0" w:space="0" w:color="auto"/>
          </w:divBdr>
          <w:divsChild>
            <w:div w:id="13357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09120">
      <w:bodyDiv w:val="1"/>
      <w:marLeft w:val="0"/>
      <w:marRight w:val="0"/>
      <w:marTop w:val="0"/>
      <w:marBottom w:val="0"/>
      <w:divBdr>
        <w:top w:val="none" w:sz="0" w:space="0" w:color="auto"/>
        <w:left w:val="none" w:sz="0" w:space="0" w:color="auto"/>
        <w:bottom w:val="none" w:sz="0" w:space="0" w:color="auto"/>
        <w:right w:val="none" w:sz="0" w:space="0" w:color="auto"/>
      </w:divBdr>
      <w:divsChild>
        <w:div w:id="1332945552">
          <w:marLeft w:val="0"/>
          <w:marRight w:val="0"/>
          <w:marTop w:val="0"/>
          <w:marBottom w:val="0"/>
          <w:divBdr>
            <w:top w:val="none" w:sz="0" w:space="0" w:color="auto"/>
            <w:left w:val="none" w:sz="0" w:space="0" w:color="auto"/>
            <w:bottom w:val="none" w:sz="0" w:space="0" w:color="auto"/>
            <w:right w:val="none" w:sz="0" w:space="0" w:color="auto"/>
          </w:divBdr>
          <w:divsChild>
            <w:div w:id="13199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038BD-2CCA-4410-A848-DDDDBE22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1461</Words>
  <Characters>10844</Characters>
  <Application>Microsoft Office Word</Application>
  <DocSecurity>0</DocSecurity>
  <Lines>90</Lines>
  <Paragraphs>24</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7</cp:revision>
  <dcterms:created xsi:type="dcterms:W3CDTF">2020-09-29T12:13:00Z</dcterms:created>
  <dcterms:modified xsi:type="dcterms:W3CDTF">2020-09-29T12:21:00Z</dcterms:modified>
</cp:coreProperties>
</file>