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662" w:rsidRPr="00623662" w:rsidRDefault="00623662" w:rsidP="00623662">
      <w:pPr>
        <w:pStyle w:val="Textoindependiente3"/>
        <w:spacing w:before="120"/>
        <w:rPr>
          <w:rFonts w:ascii="Times New Roman" w:hAnsi="Times New Roman"/>
          <w:b/>
          <w:i w:val="0"/>
          <w:sz w:val="22"/>
          <w:szCs w:val="22"/>
        </w:rPr>
      </w:pPr>
      <w:bookmarkStart w:id="0" w:name="_GoBack"/>
      <w:bookmarkEnd w:id="0"/>
      <w:r w:rsidRPr="00623662">
        <w:rPr>
          <w:rFonts w:ascii="Times New Roman" w:hAnsi="Times New Roman"/>
          <w:b/>
          <w:i w:val="0"/>
          <w:sz w:val="22"/>
          <w:szCs w:val="22"/>
        </w:rPr>
        <w:t>DICTAMEN SOBRE</w:t>
      </w:r>
      <w:r w:rsidRPr="00623662">
        <w:rPr>
          <w:rFonts w:ascii="Times New Roman" w:hAnsi="Times New Roman"/>
          <w:b/>
          <w:sz w:val="22"/>
          <w:szCs w:val="22"/>
        </w:rPr>
        <w:t xml:space="preserve"> </w:t>
      </w:r>
      <w:r w:rsidRPr="00623662">
        <w:rPr>
          <w:rFonts w:ascii="Times New Roman" w:hAnsi="Times New Roman"/>
          <w:b/>
          <w:i w:val="0"/>
          <w:sz w:val="22"/>
          <w:szCs w:val="22"/>
        </w:rPr>
        <w:t>EL PROYECTO DE ORDEN FORAL POR LA QUE SE FIJAN LAS CONDICIONES GENERALES QUE REGULAN LA CAZA EN EL TERRITORIO HISTÓRICO DE ÁLAVA, LAS ESPECÍFICAS PARA LA CAZA DE DETERMINADAS ESPECIES, ASÍ COMO LOS PERÍODOS HÁBILES PARA LA TEMPORADA CINEGÉTICA 2019-2010</w:t>
      </w:r>
    </w:p>
    <w:p w:rsidR="00623662" w:rsidRPr="00450A45" w:rsidRDefault="00623662" w:rsidP="00623662">
      <w:pPr>
        <w:spacing w:before="600" w:after="360" w:line="360" w:lineRule="auto"/>
        <w:jc w:val="both"/>
        <w:rPr>
          <w:b/>
          <w:sz w:val="22"/>
          <w:szCs w:val="22"/>
        </w:rPr>
      </w:pPr>
      <w:r w:rsidRPr="00450A45">
        <w:rPr>
          <w:b/>
          <w:sz w:val="22"/>
          <w:szCs w:val="22"/>
        </w:rPr>
        <w:t>I.ANTECEDENTES</w:t>
      </w:r>
    </w:p>
    <w:p w:rsidR="00623662" w:rsidRDefault="00623662" w:rsidP="00623662">
      <w:pPr>
        <w:pStyle w:val="Prrafodelista1"/>
        <w:spacing w:before="120" w:after="0" w:line="240" w:lineRule="auto"/>
        <w:ind w:left="68"/>
        <w:jc w:val="both"/>
        <w:rPr>
          <w:rFonts w:ascii="Times New Roman" w:hAnsi="Times New Roman" w:cs="Times New Roman"/>
          <w:sz w:val="24"/>
          <w:szCs w:val="24"/>
        </w:rPr>
      </w:pPr>
      <w:r>
        <w:rPr>
          <w:rFonts w:ascii="Times New Roman" w:hAnsi="Times New Roman" w:cs="Times New Roman"/>
          <w:sz w:val="24"/>
          <w:szCs w:val="24"/>
        </w:rPr>
        <w:t>La Orden Foral 212/2019, de 7 de mayo, inició el procedimiento de elaboración del proyecto de orden foral que fija las condiciones generales que regulan la caza en el Territorio Histórico de Álava, así como los períodos hábiles para la campaña 2019-2020.</w:t>
      </w:r>
    </w:p>
    <w:p w:rsidR="00623662" w:rsidRDefault="00623662" w:rsidP="00623662">
      <w:pPr>
        <w:pStyle w:val="Prrafodelista1"/>
        <w:spacing w:before="120" w:after="0" w:line="240" w:lineRule="auto"/>
        <w:ind w:left="68"/>
        <w:jc w:val="both"/>
        <w:rPr>
          <w:rFonts w:ascii="Times New Roman" w:hAnsi="Times New Roman" w:cs="Times New Roman"/>
          <w:sz w:val="24"/>
          <w:szCs w:val="24"/>
        </w:rPr>
      </w:pPr>
      <w:r>
        <w:rPr>
          <w:rFonts w:ascii="Times New Roman" w:hAnsi="Times New Roman" w:cs="Times New Roman"/>
          <w:sz w:val="24"/>
          <w:szCs w:val="24"/>
        </w:rPr>
        <w:t>La aprobación previa del proyecto fue dispuesta por la Orden Foral 214/2019, de 8 de mayo.</w:t>
      </w:r>
    </w:p>
    <w:p w:rsidR="00623662" w:rsidRDefault="00623662" w:rsidP="00623662">
      <w:pPr>
        <w:pStyle w:val="Prrafodelista1"/>
        <w:spacing w:before="120" w:after="0" w:line="240" w:lineRule="auto"/>
        <w:ind w:left="68"/>
        <w:jc w:val="both"/>
        <w:rPr>
          <w:rFonts w:ascii="Times New Roman" w:hAnsi="Times New Roman" w:cs="Times New Roman"/>
          <w:sz w:val="24"/>
          <w:szCs w:val="24"/>
        </w:rPr>
      </w:pPr>
      <w:r>
        <w:rPr>
          <w:rFonts w:ascii="Times New Roman" w:hAnsi="Times New Roman" w:cs="Times New Roman"/>
          <w:sz w:val="24"/>
          <w:szCs w:val="24"/>
        </w:rPr>
        <w:t>La memoria del Servicio de Secretaría Técnica de Agricultura de 27 de mayo de 2019 da cuenta de que el proyecto fue publicado en la página web de la Diputación Foral de Álava el día 17 de mayo de 2019, dándose audiencia a la ciudadanía sobre su contenido por plazo de ocho días.</w:t>
      </w:r>
    </w:p>
    <w:p w:rsidR="00623662" w:rsidRDefault="00623662" w:rsidP="00623662">
      <w:pPr>
        <w:pStyle w:val="Prrafodelista1"/>
        <w:spacing w:before="120" w:after="0" w:line="240" w:lineRule="auto"/>
        <w:ind w:left="68"/>
        <w:jc w:val="both"/>
        <w:rPr>
          <w:rFonts w:ascii="Times New Roman" w:hAnsi="Times New Roman" w:cs="Times New Roman"/>
          <w:sz w:val="24"/>
          <w:szCs w:val="24"/>
        </w:rPr>
      </w:pPr>
      <w:r>
        <w:rPr>
          <w:rFonts w:ascii="Times New Roman" w:hAnsi="Times New Roman" w:cs="Times New Roman"/>
          <w:sz w:val="24"/>
          <w:szCs w:val="24"/>
        </w:rPr>
        <w:t>Por lo demás, entre la documentación remitida por la Dirección de Agricultura figura el informe de impacto de género del proyecto de 8 de mayo de 2019, de la Secretaría Técnica de Agricultura, que concluye que su normativa «no es pertinente al género»; observaciones sobre la evaluación de impacto de género del proyecto, de 13 de mayo de 2019, del Servicio de Igualdad, Cooperación e Interculturalidad, que suscribe las conclusiones del informe anterior, constata el uso no sexista del lenguaje en la redacción del proyecto y propone la recogida de datos desagregados por sexo de las personas que se dedican a la caza. Figura también el informe de impacto normativo, de 27 de mayo de 2019, de la Secretaría Técnica de Agricultura, que da cuenta de que el día 12 de abril de 2019 se celebró el Consejo Territorial de Caza de Álava previsto en la Norma Foral de Caza, justifica la omisión del trámite de consulta pública previa del proyecto acordada en la mencionada Orden Foral 2012/2019 y, finalmente, concluye que la aprobación del mismo proyecto «no conlleva cargas administrativas adicionales ni tiene impacto alguno en los recursos humanos de la Diputación Foral de Álava».</w:t>
      </w:r>
    </w:p>
    <w:p w:rsidR="00623662" w:rsidRPr="00450A45" w:rsidRDefault="00623662" w:rsidP="00623662">
      <w:pPr>
        <w:spacing w:before="600" w:after="480"/>
        <w:jc w:val="both"/>
        <w:rPr>
          <w:b/>
          <w:sz w:val="22"/>
          <w:szCs w:val="22"/>
          <w:u w:val="single"/>
        </w:rPr>
      </w:pPr>
      <w:r w:rsidRPr="00450A45">
        <w:rPr>
          <w:b/>
          <w:sz w:val="22"/>
          <w:szCs w:val="22"/>
        </w:rPr>
        <w:t>II. CONSIDERACIONES JURÍDICAS</w:t>
      </w:r>
    </w:p>
    <w:p w:rsidR="00623662" w:rsidRDefault="00623662" w:rsidP="00623662">
      <w:pPr>
        <w:spacing w:before="120" w:after="240"/>
        <w:jc w:val="both"/>
        <w:rPr>
          <w:color w:val="000000"/>
          <w:sz w:val="24"/>
          <w:szCs w:val="24"/>
        </w:rPr>
      </w:pPr>
      <w:r>
        <w:rPr>
          <w:b/>
          <w:sz w:val="24"/>
          <w:szCs w:val="24"/>
          <w:u w:val="single"/>
        </w:rPr>
        <w:t>1.</w:t>
      </w:r>
      <w:r>
        <w:rPr>
          <w:b/>
          <w:color w:val="000000"/>
          <w:sz w:val="24"/>
          <w:szCs w:val="24"/>
          <w:u w:val="single"/>
        </w:rPr>
        <w:t>- Competencia de la Comisión Consultiva.</w:t>
      </w:r>
    </w:p>
    <w:p w:rsidR="00623662" w:rsidRPr="006E1BB3" w:rsidRDefault="00623662" w:rsidP="00623662">
      <w:pPr>
        <w:spacing w:before="120" w:after="240"/>
        <w:jc w:val="both"/>
        <w:rPr>
          <w:b/>
          <w:bCs/>
          <w:sz w:val="24"/>
          <w:szCs w:val="24"/>
          <w:u w:val="single"/>
        </w:rPr>
      </w:pPr>
      <w:r>
        <w:rPr>
          <w:color w:val="000000"/>
          <w:sz w:val="24"/>
          <w:szCs w:val="24"/>
        </w:rPr>
        <w:t xml:space="preserve">La competencia de la Comisión Consultiva para emitir el presente dictamen resulta del art. 3.1.b) de su Reglamento Orgánico, aprobado por Decreto Foral 40/1999, del Consejo de Gobierno Foral de 30 marzo, que somete al dictamen preceptivo y no vinculante de esta Comisión «los proyectos de disposiciones reglamentarias que se dicten en ejecución de las Normas Forales que regulen materias de la competencia exclusiva del Territorio </w:t>
      </w:r>
      <w:r w:rsidRPr="006E1BB3">
        <w:rPr>
          <w:sz w:val="24"/>
          <w:szCs w:val="24"/>
        </w:rPr>
        <w:t>Histórico o en ejecución de las Leyes de la Comunidad Autónoma en aquellas materias en que compete al Territorio Histórico el desarrollo reglamentario de las mismas».</w:t>
      </w:r>
    </w:p>
    <w:p w:rsidR="00623662" w:rsidRDefault="00623662" w:rsidP="00623662">
      <w:pPr>
        <w:spacing w:before="120" w:after="240" w:line="360" w:lineRule="auto"/>
        <w:jc w:val="both"/>
        <w:rPr>
          <w:color w:val="000000"/>
          <w:sz w:val="24"/>
          <w:szCs w:val="24"/>
        </w:rPr>
      </w:pPr>
      <w:r>
        <w:rPr>
          <w:b/>
          <w:bCs/>
          <w:color w:val="000000"/>
          <w:sz w:val="24"/>
          <w:szCs w:val="24"/>
          <w:u w:val="single"/>
        </w:rPr>
        <w:lastRenderedPageBreak/>
        <w:t>2.- Sobre los aspectos formales de la norma en proyecto.</w:t>
      </w:r>
    </w:p>
    <w:p w:rsidR="00623662" w:rsidRPr="00A14B23" w:rsidRDefault="00623662" w:rsidP="00623662">
      <w:pPr>
        <w:spacing w:before="120" w:after="240" w:line="360" w:lineRule="auto"/>
        <w:jc w:val="both"/>
        <w:rPr>
          <w:b/>
          <w:color w:val="000000"/>
          <w:sz w:val="24"/>
          <w:szCs w:val="24"/>
        </w:rPr>
      </w:pPr>
      <w:r w:rsidRPr="00A14B23">
        <w:rPr>
          <w:b/>
          <w:color w:val="000000"/>
          <w:sz w:val="24"/>
          <w:szCs w:val="24"/>
        </w:rPr>
        <w:t>a) Competencia.</w:t>
      </w:r>
    </w:p>
    <w:p w:rsidR="00623662" w:rsidRPr="00176433" w:rsidRDefault="00623662" w:rsidP="00623662">
      <w:pPr>
        <w:spacing w:before="120" w:after="240"/>
        <w:jc w:val="both"/>
        <w:rPr>
          <w:sz w:val="24"/>
          <w:szCs w:val="24"/>
        </w:rPr>
      </w:pPr>
      <w:r w:rsidRPr="00176433">
        <w:rPr>
          <w:sz w:val="24"/>
          <w:szCs w:val="24"/>
        </w:rPr>
        <w:t xml:space="preserve">El art. 40 de la </w:t>
      </w:r>
      <w:r w:rsidRPr="00E8298B">
        <w:rPr>
          <w:sz w:val="24"/>
          <w:szCs w:val="24"/>
        </w:rPr>
        <w:t>Norma Foral 52/1992, de 18 diciembre, de Organización, Funcionamiento y Régimen Jurídico de la Diputación Foral de Álava, atribuye</w:t>
      </w:r>
      <w:r w:rsidRPr="00176433">
        <w:rPr>
          <w:sz w:val="24"/>
          <w:szCs w:val="24"/>
        </w:rPr>
        <w:t xml:space="preserve"> a los diputados forales el ejercicio de «la potestad reglamentaria y sancionadora, sin perjuicio de las competencias de los otros órganos de la Diputación en las materias propias de su Departamento y en aquellas para las que se hallen expresamente habilitados».</w:t>
      </w:r>
    </w:p>
    <w:p w:rsidR="00623662" w:rsidRDefault="00623662" w:rsidP="00623662">
      <w:pPr>
        <w:spacing w:before="120" w:after="240"/>
        <w:jc w:val="both"/>
        <w:rPr>
          <w:sz w:val="24"/>
          <w:szCs w:val="24"/>
        </w:rPr>
      </w:pPr>
      <w:r w:rsidRPr="00D07262">
        <w:rPr>
          <w:sz w:val="24"/>
          <w:szCs w:val="24"/>
        </w:rPr>
        <w:t>Más específicamente, el art. 32 de la Norma Foral 8/2004, de 14 de junio, de Caza del Territorio Histórico de Álava, dispone que</w:t>
      </w:r>
    </w:p>
    <w:p w:rsidR="00623662" w:rsidRPr="005D48AF" w:rsidRDefault="00623662" w:rsidP="00623662">
      <w:pPr>
        <w:spacing w:before="120" w:after="240" w:line="360" w:lineRule="auto"/>
        <w:ind w:left="567"/>
        <w:jc w:val="both"/>
        <w:rPr>
          <w:i/>
        </w:rPr>
      </w:pPr>
      <w:r w:rsidRPr="005D48AF">
        <w:rPr>
          <w:i/>
        </w:rPr>
        <w:t>El Departamento competente de la Diputación Foral, oído el Consejo Territorial de Caza, aprobará anualmente la Orden Foral Anual de Caza, reguladora del ejercicio de la caza en el Territorio Histórico, en la que se determinarán, al menos, las especies de interés cinegético y comercializables, las regulaciones, las épocas, días y horas hábiles de caza aplicables a las distintas especies en las diversas zonas, con expresión de las distintas modalidades y capturas permitidas.</w:t>
      </w:r>
    </w:p>
    <w:p w:rsidR="00623662" w:rsidRDefault="00623662" w:rsidP="00623662">
      <w:pPr>
        <w:spacing w:before="120" w:after="240" w:line="360" w:lineRule="auto"/>
        <w:jc w:val="both"/>
        <w:rPr>
          <w:color w:val="000000"/>
          <w:sz w:val="24"/>
          <w:szCs w:val="24"/>
        </w:rPr>
      </w:pPr>
      <w:r>
        <w:rPr>
          <w:b/>
          <w:bCs/>
          <w:color w:val="000000"/>
          <w:sz w:val="24"/>
          <w:szCs w:val="24"/>
        </w:rPr>
        <w:t>b) Principios de buena regulación.</w:t>
      </w:r>
    </w:p>
    <w:p w:rsidR="00623662" w:rsidRDefault="00623662" w:rsidP="00623662">
      <w:pPr>
        <w:spacing w:before="120" w:after="240"/>
        <w:jc w:val="both"/>
        <w:rPr>
          <w:color w:val="000000"/>
          <w:sz w:val="24"/>
          <w:szCs w:val="24"/>
        </w:rPr>
      </w:pPr>
      <w:r>
        <w:rPr>
          <w:color w:val="000000"/>
          <w:sz w:val="24"/>
          <w:szCs w:val="24"/>
        </w:rPr>
        <w:t>De acuerdo con lo establecido en el art. 16.2.e) del Decreto Foral 29/2017, la exposición de motivos del proyecto menciona que en su tramitación se han observado los principios de buena regulación previstos en el art. 3 del mismo DF 29/2017, según el cual, «En ejercicio de la iniciativa normativa y la potestad reglamentaria, la Diputación Foral de Álava actuará de acuerdo con los principios de necesidad, eficacia, proporcionalidad, seguridad jurídica, transparencia y eficiencia», pero sin justificar el cumplimiento de los principios de seguridad jurídica, transparencia y eficiencia, por lo que deberá integrarse en este punto la exposición de motivos del proyecto.</w:t>
      </w:r>
    </w:p>
    <w:p w:rsidR="00623662" w:rsidRPr="009C6CD7" w:rsidRDefault="00623662" w:rsidP="00623662">
      <w:pPr>
        <w:spacing w:before="120" w:after="240" w:line="360" w:lineRule="auto"/>
        <w:jc w:val="both"/>
        <w:rPr>
          <w:b/>
          <w:color w:val="000000"/>
          <w:sz w:val="24"/>
          <w:szCs w:val="24"/>
        </w:rPr>
      </w:pPr>
      <w:r w:rsidRPr="009C6CD7">
        <w:rPr>
          <w:b/>
          <w:color w:val="000000"/>
          <w:sz w:val="24"/>
          <w:szCs w:val="24"/>
        </w:rPr>
        <w:t>c) Procedimiento.</w:t>
      </w:r>
    </w:p>
    <w:p w:rsidR="00623662" w:rsidRDefault="00623662" w:rsidP="00623662">
      <w:pPr>
        <w:spacing w:before="120" w:after="240"/>
        <w:jc w:val="both"/>
        <w:rPr>
          <w:color w:val="000000"/>
          <w:sz w:val="24"/>
          <w:szCs w:val="24"/>
        </w:rPr>
      </w:pPr>
      <w:r>
        <w:rPr>
          <w:color w:val="000000"/>
          <w:sz w:val="24"/>
          <w:szCs w:val="24"/>
        </w:rPr>
        <w:t>Por segundo año consecutivo la iniciativa que se somete al dictamen de esta Comisión Consultiva no ha sido incluida en el Plan Anual Normativo de la Diputación Foral de Álava correspondiente al ejercicio 2019, previsto por el art. 4.1 del Decreto Foral 29/2017 y aprobado por el Acuerdo 15/2019, de 22 de enero, del Consejo de Gobierno Foral, siendo así que estamos ante una norma anual y, por lo mismo, previsible.</w:t>
      </w:r>
    </w:p>
    <w:p w:rsidR="00623662" w:rsidRDefault="00623662" w:rsidP="00623662">
      <w:pPr>
        <w:spacing w:before="120" w:after="240"/>
        <w:jc w:val="both"/>
        <w:rPr>
          <w:color w:val="000000"/>
          <w:sz w:val="24"/>
          <w:szCs w:val="24"/>
        </w:rPr>
      </w:pPr>
      <w:r>
        <w:rPr>
          <w:color w:val="000000"/>
          <w:sz w:val="24"/>
          <w:szCs w:val="24"/>
        </w:rPr>
        <w:t xml:space="preserve">Sin perjuicio de lo anterior, y a pesar de que la Orden Foral 212/2019 omite cualquier mención de esta circunstancia, debemos entender que esta resolución, en la medida en que expresa en su parte dispositiva el carácter preceptivo de la orden foral de vedas que deriva de los arts. 31 </w:t>
      </w:r>
      <w:proofErr w:type="gramStart"/>
      <w:r>
        <w:rPr>
          <w:color w:val="000000"/>
          <w:sz w:val="24"/>
          <w:szCs w:val="24"/>
        </w:rPr>
        <w:t>de</w:t>
      </w:r>
      <w:proofErr w:type="gramEnd"/>
      <w:r>
        <w:rPr>
          <w:color w:val="000000"/>
          <w:sz w:val="24"/>
          <w:szCs w:val="24"/>
        </w:rPr>
        <w:t xml:space="preserve"> la Ley 2/2011, de 17 de marzo, de caza del País Vasco y 32 de la Norma Foral 8/2004, de 14 de junio, de Caza del Territorio Histórico de Álava, viene a justificar la necesidad de la regulación, tal y como exige el art. 4.2 del Decreto Foral 29/2017 cuando se propone la aprobación de una propuesta normativa que no figure en el Plan Anual Normativo.</w:t>
      </w:r>
    </w:p>
    <w:p w:rsidR="00623662" w:rsidRDefault="00623662" w:rsidP="00623662">
      <w:pPr>
        <w:spacing w:before="120" w:after="240"/>
        <w:jc w:val="both"/>
        <w:rPr>
          <w:color w:val="000000"/>
          <w:sz w:val="24"/>
          <w:szCs w:val="24"/>
        </w:rPr>
      </w:pPr>
      <w:r>
        <w:rPr>
          <w:color w:val="000000"/>
          <w:sz w:val="24"/>
          <w:szCs w:val="24"/>
        </w:rPr>
        <w:lastRenderedPageBreak/>
        <w:t>Se ha omitido el trámite de consulta pública previa, omisión que la Orden Foral 212/2019, iniciadora del procedimiento, trata de justificar en que la norma proyectada modifica aspectos «no sustanciales» de la caza respecto de los regulados en la orden foral de vedas aprobada para el período 2018-2019 y en que el proyecto ha sido examinado por el Consejo Territorial de Caza con asistencia de representantes de los sectores que pueden resultar interesados en la materia. Pues bien, en relación con esta cuestión –además de que la orden foral de vedas en ningún caso modifica la regulación contendida en la orden de vedas reguladora de la campaña anterior</w:t>
      </w:r>
      <w:r>
        <w:rPr>
          <w:color w:val="000000"/>
          <w:sz w:val="24"/>
          <w:szCs w:val="24"/>
        </w:rPr>
        <w:noBreakHyphen/>
        <w:t xml:space="preserve"> esta Comisión entiende que el examen previo del proyecto por parte de un órgano consultivo como es el Consejo Territorial de Caza, que integra representantes de diversos sectores afectados por la actividad cinegética, no exime de un trámite, como el de consulta pública previa (art. 9 Decreto Foral 29/2017), que tiene por objeto recabar en relación con el proyecto la opinión de la ciudadanía en su conjunto y con independencia de su integración en organizaciones representativas de los sectores interesados en el proyecto. Es por ello que entendemos que no estamos ante ninguno de los supuestos de exención previstos en el art. 10 DF 29/2017, razón por la cual la omisión del trámite de consulta pública infringe el art. 9 del mismo Decreto Foral 29/2017.</w:t>
      </w:r>
    </w:p>
    <w:p w:rsidR="00623662" w:rsidRDefault="00623662" w:rsidP="00623662">
      <w:pPr>
        <w:spacing w:before="120" w:after="240"/>
        <w:jc w:val="both"/>
        <w:rPr>
          <w:color w:val="000000"/>
          <w:sz w:val="24"/>
          <w:szCs w:val="24"/>
        </w:rPr>
      </w:pPr>
      <w:r>
        <w:rPr>
          <w:color w:val="000000"/>
          <w:sz w:val="24"/>
          <w:szCs w:val="24"/>
        </w:rPr>
        <w:t>Por otra parte, la memoria del Servicio de Secretaría Técnica de Agricultura de 27 de mayo de 2019 da cuenta de que se ha dado audiencia a la ciudadanía sobre el contenido del proyecto por plazo de ocho días desde su publicación en la página web de la Diputación Foral de Álava, no habiéndose formulado alegaciones durante el mismo.</w:t>
      </w:r>
    </w:p>
    <w:p w:rsidR="00623662" w:rsidRDefault="00623662" w:rsidP="00623662">
      <w:pPr>
        <w:spacing w:before="120" w:after="240"/>
        <w:jc w:val="both"/>
        <w:rPr>
          <w:color w:val="000000"/>
          <w:sz w:val="24"/>
          <w:szCs w:val="24"/>
        </w:rPr>
      </w:pPr>
      <w:r>
        <w:rPr>
          <w:color w:val="000000"/>
          <w:sz w:val="24"/>
          <w:szCs w:val="24"/>
        </w:rPr>
        <w:t>En relación con esta cuestión debe decirse que la reducción del plazo de información pública de quince a ocho días, que la Orden Foral 201/2019 pretende justificar en la decisión de tramitar el proyecto de forma urgente no se ajusta a lo previsto en el art. 13 del DF 29/2017. En primer lugar porque el art. 17 DF 29/2017 reserva al Consejo de Gobierno Foral la decisión sobre la tramitación urgente de las disposiciones de carácter general, y, en segundo lugar, porque resulta difícil de justificar razones de urgencia para una disposición tan previsible como la orden foral anual de vedas.</w:t>
      </w:r>
    </w:p>
    <w:p w:rsidR="00623662" w:rsidRDefault="00623662" w:rsidP="00623662">
      <w:pPr>
        <w:spacing w:before="120" w:after="240"/>
        <w:jc w:val="both"/>
        <w:rPr>
          <w:color w:val="000000"/>
          <w:sz w:val="24"/>
          <w:szCs w:val="24"/>
        </w:rPr>
      </w:pPr>
      <w:r>
        <w:rPr>
          <w:color w:val="000000"/>
          <w:sz w:val="24"/>
          <w:szCs w:val="24"/>
        </w:rPr>
        <w:t>Como se ha dicho ya, figuran en el expediente los informes de impacto normativo y de evaluación previa del impacto en función del género, respectivamente de 27 y de 8 de mayo de 2019, de la Secretaría Técnica de Agricultura, y las observaciones favorables del Servicio de Igualdad, de 13 de mayo de 2019, documentos todos ellos previstos en el art. 14 del Decreto Foral 29/2017.</w:t>
      </w:r>
    </w:p>
    <w:p w:rsidR="00623662" w:rsidRDefault="00623662" w:rsidP="00623662">
      <w:pPr>
        <w:spacing w:before="120" w:after="240"/>
        <w:jc w:val="both"/>
        <w:rPr>
          <w:color w:val="000000"/>
          <w:sz w:val="24"/>
          <w:szCs w:val="24"/>
        </w:rPr>
      </w:pPr>
      <w:r>
        <w:rPr>
          <w:color w:val="000000"/>
          <w:sz w:val="24"/>
          <w:szCs w:val="24"/>
        </w:rPr>
        <w:t>Por lo demás, en la elaboración del proyecto se ha seguido el procedimiento establecido en el Decreto Foral 29/2017 de continua referencia.</w:t>
      </w:r>
    </w:p>
    <w:p w:rsidR="00623662" w:rsidRDefault="00623662" w:rsidP="00623662">
      <w:pPr>
        <w:spacing w:before="120" w:after="240" w:line="360" w:lineRule="auto"/>
        <w:jc w:val="both"/>
        <w:rPr>
          <w:sz w:val="24"/>
          <w:szCs w:val="24"/>
        </w:rPr>
      </w:pPr>
      <w:r>
        <w:rPr>
          <w:b/>
          <w:sz w:val="24"/>
          <w:szCs w:val="24"/>
          <w:u w:val="single"/>
        </w:rPr>
        <w:t>3.- Títulos competenciales actuados por la norma reglamentaria en proyecto.</w:t>
      </w:r>
    </w:p>
    <w:p w:rsidR="00623662" w:rsidRDefault="00623662" w:rsidP="00623662">
      <w:pPr>
        <w:spacing w:before="120" w:after="240"/>
        <w:jc w:val="both"/>
        <w:rPr>
          <w:sz w:val="24"/>
          <w:szCs w:val="24"/>
        </w:rPr>
      </w:pPr>
      <w:r>
        <w:rPr>
          <w:sz w:val="24"/>
          <w:szCs w:val="24"/>
        </w:rPr>
        <w:t>El proyecto objeto de dictamen, al igual que la Norma Foral habilitante, esto es, la Norma Foral 8/2004, de 14 de junio, de Caza del Territorio Histórico de Álava, actúa la competencia del Territorio Histórico de Álava para «el desarrollo y la ejecución de las normas emanadas de las Instituciones Comunes» de la CAPV en materia de «régimen de aprovechamiento de la riqueza piscícola continental y cinegética» (art. 7.b].3 de la Ley de Territorios Históricos).</w:t>
      </w:r>
    </w:p>
    <w:p w:rsidR="00623662" w:rsidRDefault="00623662" w:rsidP="00623662">
      <w:pPr>
        <w:spacing w:before="120" w:after="240"/>
        <w:jc w:val="both"/>
        <w:rPr>
          <w:b/>
          <w:sz w:val="24"/>
          <w:szCs w:val="24"/>
          <w:u w:val="single"/>
        </w:rPr>
      </w:pPr>
    </w:p>
    <w:p w:rsidR="00623662" w:rsidRDefault="00623662" w:rsidP="00623662">
      <w:pPr>
        <w:spacing w:before="120" w:after="240" w:line="360" w:lineRule="auto"/>
        <w:jc w:val="both"/>
        <w:rPr>
          <w:sz w:val="24"/>
          <w:szCs w:val="24"/>
        </w:rPr>
      </w:pPr>
      <w:r>
        <w:rPr>
          <w:b/>
          <w:sz w:val="24"/>
          <w:szCs w:val="24"/>
          <w:u w:val="single"/>
        </w:rPr>
        <w:lastRenderedPageBreak/>
        <w:t>4.- Contenido del proyecto.</w:t>
      </w:r>
    </w:p>
    <w:p w:rsidR="00623662" w:rsidRDefault="00623662" w:rsidP="00623662">
      <w:pPr>
        <w:spacing w:before="120" w:after="240"/>
        <w:jc w:val="both"/>
        <w:rPr>
          <w:sz w:val="24"/>
          <w:szCs w:val="24"/>
        </w:rPr>
      </w:pPr>
      <w:r>
        <w:rPr>
          <w:sz w:val="24"/>
          <w:szCs w:val="24"/>
        </w:rPr>
        <w:t>El proyecto de norma reglamentaria está integrado por cuatro artículos.</w:t>
      </w:r>
    </w:p>
    <w:p w:rsidR="00623662" w:rsidRDefault="00623662" w:rsidP="00623662">
      <w:pPr>
        <w:spacing w:before="120" w:after="240"/>
        <w:jc w:val="both"/>
        <w:rPr>
          <w:sz w:val="24"/>
          <w:szCs w:val="24"/>
        </w:rPr>
      </w:pPr>
      <w:r>
        <w:rPr>
          <w:sz w:val="24"/>
          <w:szCs w:val="24"/>
        </w:rPr>
        <w:t>El artículo primero aprueba la normativa que regula el ejercicio de la caza en el Territorio Histórico de Álava para la campaña 2019-2020, normativa articulada en seis anexos integrantes del proyecto y que presentan el siguiente contenido:</w:t>
      </w:r>
    </w:p>
    <w:p w:rsidR="00623662" w:rsidRDefault="00623662" w:rsidP="00623662">
      <w:pPr>
        <w:pStyle w:val="Prrafodelista1"/>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Anexo I, que contiene la «Normativa que fija las condiciones generales que regulan la caza en el Territorio Histórico de Álava», integrado por 18 artículos sobre Terrenos cinegéticos. Días y horarios hábiles (art. 1), Media Veda (art. 2) Caza Menor (art. 3), Caza Mayor (art. 4), Normativa que regula las batidas en caza mayor (art. 5), Normativa que regula los recechos de caza mayor (art. 6), Protección general de la fauna cinegética (art. 7), Medios autorizados (art. 8), Prohibiciones (art. 9), Campeonatos (art. 10), Medidas preventivas y de control por daños a la agricultura (art. 11) Medidas circunstanciales (art. 12), Medidas sanitarias (art. 13), Medidas de ordenación (art. 14), Tarjetas de caza (art. 15), Medidas de seguridad y protección (art. 16), Comercialización (art. 17) e Infracciones (art. 18).</w:t>
      </w:r>
    </w:p>
    <w:p w:rsidR="00623662" w:rsidRDefault="00623662" w:rsidP="00623662">
      <w:pPr>
        <w:pStyle w:val="Prrafodelista1"/>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Anexo II, que contiene la «Normativa que establece las condiciones específicas de caza en pasos tradicionales, de palomas migratorias y zorzales (malvices) en el Territorio Histórico de Álava», integrado por dos artículos, el primero de los cuales regula el Periodo hábil y horarios y el segundo las Normas específicas.</w:t>
      </w:r>
    </w:p>
    <w:p w:rsidR="00623662" w:rsidRDefault="00623662" w:rsidP="00623662">
      <w:pPr>
        <w:pStyle w:val="Prrafodelista1"/>
        <w:spacing w:before="120" w:after="120" w:line="240" w:lineRule="auto"/>
        <w:jc w:val="both"/>
        <w:rPr>
          <w:rFonts w:ascii="Times New Roman" w:hAnsi="Times New Roman" w:cs="Times New Roman"/>
          <w:sz w:val="24"/>
          <w:szCs w:val="24"/>
        </w:rPr>
      </w:pPr>
    </w:p>
    <w:p w:rsidR="00623662" w:rsidRDefault="00623662" w:rsidP="00623662">
      <w:pPr>
        <w:pStyle w:val="Prrafodelista1"/>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Anexo III, que contiene la «Normativa que establece las condiciones específicas de la caza del jabalí», en cinco artículos que regulan los Períodos hábiles (art. 1), Días y horarios hábiles (art. 2), Piezas y objetos de caza (art. 3), Normas de disparo (art. 4) y Modalidades de caza (art. 5).</w:t>
      </w:r>
    </w:p>
    <w:p w:rsidR="00623662" w:rsidRDefault="00623662" w:rsidP="00623662">
      <w:pPr>
        <w:pStyle w:val="Prrafodelista1"/>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Anexo IV, con la «Normativa que establece las condiciones específicas de la caza del ciervo (</w:t>
      </w:r>
      <w:proofErr w:type="spellStart"/>
      <w:r w:rsidRPr="00103C4B">
        <w:rPr>
          <w:rFonts w:ascii="Times New Roman" w:hAnsi="Times New Roman" w:cs="Times New Roman"/>
          <w:i/>
          <w:sz w:val="24"/>
          <w:szCs w:val="24"/>
        </w:rPr>
        <w:t>Cervus</w:t>
      </w:r>
      <w:proofErr w:type="spellEnd"/>
      <w:r w:rsidRPr="00103C4B">
        <w:rPr>
          <w:rFonts w:ascii="Times New Roman" w:hAnsi="Times New Roman" w:cs="Times New Roman"/>
          <w:i/>
          <w:sz w:val="24"/>
          <w:szCs w:val="24"/>
        </w:rPr>
        <w:t xml:space="preserve"> </w:t>
      </w:r>
      <w:proofErr w:type="spellStart"/>
      <w:r w:rsidRPr="00103C4B">
        <w:rPr>
          <w:rFonts w:ascii="Times New Roman" w:hAnsi="Times New Roman" w:cs="Times New Roman"/>
          <w:i/>
          <w:sz w:val="24"/>
          <w:szCs w:val="24"/>
        </w:rPr>
        <w:t>elaphus</w:t>
      </w:r>
      <w:proofErr w:type="spellEnd"/>
      <w:r>
        <w:rPr>
          <w:rFonts w:ascii="Times New Roman" w:hAnsi="Times New Roman" w:cs="Times New Roman"/>
          <w:sz w:val="24"/>
          <w:szCs w:val="24"/>
        </w:rPr>
        <w:t xml:space="preserve">)», desarrollada en 9 artículos sobre </w:t>
      </w:r>
      <w:proofErr w:type="spellStart"/>
      <w:r>
        <w:rPr>
          <w:rFonts w:ascii="Times New Roman" w:hAnsi="Times New Roman" w:cs="Times New Roman"/>
          <w:sz w:val="24"/>
          <w:szCs w:val="24"/>
        </w:rPr>
        <w:t>Ambito</w:t>
      </w:r>
      <w:proofErr w:type="spellEnd"/>
      <w:r>
        <w:rPr>
          <w:rFonts w:ascii="Times New Roman" w:hAnsi="Times New Roman" w:cs="Times New Roman"/>
          <w:sz w:val="24"/>
          <w:szCs w:val="24"/>
        </w:rPr>
        <w:t xml:space="preserve"> (art. 1), Período hábil (art. 2), Piezas objeto de caza (art. 3), Normas de disparo (art. 4), Cupos y ejemplares (art. 5), Modalidades de caza (art. 6), Comunicación de capturas (art. 7), Inspección de las capturas (art. 8) y Modificación (art. 9).</w:t>
      </w:r>
    </w:p>
    <w:p w:rsidR="00623662" w:rsidRDefault="00623662" w:rsidP="00623662">
      <w:pPr>
        <w:pStyle w:val="Prrafodelista1"/>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Anexo V, sobre «Normativa que establece las condiciones específicas de la caza del corzo (</w:t>
      </w:r>
      <w:proofErr w:type="spellStart"/>
      <w:r>
        <w:rPr>
          <w:rFonts w:ascii="Times New Roman" w:hAnsi="Times New Roman" w:cs="Times New Roman"/>
          <w:i/>
          <w:sz w:val="24"/>
          <w:szCs w:val="24"/>
        </w:rPr>
        <w:t>Capreolus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capreolus</w:t>
      </w:r>
      <w:proofErr w:type="spellEnd"/>
      <w:r>
        <w:rPr>
          <w:rFonts w:ascii="Times New Roman" w:hAnsi="Times New Roman" w:cs="Times New Roman"/>
          <w:sz w:val="24"/>
          <w:szCs w:val="24"/>
        </w:rPr>
        <w:t>)», que cuenta con seis artículos sobre Piezas objeto de caza (art. 1), Distribución de permisos para la caza del corzo en cualquiera de sus modalidades (art. 2), Modalidades de caza (art. 4), Normativa complementaria específica para la caza en la modalidad de rececho (art. 5), Normativa complementaria específica para la caza en la modalidad de batida (art. 6) y Ficha biométrica (art. 7).</w:t>
      </w:r>
    </w:p>
    <w:p w:rsidR="00623662" w:rsidRDefault="00623662" w:rsidP="00623662">
      <w:pPr>
        <w:pStyle w:val="Prrafodelista1"/>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Anexo VI, que contiene la «Normativa reguladora del aprovechamiento cinegético de la caza de becada (art. 1), jabalí y ciervas (art. 2) en el Coto Social de </w:t>
      </w:r>
      <w:proofErr w:type="spellStart"/>
      <w:r>
        <w:rPr>
          <w:rFonts w:ascii="Times New Roman" w:hAnsi="Times New Roman" w:cs="Times New Roman"/>
          <w:sz w:val="24"/>
          <w:szCs w:val="24"/>
        </w:rPr>
        <w:t>Kuartango</w:t>
      </w:r>
      <w:proofErr w:type="spellEnd"/>
      <w:r>
        <w:rPr>
          <w:rFonts w:ascii="Times New Roman" w:hAnsi="Times New Roman" w:cs="Times New Roman"/>
          <w:sz w:val="24"/>
          <w:szCs w:val="24"/>
        </w:rPr>
        <w:t>».</w:t>
      </w:r>
    </w:p>
    <w:p w:rsidR="00623662" w:rsidRDefault="00623662" w:rsidP="00623662">
      <w:pPr>
        <w:pStyle w:val="Prrafodelista1"/>
        <w:spacing w:before="120" w:after="120" w:line="240" w:lineRule="auto"/>
        <w:ind w:left="0"/>
        <w:jc w:val="both"/>
        <w:rPr>
          <w:rFonts w:ascii="Times New Roman" w:hAnsi="Times New Roman" w:cs="Times New Roman"/>
          <w:sz w:val="24"/>
          <w:szCs w:val="24"/>
        </w:rPr>
      </w:pPr>
      <w:r>
        <w:rPr>
          <w:rFonts w:ascii="Times New Roman" w:hAnsi="Times New Roman" w:cs="Times New Roman"/>
          <w:sz w:val="24"/>
          <w:szCs w:val="24"/>
        </w:rPr>
        <w:t>El artículo segundo establece los períodos hábiles de caza para la campaña 2019-2020.</w:t>
      </w:r>
    </w:p>
    <w:p w:rsidR="00623662" w:rsidRDefault="00623662" w:rsidP="00623662">
      <w:pPr>
        <w:pStyle w:val="Prrafodelista1"/>
        <w:spacing w:before="120"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El artículo tercero faculta al Departamento de Agricultura para modificar cualquier aspecto de la normativa cuya aprobación se propone cuando lo justifiquen las </w:t>
      </w:r>
      <w:r>
        <w:rPr>
          <w:rFonts w:ascii="Times New Roman" w:hAnsi="Times New Roman" w:cs="Times New Roman"/>
          <w:sz w:val="24"/>
          <w:szCs w:val="24"/>
        </w:rPr>
        <w:lastRenderedPageBreak/>
        <w:t>«circunstancias climáticas, biológicas u otras relacionadas con la conservación del Patrimonio Natural o para la defensa de los intereses generales o del medio natural».</w:t>
      </w:r>
    </w:p>
    <w:p w:rsidR="00623662" w:rsidRDefault="00623662" w:rsidP="00623662">
      <w:pPr>
        <w:pStyle w:val="Prrafodelista1"/>
        <w:spacing w:before="120" w:after="120" w:line="240" w:lineRule="auto"/>
        <w:ind w:left="0"/>
        <w:jc w:val="both"/>
        <w:rPr>
          <w:rFonts w:ascii="Times New Roman" w:hAnsi="Times New Roman" w:cs="Times New Roman"/>
          <w:sz w:val="24"/>
          <w:szCs w:val="24"/>
        </w:rPr>
      </w:pPr>
      <w:r>
        <w:rPr>
          <w:rFonts w:ascii="Times New Roman" w:hAnsi="Times New Roman" w:cs="Times New Roman"/>
          <w:sz w:val="24"/>
          <w:szCs w:val="24"/>
        </w:rPr>
        <w:t>El artículo cuarto establece que la norma en proyecto entrará en vigor el día siguiente al de su publicación en el BOTHA.</w:t>
      </w:r>
    </w:p>
    <w:p w:rsidR="00623662" w:rsidRDefault="00623662" w:rsidP="00623662">
      <w:pPr>
        <w:pStyle w:val="Prrafodelista1"/>
        <w:spacing w:before="120" w:after="120" w:line="240" w:lineRule="auto"/>
        <w:ind w:left="0"/>
        <w:jc w:val="both"/>
        <w:rPr>
          <w:rFonts w:ascii="Times New Roman" w:hAnsi="Times New Roman" w:cs="Times New Roman"/>
          <w:sz w:val="24"/>
          <w:szCs w:val="24"/>
        </w:rPr>
      </w:pPr>
    </w:p>
    <w:p w:rsidR="00623662" w:rsidRPr="004809BF" w:rsidRDefault="00623662" w:rsidP="00623662">
      <w:pPr>
        <w:spacing w:before="120" w:after="240" w:line="360" w:lineRule="auto"/>
        <w:jc w:val="both"/>
        <w:rPr>
          <w:b/>
          <w:sz w:val="24"/>
          <w:szCs w:val="24"/>
          <w:u w:val="single"/>
        </w:rPr>
      </w:pPr>
      <w:r>
        <w:rPr>
          <w:b/>
          <w:sz w:val="24"/>
          <w:szCs w:val="24"/>
          <w:u w:val="single"/>
        </w:rPr>
        <w:t>5</w:t>
      </w:r>
      <w:r w:rsidRPr="004809BF">
        <w:rPr>
          <w:b/>
          <w:sz w:val="24"/>
          <w:szCs w:val="24"/>
          <w:u w:val="single"/>
        </w:rPr>
        <w:t xml:space="preserve">.- </w:t>
      </w:r>
      <w:r>
        <w:rPr>
          <w:b/>
          <w:sz w:val="24"/>
          <w:szCs w:val="24"/>
          <w:u w:val="single"/>
        </w:rPr>
        <w:t>Análisis del proyecto</w:t>
      </w:r>
      <w:r w:rsidRPr="004809BF">
        <w:rPr>
          <w:b/>
          <w:sz w:val="24"/>
          <w:szCs w:val="24"/>
          <w:u w:val="single"/>
        </w:rPr>
        <w:t>.</w:t>
      </w:r>
    </w:p>
    <w:p w:rsidR="00623662" w:rsidRPr="0070324D" w:rsidRDefault="00623662" w:rsidP="00623662">
      <w:pPr>
        <w:spacing w:before="120" w:after="240"/>
        <w:jc w:val="both"/>
        <w:rPr>
          <w:sz w:val="24"/>
          <w:szCs w:val="24"/>
        </w:rPr>
      </w:pPr>
      <w:r>
        <w:rPr>
          <w:sz w:val="24"/>
          <w:szCs w:val="24"/>
        </w:rPr>
        <w:t xml:space="preserve">1. En relación con este instrumento fundamental en la ordenación de la actividad cinegética en el Territorio Histórico de Álava que es la </w:t>
      </w:r>
      <w:r w:rsidRPr="00183FD7">
        <w:rPr>
          <w:i/>
          <w:sz w:val="24"/>
          <w:szCs w:val="24"/>
        </w:rPr>
        <w:t>orden foral anual de caza</w:t>
      </w:r>
      <w:r>
        <w:rPr>
          <w:sz w:val="24"/>
          <w:szCs w:val="24"/>
        </w:rPr>
        <w:t xml:space="preserve"> o </w:t>
      </w:r>
      <w:r w:rsidRPr="00183FD7">
        <w:rPr>
          <w:i/>
          <w:sz w:val="24"/>
          <w:szCs w:val="24"/>
        </w:rPr>
        <w:t>de vedas</w:t>
      </w:r>
      <w:r>
        <w:rPr>
          <w:sz w:val="24"/>
          <w:szCs w:val="24"/>
        </w:rPr>
        <w:t xml:space="preserve">, además de lo dispuesto en el anteriormente transcrito art. 32 de la Norma Foral 8/2008, de Caza, </w:t>
      </w:r>
      <w:r w:rsidRPr="0070324D">
        <w:rPr>
          <w:sz w:val="24"/>
          <w:szCs w:val="24"/>
        </w:rPr>
        <w:t>el art. 31 de la Ley 2/2011, de 17 de m</w:t>
      </w:r>
      <w:r>
        <w:rPr>
          <w:sz w:val="24"/>
          <w:szCs w:val="24"/>
        </w:rPr>
        <w:t>arzo, de C</w:t>
      </w:r>
      <w:r w:rsidRPr="0070324D">
        <w:rPr>
          <w:sz w:val="24"/>
          <w:szCs w:val="24"/>
        </w:rPr>
        <w:t>aza</w:t>
      </w:r>
      <w:r>
        <w:rPr>
          <w:sz w:val="24"/>
          <w:szCs w:val="24"/>
        </w:rPr>
        <w:t xml:space="preserve"> del País Vasco</w:t>
      </w:r>
      <w:r w:rsidRPr="0070324D">
        <w:rPr>
          <w:sz w:val="24"/>
          <w:szCs w:val="24"/>
        </w:rPr>
        <w:t xml:space="preserve">, </w:t>
      </w:r>
      <w:r>
        <w:rPr>
          <w:sz w:val="24"/>
          <w:szCs w:val="24"/>
        </w:rPr>
        <w:t xml:space="preserve">establece </w:t>
      </w:r>
      <w:r w:rsidRPr="0070324D">
        <w:rPr>
          <w:sz w:val="24"/>
          <w:szCs w:val="24"/>
        </w:rPr>
        <w:t>lo siguiente:</w:t>
      </w:r>
    </w:p>
    <w:p w:rsidR="00623662" w:rsidRPr="00146C06" w:rsidRDefault="00623662" w:rsidP="00623662">
      <w:pPr>
        <w:autoSpaceDE w:val="0"/>
        <w:autoSpaceDN w:val="0"/>
        <w:adjustRightInd w:val="0"/>
        <w:spacing w:before="120" w:after="240" w:line="360" w:lineRule="auto"/>
        <w:ind w:left="567"/>
        <w:jc w:val="both"/>
        <w:rPr>
          <w:rFonts w:eastAsia="Arial Unicode MS"/>
          <w:i/>
          <w:color w:val="000000"/>
          <w:sz w:val="22"/>
          <w:szCs w:val="22"/>
        </w:rPr>
      </w:pPr>
      <w:r w:rsidRPr="0070324D">
        <w:rPr>
          <w:rFonts w:eastAsia="Arial Unicode MS"/>
          <w:color w:val="000000"/>
        </w:rPr>
        <w:t xml:space="preserve">1. </w:t>
      </w:r>
      <w:r w:rsidRPr="00146C06">
        <w:rPr>
          <w:rFonts w:eastAsia="Arial Unicode MS"/>
          <w:i/>
          <w:color w:val="000000"/>
          <w:sz w:val="22"/>
          <w:szCs w:val="22"/>
        </w:rPr>
        <w:t xml:space="preserve">Las diputaciones forales dictarán anualmente una orden foral de vedas, que tendrá necesariamente, como mínimo, el siguiente contenido: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Los días hábiles para el ejercicio de la caza.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Los horarios hábiles para el ejercicio de la caza.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Las especies cuya caza se autoriza, con diferenciación entre las especies de caza mayor y menor, y dentro de ésta en listas diferenciadas las aves migratorias y las acuáticas.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Las especies cinegéticas cuya comercialización se autoriza.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La regulación específica para cada especie cinegética que se determine en la orden, que garantizará, en todo caso, la viabilidad de sus poblaciones y su pervivencia en el territorio foral de que se trate.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Las modalidades de caza que requieran un permiso especial, y en particular la que regule la caza mayor en cuanto a los artículos 49 y 50 de esta ley.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Las normas específicas de protección a la fauna que se consideren necesarias para esa temporada de caza. </w:t>
      </w:r>
    </w:p>
    <w:p w:rsidR="00623662" w:rsidRPr="0070324D" w:rsidRDefault="00623662" w:rsidP="00623662">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70324D">
        <w:rPr>
          <w:rFonts w:ascii="Times New Roman" w:eastAsia="Arial Unicode MS" w:hAnsi="Times New Roman"/>
          <w:color w:val="000000"/>
          <w:lang w:eastAsia="es-ES"/>
        </w:rPr>
        <w:t xml:space="preserve">La actualización de las cuantías de las sanciones conforme a las variaciones del índice de precios al consumo de la Comunidad Autónoma del País Vasco. </w:t>
      </w:r>
    </w:p>
    <w:p w:rsidR="00623662" w:rsidRPr="00146C06" w:rsidRDefault="00623662" w:rsidP="00623662">
      <w:pPr>
        <w:autoSpaceDE w:val="0"/>
        <w:autoSpaceDN w:val="0"/>
        <w:adjustRightInd w:val="0"/>
        <w:spacing w:before="120" w:after="240" w:line="360" w:lineRule="auto"/>
        <w:ind w:left="567"/>
        <w:jc w:val="both"/>
        <w:rPr>
          <w:rFonts w:eastAsia="Arial Unicode MS"/>
          <w:i/>
          <w:color w:val="000000"/>
          <w:sz w:val="22"/>
          <w:szCs w:val="22"/>
        </w:rPr>
      </w:pPr>
      <w:r w:rsidRPr="00246C1A">
        <w:rPr>
          <w:rFonts w:eastAsia="Arial Unicode MS"/>
          <w:color w:val="000000"/>
        </w:rPr>
        <w:t>2</w:t>
      </w:r>
      <w:r w:rsidRPr="00146C06">
        <w:rPr>
          <w:rFonts w:eastAsia="Arial Unicode MS"/>
          <w:color w:val="000000"/>
          <w:sz w:val="22"/>
          <w:szCs w:val="22"/>
        </w:rPr>
        <w:t xml:space="preserve">. </w:t>
      </w:r>
      <w:r w:rsidRPr="00146C06">
        <w:rPr>
          <w:rFonts w:eastAsia="Arial Unicode MS"/>
          <w:i/>
          <w:color w:val="000000"/>
          <w:sz w:val="22"/>
          <w:szCs w:val="22"/>
        </w:rPr>
        <w:t xml:space="preserve">Las órdenes forales de vedas podrán incluir otras disposiciones que establezcan vedas específicas en determinados terrenos cinegéticos o de régimen especial. </w:t>
      </w:r>
    </w:p>
    <w:p w:rsidR="00623662" w:rsidRDefault="00623662" w:rsidP="00623662">
      <w:pPr>
        <w:spacing w:before="120" w:after="240"/>
        <w:jc w:val="both"/>
        <w:rPr>
          <w:sz w:val="24"/>
          <w:szCs w:val="24"/>
        </w:rPr>
      </w:pPr>
      <w:r>
        <w:rPr>
          <w:sz w:val="24"/>
          <w:szCs w:val="24"/>
        </w:rPr>
        <w:t xml:space="preserve">La norma en proyecto, como ya hiciera la orden foral de vedas aprobada para la campaña 2019-2020, reúne en un único texto, aunque en anexos diferentes, tanto la normativa general como la específica aplicable a las distintas especies cinegéticas </w:t>
      </w:r>
      <w:r>
        <w:rPr>
          <w:sz w:val="24"/>
          <w:szCs w:val="24"/>
        </w:rPr>
        <w:noBreakHyphen/>
        <w:t>que con anterioridad a la campaña anterior se regulaba de manera dispersa, mediante órdenes forales separadas</w:t>
      </w:r>
      <w:r>
        <w:rPr>
          <w:sz w:val="24"/>
          <w:szCs w:val="24"/>
        </w:rPr>
        <w:noBreakHyphen/>
        <w:t xml:space="preserve"> lo cual supone un mejor cumplimiento de las previsiones tanto de la Norma Foral como de la Ley de Caza del País Vasco y una mejora desde el punto de vista del principio de seguridad jurídica, en la medida en que da a la orden foral de vedas una regulación unitaria.</w:t>
      </w:r>
    </w:p>
    <w:p w:rsidR="00623662" w:rsidRDefault="00623662" w:rsidP="00623662">
      <w:pPr>
        <w:spacing w:before="120" w:after="240"/>
        <w:jc w:val="both"/>
        <w:rPr>
          <w:sz w:val="24"/>
          <w:szCs w:val="24"/>
        </w:rPr>
      </w:pPr>
      <w:r>
        <w:rPr>
          <w:sz w:val="24"/>
          <w:szCs w:val="24"/>
        </w:rPr>
        <w:t xml:space="preserve">2. Merece un comentario particular el contenido del art. 9 del Anexo I, que se ocupa de las disposiciones generales que regulan la actividad cinegética en la temporada 2019-2020, el cual, bajo la rúbrica «Prohibiciones», establece que «Todas las prohibiciones establecidas en esta orden foral en base al artículo 31 de la Ley 2/2011, de 17 de marzo, de caza, estarán tipificadas en el artículo 56.50, de la misma. El resto se considerarán </w:t>
      </w:r>
      <w:r>
        <w:rPr>
          <w:sz w:val="24"/>
          <w:szCs w:val="24"/>
        </w:rPr>
        <w:lastRenderedPageBreak/>
        <w:t>incumplimiento del artículo 57.18 de dicha ley», precepto de carácter interpretativo que pretende introducir claridad en el ámbito de la clasificación de las infracciones que efectúa la Ley 2/2011.</w:t>
      </w:r>
    </w:p>
    <w:p w:rsidR="00623662" w:rsidRDefault="00623662" w:rsidP="00623662">
      <w:pPr>
        <w:spacing w:before="120" w:after="240"/>
        <w:jc w:val="both"/>
        <w:rPr>
          <w:sz w:val="24"/>
          <w:szCs w:val="24"/>
        </w:rPr>
      </w:pPr>
      <w:r>
        <w:rPr>
          <w:sz w:val="24"/>
          <w:szCs w:val="24"/>
        </w:rPr>
        <w:t xml:space="preserve">Además de los diversos tipos de infracción que se describen en los arts. 55 </w:t>
      </w:r>
      <w:proofErr w:type="gramStart"/>
      <w:r>
        <w:rPr>
          <w:sz w:val="24"/>
          <w:szCs w:val="24"/>
        </w:rPr>
        <w:t>a</w:t>
      </w:r>
      <w:proofErr w:type="gramEnd"/>
      <w:r>
        <w:rPr>
          <w:sz w:val="24"/>
          <w:szCs w:val="24"/>
        </w:rPr>
        <w:t xml:space="preserve"> 57 de la Ley 2/2011, de caza, la Ley sanciona, por remisión, el incumplimiento de las obligaciones establecidas en la normativa reglamentaria: por un lado, el art. 56.50 sanciona como infracción grave, con multa de 501 a 2.000 euros y anulación de la licencia e inhabilitación para obtenerla por un período comprendido entre uno y tres años (art. 58.b), «Infringir las normas específicas de las órdenes forales de vedas». Por su parte, el art. 57.18 sanciona como infracción leve con multa de 50 a 500 euros «Incumplir lo dispuesto en las normas de reglamentación de la caza».</w:t>
      </w:r>
    </w:p>
    <w:p w:rsidR="00623662" w:rsidRDefault="00623662" w:rsidP="00623662">
      <w:pPr>
        <w:spacing w:before="120" w:after="240"/>
        <w:jc w:val="both"/>
        <w:rPr>
          <w:sz w:val="24"/>
          <w:szCs w:val="24"/>
        </w:rPr>
      </w:pPr>
      <w:r>
        <w:rPr>
          <w:sz w:val="24"/>
          <w:szCs w:val="24"/>
        </w:rPr>
        <w:t>Ahora bien, debe tenerse en cuenta, por un lado, que el contenido de las órdenes forales de vedas no está enteramente delimitado en la Ley de caza, ya que los epígrafes que especifica el art. 31.1 de la misma Ley tienen el carácter de contenido mínimo, o lo que es lo mismo, la Ley admite que las órdenes forales de vedas puedan regular aspectos del ejercicio de la caza en una específica temporada distintos de los expresados en el art. 31.1.</w:t>
      </w:r>
    </w:p>
    <w:p w:rsidR="00623662" w:rsidRDefault="00623662" w:rsidP="00623662">
      <w:pPr>
        <w:pStyle w:val="Default"/>
        <w:spacing w:before="120" w:after="240"/>
        <w:jc w:val="both"/>
        <w:rPr>
          <w:rFonts w:eastAsia="Arial Unicode MS"/>
          <w:lang w:eastAsia="es-ES"/>
        </w:rPr>
      </w:pPr>
      <w:r w:rsidRPr="002C26FC">
        <w:t>Por otra parte</w:t>
      </w:r>
      <w:r>
        <w:t>,</w:t>
      </w:r>
      <w:r w:rsidRPr="002C26FC">
        <w:t xml:space="preserve"> </w:t>
      </w:r>
      <w:r>
        <w:t>no todas las normas incluidas en la orden foral de vedas son disposiciones coyunturales, en el sentido de específicas para la temporada cinegética correspondiente, sino que esta disposición incluye también normas que parecen más propias de una regulación general de la caza, circunstancia esta que quizá venga favorecida por un</w:t>
      </w:r>
      <w:r w:rsidRPr="002C26FC">
        <w:t xml:space="preserve"> deficiente desarrollo </w:t>
      </w:r>
      <w:r>
        <w:t xml:space="preserve">normativo y </w:t>
      </w:r>
      <w:r w:rsidRPr="002C26FC">
        <w:t xml:space="preserve">reglamentario de la Ley de caza </w:t>
      </w:r>
      <w:r>
        <w:t xml:space="preserve">del País Vasco, que se concreta, primero, en que </w:t>
      </w:r>
      <w:r w:rsidRPr="002C26FC">
        <w:t xml:space="preserve">la </w:t>
      </w:r>
      <w:r>
        <w:t>vigente Norma Foral de C</w:t>
      </w:r>
      <w:r w:rsidRPr="002C26FC">
        <w:t>aza, instrumento llamado al inmediato desarrollo de la Ley (art</w:t>
      </w:r>
      <w:r>
        <w:t>s</w:t>
      </w:r>
      <w:r w:rsidRPr="002C26FC">
        <w:t xml:space="preserve">. </w:t>
      </w:r>
      <w:r>
        <w:t xml:space="preserve">7.b).3 y 8.2 </w:t>
      </w:r>
      <w:r w:rsidRPr="002C26FC">
        <w:t>LTH), es de fecha anterior a la Ley a desarrollar</w:t>
      </w:r>
      <w:r>
        <w:t>;</w:t>
      </w:r>
      <w:r w:rsidRPr="002C26FC">
        <w:t xml:space="preserve"> </w:t>
      </w:r>
      <w:r>
        <w:t xml:space="preserve">en segundo lugar, en que </w:t>
      </w:r>
      <w:r w:rsidRPr="002C26FC">
        <w:t xml:space="preserve">no se ha aprobado un reglamento que, en desarrollo de lo previsto en la normativa superior, regule </w:t>
      </w:r>
      <w:r>
        <w:t xml:space="preserve">con carácter general </w:t>
      </w:r>
      <w:r w:rsidRPr="002C26FC">
        <w:t>el ejercicio de la caza en Álava (DF 1ª de la Ley 2/2011, de caza)</w:t>
      </w:r>
      <w:r>
        <w:t xml:space="preserve"> y en que, finalmente, la</w:t>
      </w:r>
      <w:r w:rsidRPr="002C26FC">
        <w:t xml:space="preserve"> muy singular disposición transitoria de la misma Ley de caza</w:t>
      </w:r>
      <w:r>
        <w:t xml:space="preserve"> remite su desarrollo reglamentario al Decreto estatal </w:t>
      </w:r>
      <w:r w:rsidRPr="002C26FC">
        <w:rPr>
          <w:rFonts w:eastAsia="Arial Unicode MS"/>
          <w:lang w:eastAsia="es-ES"/>
        </w:rPr>
        <w:t>506/1971, de 25 de marzo, por el que se aprueba el Reglamento para la ejecución de la Ley de Caza de 4 de abril de 1970</w:t>
      </w:r>
      <w:r w:rsidRPr="002C26FC">
        <w:t>, «</w:t>
      </w:r>
      <w:r w:rsidRPr="002C26FC">
        <w:rPr>
          <w:rFonts w:eastAsia="Arial Unicode MS"/>
          <w:lang w:eastAsia="es-ES"/>
        </w:rPr>
        <w:t>En tanto no se aprueben las disposiciones reglamentarias de</w:t>
      </w:r>
      <w:r>
        <w:rPr>
          <w:rFonts w:eastAsia="Arial Unicode MS"/>
          <w:lang w:eastAsia="es-ES"/>
        </w:rPr>
        <w:t xml:space="preserve"> desarrollo de la presente ley</w:t>
      </w:r>
      <w:r w:rsidRPr="002C26FC">
        <w:rPr>
          <w:rFonts w:eastAsia="Arial Unicode MS"/>
          <w:lang w:eastAsia="es-ES"/>
        </w:rPr>
        <w:t>».</w:t>
      </w:r>
    </w:p>
    <w:p w:rsidR="00623662" w:rsidRDefault="00623662" w:rsidP="00623662">
      <w:pPr>
        <w:pStyle w:val="Default"/>
        <w:spacing w:before="120" w:after="240"/>
        <w:jc w:val="both"/>
        <w:rPr>
          <w:rFonts w:eastAsia="Arial Unicode MS"/>
          <w:lang w:eastAsia="es-ES"/>
        </w:rPr>
      </w:pPr>
      <w:r>
        <w:rPr>
          <w:rFonts w:eastAsia="Arial Unicode MS"/>
          <w:lang w:eastAsia="es-ES"/>
        </w:rPr>
        <w:t>En definitiva, la constatación de que no todas las disposiciones que se incluyen en la orden foral de vedas deben considerarse «normas específicas de las órdenes forales de vedas» a que se refiere el art. 56.50 de la Ley 2/2011 a los efectos de su punición, hace necesario delimitar, ante una infracción formal de la orden de vedas, cuando la conducta ha de considerarse materialmente incluida en el art. 56.50 como infracción grave y cuando en el art. 57.18 como infracción leve, razón por la cual la disposición del proyecto comentada es merecedora de una opinión favorable.</w:t>
      </w:r>
    </w:p>
    <w:p w:rsidR="00623662" w:rsidRDefault="00623662" w:rsidP="00623662">
      <w:pPr>
        <w:pStyle w:val="Default"/>
        <w:spacing w:before="120" w:after="240"/>
        <w:jc w:val="both"/>
        <w:rPr>
          <w:rFonts w:eastAsia="Arial Unicode MS"/>
          <w:lang w:eastAsia="es-ES"/>
        </w:rPr>
      </w:pPr>
      <w:r>
        <w:rPr>
          <w:rFonts w:eastAsia="Arial Unicode MS"/>
          <w:lang w:eastAsia="es-ES"/>
        </w:rPr>
        <w:t>Sin perjuicio de lo anterior, esta Comisión entiende que sería conveniente acometer la racionalización de la regulación de la caza en el Territorio Histórico de Álava promoviendo un adecuado desarrollo normativo y reglamentario de la Ley 2/2011 de Caza del País Vasco por parte de los órganos forales competentes.</w:t>
      </w:r>
    </w:p>
    <w:p w:rsidR="00623662" w:rsidRDefault="00623662" w:rsidP="00623662">
      <w:pPr>
        <w:spacing w:before="120" w:after="240"/>
        <w:jc w:val="both"/>
        <w:rPr>
          <w:sz w:val="24"/>
          <w:szCs w:val="24"/>
        </w:rPr>
      </w:pPr>
      <w:r>
        <w:rPr>
          <w:sz w:val="24"/>
          <w:szCs w:val="24"/>
        </w:rPr>
        <w:t xml:space="preserve">3. Por lo demás, en cuanto a su contenido, los anexos aprobados conforme al punto primero de la parte dispositiva del proyecto se ajustan a las disposiciones legales y </w:t>
      </w:r>
      <w:r>
        <w:rPr>
          <w:sz w:val="24"/>
          <w:szCs w:val="24"/>
        </w:rPr>
        <w:lastRenderedPageBreak/>
        <w:t>normativas de aplicación y, más concretamente, a los contenidos que son propios de las ordenes forales de vedas, sin incurrir en ningún exceso reglamentario.</w:t>
      </w:r>
    </w:p>
    <w:p w:rsidR="00623662" w:rsidRDefault="00623662" w:rsidP="00623662">
      <w:pPr>
        <w:spacing w:before="120" w:after="240"/>
        <w:jc w:val="both"/>
        <w:rPr>
          <w:sz w:val="24"/>
          <w:szCs w:val="24"/>
        </w:rPr>
      </w:pPr>
      <w:r>
        <w:rPr>
          <w:sz w:val="24"/>
          <w:szCs w:val="24"/>
        </w:rPr>
        <w:t>4. El punto tercero de la disposición en proyecto reserva al Departamento de Agricultura la facultad de modificar cualquier aspecto de la orden foral siempre ello venga justificado en «circunstancias climáticas, biológicas u otras relacionadas con la conservación del Patrimonio Natural o para la defensa de los intereses generales o del medio natural», cláusula que, además de fundamentarse en la genérica facultad de derogar o modificar las normas que corresponde al titular de la potestad reglamentaria, es coherente con la previsión del art. 65.3.d) de la Ley 42/2007, de 13 de diciembre, de Patrimonio Natural y Biodiversidad, que en materia de protección de especies en relación con la caza y la pesca continental, autoriza el establecimiento de «moratorias temporales o prohibiciones especiales cuando razones de orden biológico o sanitario lo aconsejen».</w:t>
      </w:r>
    </w:p>
    <w:p w:rsidR="00623662" w:rsidRDefault="00623662" w:rsidP="00623662">
      <w:pPr>
        <w:spacing w:before="120" w:after="240"/>
        <w:jc w:val="both"/>
        <w:rPr>
          <w:sz w:val="24"/>
          <w:szCs w:val="24"/>
        </w:rPr>
      </w:pPr>
      <w:r>
        <w:rPr>
          <w:sz w:val="24"/>
          <w:szCs w:val="24"/>
        </w:rPr>
        <w:t>5. El punto quinto de la parte dispositiva de la orden foral proyectada contiene una disposición relativa a la entrada en vigor de la misma que no merece mayor comentario.</w:t>
      </w:r>
    </w:p>
    <w:p w:rsidR="00623662" w:rsidRPr="00C62B31" w:rsidRDefault="00623662" w:rsidP="00623662">
      <w:pPr>
        <w:spacing w:before="480" w:after="240"/>
        <w:jc w:val="both"/>
        <w:rPr>
          <w:sz w:val="24"/>
          <w:szCs w:val="24"/>
        </w:rPr>
      </w:pPr>
      <w:r>
        <w:rPr>
          <w:b/>
          <w:sz w:val="24"/>
          <w:szCs w:val="24"/>
        </w:rPr>
        <w:t xml:space="preserve">III. </w:t>
      </w:r>
      <w:r w:rsidRPr="00C62B31">
        <w:rPr>
          <w:b/>
          <w:sz w:val="24"/>
          <w:szCs w:val="24"/>
        </w:rPr>
        <w:t>CONCLUSIÓN</w:t>
      </w:r>
    </w:p>
    <w:p w:rsidR="00623662" w:rsidRDefault="00623662" w:rsidP="00623662">
      <w:pPr>
        <w:spacing w:before="120" w:after="240"/>
        <w:jc w:val="both"/>
        <w:rPr>
          <w:sz w:val="24"/>
          <w:szCs w:val="24"/>
        </w:rPr>
      </w:pPr>
      <w:r w:rsidRPr="002C2913">
        <w:rPr>
          <w:sz w:val="24"/>
          <w:szCs w:val="24"/>
        </w:rPr>
        <w:t xml:space="preserve">1ª. </w:t>
      </w:r>
      <w:r>
        <w:rPr>
          <w:sz w:val="24"/>
          <w:szCs w:val="24"/>
        </w:rPr>
        <w:t>El proyecto de orden foral debe ser objeto de dictamen de la Comisión Consultiva de la Administración Foral de Álava.</w:t>
      </w:r>
    </w:p>
    <w:p w:rsidR="00623662" w:rsidRDefault="00623662" w:rsidP="00623662">
      <w:pPr>
        <w:spacing w:before="120" w:after="240"/>
        <w:jc w:val="both"/>
        <w:rPr>
          <w:sz w:val="24"/>
          <w:szCs w:val="24"/>
        </w:rPr>
      </w:pPr>
      <w:r>
        <w:rPr>
          <w:sz w:val="24"/>
          <w:szCs w:val="24"/>
        </w:rPr>
        <w:t>2ª. Conforme a lo expresado en la consideración jurídica segunda b), la exposición de motivos del proyecto deberá justificar el cumplimiento de los principios de seguridad jurídica, transparencia y eficiencia. Además la omisión de la consulta pública previa infringe lo dispuesto en el art. 9 del Decreto Foral 29/2019 y la reducción del plazo de información pública no se ajusta a lo establecido en el art. 17 del mismo Decreto Foral 29/2019.</w:t>
      </w:r>
    </w:p>
    <w:p w:rsidR="00623662" w:rsidRDefault="00623662" w:rsidP="00623662">
      <w:pPr>
        <w:spacing w:before="120" w:after="240"/>
        <w:jc w:val="both"/>
        <w:rPr>
          <w:rFonts w:eastAsia="Calibri"/>
          <w:bCs/>
          <w:sz w:val="24"/>
          <w:szCs w:val="24"/>
          <w:lang w:val="es-ES_tradnl"/>
        </w:rPr>
      </w:pPr>
      <w:r>
        <w:rPr>
          <w:sz w:val="24"/>
          <w:szCs w:val="24"/>
        </w:rPr>
        <w:t>3ª. Con las salvedades expresadas en el punto anterior, e</w:t>
      </w:r>
      <w:r w:rsidRPr="002C2913">
        <w:rPr>
          <w:sz w:val="24"/>
          <w:szCs w:val="24"/>
        </w:rPr>
        <w:t xml:space="preserve">l proyecto de </w:t>
      </w:r>
      <w:r>
        <w:rPr>
          <w:sz w:val="24"/>
          <w:szCs w:val="24"/>
        </w:rPr>
        <w:t>orden foral</w:t>
      </w:r>
      <w:r w:rsidRPr="002C2913">
        <w:rPr>
          <w:sz w:val="24"/>
          <w:szCs w:val="24"/>
        </w:rPr>
        <w:t xml:space="preserve"> </w:t>
      </w:r>
      <w:r w:rsidRPr="002C2913">
        <w:rPr>
          <w:rFonts w:eastAsia="Calibri"/>
          <w:bCs/>
          <w:sz w:val="24"/>
          <w:szCs w:val="24"/>
          <w:lang w:val="es-ES_tradnl"/>
        </w:rPr>
        <w:t xml:space="preserve">se </w:t>
      </w:r>
      <w:r>
        <w:rPr>
          <w:rFonts w:eastAsia="Calibri"/>
          <w:bCs/>
          <w:sz w:val="24"/>
          <w:szCs w:val="24"/>
          <w:lang w:val="es-ES_tradnl"/>
        </w:rPr>
        <w:t>adecúa al ordenamiento jurídico</w:t>
      </w:r>
    </w:p>
    <w:p w:rsidR="000109B2" w:rsidRPr="00623662" w:rsidRDefault="00616BE5">
      <w:pPr>
        <w:rPr>
          <w:lang w:val="es-ES_tradnl"/>
        </w:rPr>
      </w:pPr>
    </w:p>
    <w:sectPr w:rsidR="000109B2" w:rsidRPr="006236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62"/>
    <w:rsid w:val="00616BE5"/>
    <w:rsid w:val="00623662"/>
    <w:rsid w:val="009A68E6"/>
    <w:rsid w:val="009C2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62"/>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semiHidden/>
    <w:rsid w:val="00623662"/>
    <w:pPr>
      <w:jc w:val="both"/>
    </w:pPr>
    <w:rPr>
      <w:rFonts w:ascii="Verdana" w:hAnsi="Verdana"/>
      <w:i/>
    </w:rPr>
  </w:style>
  <w:style w:type="character" w:customStyle="1" w:styleId="Textoindependiente3Car">
    <w:name w:val="Texto independiente 3 Car"/>
    <w:basedOn w:val="Fuentedeprrafopredeter"/>
    <w:link w:val="Textoindependiente3"/>
    <w:semiHidden/>
    <w:rsid w:val="00623662"/>
    <w:rPr>
      <w:rFonts w:ascii="Verdana" w:eastAsia="Times New Roman" w:hAnsi="Verdana" w:cs="Times New Roman"/>
      <w:i/>
      <w:sz w:val="20"/>
      <w:szCs w:val="20"/>
      <w:lang w:eastAsia="es-ES"/>
    </w:rPr>
  </w:style>
  <w:style w:type="paragraph" w:styleId="Prrafodelista">
    <w:name w:val="List Paragraph"/>
    <w:basedOn w:val="Normal"/>
    <w:uiPriority w:val="34"/>
    <w:qFormat/>
    <w:rsid w:val="0062366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6236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623662"/>
    <w:pPr>
      <w:suppressAutoHyphens/>
      <w:spacing w:after="200" w:line="276" w:lineRule="auto"/>
      <w:ind w:left="720"/>
    </w:pPr>
    <w:rPr>
      <w:rFonts w:ascii="Calibri" w:eastAsia="SimSun" w:hAnsi="Calibri" w:cs="Calibri"/>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62"/>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semiHidden/>
    <w:rsid w:val="00623662"/>
    <w:pPr>
      <w:jc w:val="both"/>
    </w:pPr>
    <w:rPr>
      <w:rFonts w:ascii="Verdana" w:hAnsi="Verdana"/>
      <w:i/>
    </w:rPr>
  </w:style>
  <w:style w:type="character" w:customStyle="1" w:styleId="Textoindependiente3Car">
    <w:name w:val="Texto independiente 3 Car"/>
    <w:basedOn w:val="Fuentedeprrafopredeter"/>
    <w:link w:val="Textoindependiente3"/>
    <w:semiHidden/>
    <w:rsid w:val="00623662"/>
    <w:rPr>
      <w:rFonts w:ascii="Verdana" w:eastAsia="Times New Roman" w:hAnsi="Verdana" w:cs="Times New Roman"/>
      <w:i/>
      <w:sz w:val="20"/>
      <w:szCs w:val="20"/>
      <w:lang w:eastAsia="es-ES"/>
    </w:rPr>
  </w:style>
  <w:style w:type="paragraph" w:styleId="Prrafodelista">
    <w:name w:val="List Paragraph"/>
    <w:basedOn w:val="Normal"/>
    <w:uiPriority w:val="34"/>
    <w:qFormat/>
    <w:rsid w:val="0062366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6236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623662"/>
    <w:pPr>
      <w:suppressAutoHyphens/>
      <w:spacing w:after="200" w:line="276" w:lineRule="auto"/>
      <w:ind w:left="720"/>
    </w:pPr>
    <w:rPr>
      <w:rFonts w:ascii="Calibri" w:eastAsia="SimSun"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3161</Words>
  <Characters>17389</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2019-12-02T08:32:00Z</dcterms:created>
  <dcterms:modified xsi:type="dcterms:W3CDTF">2019-12-02T08:32:00Z</dcterms:modified>
</cp:coreProperties>
</file>