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EE" w:rsidRPr="00CF258F" w:rsidRDefault="00A602EE" w:rsidP="00A602EE">
      <w:pPr>
        <w:jc w:val="both"/>
        <w:rPr>
          <w:b/>
          <w:sz w:val="22"/>
          <w:szCs w:val="24"/>
          <w:u w:val="single"/>
        </w:rPr>
      </w:pPr>
      <w:proofErr w:type="spellStart"/>
      <w:r w:rsidRPr="00CF258F">
        <w:rPr>
          <w:b/>
          <w:sz w:val="22"/>
          <w:szCs w:val="24"/>
          <w:u w:val="single"/>
          <w:lang w:val="eu-ES"/>
        </w:rPr>
        <w:t>2019KO</w:t>
      </w:r>
      <w:proofErr w:type="spellEnd"/>
      <w:r w:rsidRPr="00CF258F">
        <w:rPr>
          <w:b/>
          <w:sz w:val="22"/>
          <w:szCs w:val="24"/>
          <w:u w:val="single"/>
          <w:lang w:val="eu-ES"/>
        </w:rPr>
        <w:t xml:space="preserve"> MAIATZAREN </w:t>
      </w:r>
      <w:proofErr w:type="spellStart"/>
      <w:r w:rsidRPr="00CF258F">
        <w:rPr>
          <w:b/>
          <w:sz w:val="22"/>
          <w:szCs w:val="24"/>
          <w:u w:val="single"/>
          <w:lang w:val="eu-ES"/>
        </w:rPr>
        <w:t>28KO</w:t>
      </w:r>
      <w:proofErr w:type="spellEnd"/>
      <w:r w:rsidRPr="00CF258F">
        <w:rPr>
          <w:b/>
          <w:sz w:val="22"/>
          <w:szCs w:val="24"/>
          <w:u w:val="single"/>
          <w:lang w:val="eu-ES"/>
        </w:rPr>
        <w:t xml:space="preserve"> IRIZPENA, ABENDUAREN </w:t>
      </w:r>
      <w:proofErr w:type="spellStart"/>
      <w:r w:rsidRPr="00CF258F">
        <w:rPr>
          <w:b/>
          <w:sz w:val="22"/>
          <w:szCs w:val="24"/>
          <w:u w:val="single"/>
          <w:lang w:val="eu-ES"/>
        </w:rPr>
        <w:t>23KO</w:t>
      </w:r>
      <w:proofErr w:type="spellEnd"/>
      <w:r w:rsidRPr="00CF258F">
        <w:rPr>
          <w:b/>
          <w:sz w:val="22"/>
          <w:szCs w:val="24"/>
          <w:u w:val="single"/>
          <w:lang w:val="eu-ES"/>
        </w:rPr>
        <w:t xml:space="preserve"> FORU DEKRETUA, KONTU, ERAGIKETA ETA FINANTZA AKTIBOEI, ETA </w:t>
      </w:r>
      <w:proofErr w:type="spellStart"/>
      <w:r w:rsidRPr="00CF258F">
        <w:rPr>
          <w:b/>
          <w:sz w:val="22"/>
          <w:szCs w:val="24"/>
          <w:u w:val="single"/>
          <w:lang w:val="eu-ES"/>
        </w:rPr>
        <w:t>ATZERRIDAN</w:t>
      </w:r>
      <w:proofErr w:type="spellEnd"/>
      <w:r w:rsidRPr="00CF258F">
        <w:rPr>
          <w:b/>
          <w:sz w:val="22"/>
          <w:szCs w:val="24"/>
          <w:u w:val="single"/>
          <w:lang w:val="eu-ES"/>
        </w:rPr>
        <w:t xml:space="preserve"> DAUDEN ONDASUN ETA ESKUBIDEEI BURUZKO INFORMAZIOA EMATEKO BETEBEHARRA ARAUTZEN DUENA, ALDATZEKO FORU DEKRETUAREN PROIEKTUARI BURUZKOA </w:t>
      </w:r>
    </w:p>
    <w:p w:rsidR="00A602EE" w:rsidRPr="00CF258F" w:rsidRDefault="00A602EE" w:rsidP="00A602EE">
      <w:pPr>
        <w:jc w:val="both"/>
        <w:rPr>
          <w:b/>
          <w:sz w:val="22"/>
          <w:szCs w:val="24"/>
        </w:rPr>
      </w:pPr>
    </w:p>
    <w:p w:rsidR="00A602EE" w:rsidRPr="00CF258F" w:rsidRDefault="00A602EE" w:rsidP="00A602EE">
      <w:pPr>
        <w:jc w:val="both"/>
        <w:rPr>
          <w:b/>
          <w:sz w:val="22"/>
          <w:szCs w:val="24"/>
        </w:rPr>
      </w:pPr>
      <w:r w:rsidRPr="00CF258F">
        <w:rPr>
          <w:b/>
          <w:sz w:val="22"/>
          <w:szCs w:val="24"/>
          <w:lang w:val="eu-ES"/>
        </w:rPr>
        <w:t>I.- EGITATEZKO AURREKARIAK</w:t>
      </w:r>
    </w:p>
    <w:p w:rsidR="00A602EE" w:rsidRPr="00CF258F" w:rsidRDefault="00A602EE" w:rsidP="00A602EE">
      <w:pPr>
        <w:jc w:val="both"/>
        <w:rPr>
          <w:b/>
          <w:sz w:val="22"/>
          <w:szCs w:val="24"/>
        </w:rPr>
      </w:pPr>
    </w:p>
    <w:p w:rsidR="00A602EE" w:rsidRPr="00CF258F" w:rsidRDefault="00A602EE" w:rsidP="00A602EE">
      <w:pPr>
        <w:jc w:val="both"/>
        <w:rPr>
          <w:szCs w:val="24"/>
          <w:lang w:val="es-ES_tradnl"/>
        </w:rPr>
      </w:pPr>
      <w:r w:rsidRPr="00CF258F">
        <w:rPr>
          <w:sz w:val="22"/>
          <w:szCs w:val="24"/>
          <w:lang w:val="eu-ES"/>
        </w:rPr>
        <w:t>Irizpen honek aztertutako foru aginduaren proiektua Ogasun, Finantza eta Aurrekontu Saileko foru diputatuak igorri du Aholku Batzorde honetara, bat etorriz Diputatuen Kontseiluaren 40/1999 Foru Dekretuaren 17. artikuluko 1. idatz zatian aurreikusitakoarekin, martxoaren 30ekoa, Arabako Foru Administrazioaren Aholku Batzordea sortu zuena, Erregelamendu Organikoa onartuz.</w:t>
      </w:r>
      <w:r w:rsidRPr="00CF258F">
        <w:rPr>
          <w:sz w:val="22"/>
          <w:szCs w:val="24"/>
          <w:lang w:val="es-ES_tradnl"/>
        </w:rPr>
        <w:t xml:space="preserve"> </w:t>
      </w:r>
      <w:r w:rsidRPr="00CF258F">
        <w:rPr>
          <w:sz w:val="22"/>
          <w:szCs w:val="24"/>
          <w:lang w:val="eu-ES"/>
        </w:rPr>
        <w:t>Irizpen eskaerarekin batera, jendaurrean jartzeko eta entzunaldi izapideen emaitzak jaso dituen memoria ere gehitu da, arau eraginaren txosten bat eta genero eraginaren aldez aurreko ebaluazioaren txosten bat, Foru Gobernu Kontseiluaren maiatzaren 23ko 29/2017 Foru Dekretuak ezarri bezala, onartzen dituena xedapen orokorrak egiteko prozedura, arau eraginari eta genero eraginari buruzko txostenak egiteko gidak eta araugintza teknikari buruzko jarraibideak.</w:t>
      </w:r>
    </w:p>
    <w:p w:rsidR="00A602EE" w:rsidRPr="00CF258F" w:rsidRDefault="00A602EE" w:rsidP="00A602EE">
      <w:pPr>
        <w:jc w:val="both"/>
        <w:rPr>
          <w:sz w:val="22"/>
          <w:szCs w:val="24"/>
          <w:lang w:val="es-ES_tradnl"/>
        </w:rPr>
      </w:pPr>
      <w:r w:rsidRPr="00CF258F">
        <w:rPr>
          <w:sz w:val="22"/>
          <w:szCs w:val="24"/>
          <w:lang w:val="eu-ES"/>
        </w:rPr>
        <w:t>Zehazki, iruzur fiskala prebenitzeko helburuarekin, turismorako erabiltzen diren etxebizitzen alokatze edo lagapenean bitarteko gisa aritzen diren pertsonei edo erakundeei, zehazki elkarlaneko plataformei, informazioa emateko beharra ezartzen die proiektuak.</w:t>
      </w:r>
    </w:p>
    <w:p w:rsidR="00A602EE" w:rsidRPr="00CF258F" w:rsidRDefault="00A602EE" w:rsidP="00A602EE">
      <w:pPr>
        <w:jc w:val="both"/>
        <w:rPr>
          <w:rFonts w:ascii="Calibri" w:hAnsi="Calibri"/>
          <w:szCs w:val="24"/>
          <w:lang w:val="es-ES_tradnl"/>
        </w:rPr>
      </w:pPr>
    </w:p>
    <w:p w:rsidR="00A602EE" w:rsidRPr="00CF258F" w:rsidRDefault="00A602EE" w:rsidP="00A602EE">
      <w:pPr>
        <w:jc w:val="both"/>
        <w:rPr>
          <w:b/>
          <w:sz w:val="22"/>
          <w:szCs w:val="24"/>
        </w:rPr>
      </w:pPr>
      <w:r w:rsidRPr="00CF258F">
        <w:rPr>
          <w:b/>
          <w:sz w:val="22"/>
          <w:szCs w:val="24"/>
          <w:lang w:val="eu-ES"/>
        </w:rPr>
        <w:t>II.- OHAR JURIDIKOAK</w:t>
      </w:r>
    </w:p>
    <w:p w:rsidR="00A602EE" w:rsidRPr="00CF258F" w:rsidRDefault="00A602EE" w:rsidP="00A602EE">
      <w:pPr>
        <w:jc w:val="both"/>
        <w:rPr>
          <w:b/>
          <w:sz w:val="22"/>
          <w:szCs w:val="24"/>
        </w:rPr>
      </w:pPr>
    </w:p>
    <w:p w:rsidR="00A602EE" w:rsidRPr="00CF258F" w:rsidRDefault="00A602EE" w:rsidP="00A602EE">
      <w:pPr>
        <w:jc w:val="both"/>
        <w:rPr>
          <w:b/>
          <w:sz w:val="22"/>
          <w:szCs w:val="24"/>
        </w:rPr>
      </w:pPr>
    </w:p>
    <w:p w:rsidR="00A602EE" w:rsidRPr="00CF258F" w:rsidRDefault="00A602EE" w:rsidP="00A602EE">
      <w:pPr>
        <w:tabs>
          <w:tab w:val="left" w:pos="1985"/>
          <w:tab w:val="num" w:pos="2705"/>
        </w:tabs>
        <w:jc w:val="both"/>
        <w:rPr>
          <w:b/>
          <w:sz w:val="22"/>
          <w:szCs w:val="24"/>
        </w:rPr>
      </w:pPr>
      <w:r w:rsidRPr="00CF258F">
        <w:rPr>
          <w:b/>
          <w:sz w:val="22"/>
          <w:szCs w:val="24"/>
          <w:lang w:val="eu-ES"/>
        </w:rPr>
        <w:t>1.- AHOLKU BATZORDEAREN ESKUMENA IRIZPENA EMATEKO</w:t>
      </w:r>
    </w:p>
    <w:p w:rsidR="00A602EE" w:rsidRPr="00CF258F" w:rsidRDefault="00A602EE" w:rsidP="00A602EE">
      <w:pPr>
        <w:tabs>
          <w:tab w:val="left" w:pos="1985"/>
          <w:tab w:val="num" w:pos="2705"/>
        </w:tabs>
        <w:jc w:val="both"/>
        <w:rPr>
          <w:b/>
          <w:sz w:val="22"/>
          <w:szCs w:val="24"/>
        </w:rPr>
      </w:pPr>
    </w:p>
    <w:p w:rsidR="00A602EE" w:rsidRPr="00CF258F" w:rsidRDefault="00A602EE" w:rsidP="00A602EE">
      <w:pPr>
        <w:tabs>
          <w:tab w:val="left" w:pos="1985"/>
          <w:tab w:val="num" w:pos="2705"/>
        </w:tabs>
        <w:jc w:val="both"/>
        <w:rPr>
          <w:b/>
          <w:sz w:val="22"/>
          <w:szCs w:val="24"/>
        </w:rPr>
      </w:pPr>
    </w:p>
    <w:p w:rsidR="00A602EE" w:rsidRPr="00CF258F" w:rsidRDefault="00A602EE" w:rsidP="00A602EE">
      <w:pPr>
        <w:jc w:val="both"/>
        <w:rPr>
          <w:i/>
          <w:sz w:val="22"/>
          <w:szCs w:val="24"/>
          <w:lang w:val="es-ES_tradnl"/>
        </w:rPr>
      </w:pPr>
      <w:r w:rsidRPr="00CF258F">
        <w:rPr>
          <w:sz w:val="22"/>
          <w:szCs w:val="24"/>
          <w:lang w:val="eu-ES"/>
        </w:rPr>
        <w:t>Diputatuen Kontseiluaren 40/1999 Foru Dekretuak, martxoaren 30ekoak, 3. artikuluan, Arabako Foru Administrazioaren Aholku Batzordeak eskumenak ezartzen ditu, eta horien artean, "</w:t>
      </w:r>
      <w:r w:rsidRPr="00CF258F">
        <w:rPr>
          <w:i/>
          <w:sz w:val="22"/>
          <w:szCs w:val="24"/>
          <w:lang w:val="eu-ES"/>
        </w:rPr>
        <w:t>arau xedapenen proiektuei buruzko irizpena ematea dago, Lurralde Historikoaren eskumen esklusiboak diren gaiak arautzeko foru arauak gauzatzean emandako araudi xedapenen proiektuetan, edo autonomia erkidegoko legeak garatzean, horien araudi garapena Lurralde Historikoaren eskumena denean</w:t>
      </w:r>
      <w:r w:rsidRPr="00CF258F">
        <w:rPr>
          <w:sz w:val="22"/>
          <w:szCs w:val="24"/>
          <w:lang w:val="eu-ES"/>
        </w:rPr>
        <w:t>".</w:t>
      </w:r>
    </w:p>
    <w:p w:rsidR="00A602EE" w:rsidRPr="00CF258F" w:rsidRDefault="00A602EE" w:rsidP="00A602EE">
      <w:pPr>
        <w:jc w:val="both"/>
        <w:rPr>
          <w:i/>
          <w:sz w:val="22"/>
          <w:szCs w:val="24"/>
          <w:lang w:val="es-ES_tradnl"/>
        </w:rPr>
      </w:pPr>
    </w:p>
    <w:p w:rsidR="00A602EE" w:rsidRPr="00CF258F" w:rsidRDefault="00A602EE" w:rsidP="00A602EE">
      <w:pPr>
        <w:jc w:val="both"/>
        <w:rPr>
          <w:szCs w:val="24"/>
          <w:lang w:val="es-ES_tradnl"/>
        </w:rPr>
      </w:pPr>
      <w:r w:rsidRPr="00CF258F">
        <w:rPr>
          <w:sz w:val="22"/>
          <w:szCs w:val="24"/>
          <w:lang w:val="eu-ES"/>
        </w:rPr>
        <w:t>Zerga arloan Lurralde Historikoaren eskumenari buruz egiten den lehen erreferentzia, Espainiako Konstituzioaren Lehen Xedapen Gehigarrian aurkitzen dugu. Hauxe ezartzen du: "</w:t>
      </w:r>
      <w:r w:rsidRPr="00CF258F">
        <w:rPr>
          <w:i/>
          <w:sz w:val="22"/>
          <w:szCs w:val="24"/>
          <w:lang w:val="eu-ES"/>
        </w:rPr>
        <w:t>Konstituzioak babestu eta onartzen ditu forudun lurraldeetako eskubide historikoak. Foru-araubide horren eguneratze orokorra, hala denean, Konstituzioaren eta autonomia-estatutuen eremuan burutuko da.”</w:t>
      </w:r>
    </w:p>
    <w:p w:rsidR="00A602EE" w:rsidRPr="00CF258F" w:rsidRDefault="00A602EE" w:rsidP="00A602EE">
      <w:pPr>
        <w:jc w:val="both"/>
        <w:rPr>
          <w:b/>
          <w:i/>
          <w:sz w:val="22"/>
          <w:szCs w:val="24"/>
          <w:lang w:val="es-ES_tradnl"/>
        </w:rPr>
      </w:pPr>
    </w:p>
    <w:p w:rsidR="00A602EE" w:rsidRDefault="00A602EE" w:rsidP="00A602EE">
      <w:pPr>
        <w:jc w:val="both"/>
        <w:rPr>
          <w:sz w:val="22"/>
          <w:szCs w:val="24"/>
          <w:lang w:val="eu-ES"/>
        </w:rPr>
      </w:pPr>
      <w:r w:rsidRPr="00CF258F">
        <w:rPr>
          <w:sz w:val="22"/>
          <w:szCs w:val="24"/>
          <w:lang w:val="eu-ES"/>
        </w:rPr>
        <w:t xml:space="preserve">Horrez gain, Euskal Autonomia Erkidegoko Autonomia Estatutuaren </w:t>
      </w:r>
      <w:proofErr w:type="spellStart"/>
      <w:r w:rsidRPr="00CF258F">
        <w:rPr>
          <w:sz w:val="22"/>
          <w:szCs w:val="24"/>
          <w:lang w:val="eu-ES"/>
        </w:rPr>
        <w:t>41.2.a</w:t>
      </w:r>
      <w:proofErr w:type="spellEnd"/>
      <w:r w:rsidRPr="00CF258F">
        <w:rPr>
          <w:sz w:val="22"/>
          <w:szCs w:val="24"/>
          <w:lang w:val="eu-ES"/>
        </w:rPr>
        <w:t>) artikuluak honako hau ezarri zuen: “</w:t>
      </w:r>
      <w:r w:rsidRPr="00CF258F">
        <w:rPr>
          <w:i/>
          <w:sz w:val="22"/>
          <w:szCs w:val="24"/>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sidRPr="00CF258F">
        <w:rPr>
          <w:sz w:val="22"/>
          <w:szCs w:val="24"/>
          <w:lang w:val="eu-ES"/>
        </w:rPr>
        <w:t>”.</w:t>
      </w:r>
    </w:p>
    <w:p w:rsidR="00A602EE" w:rsidRPr="00CF258F" w:rsidRDefault="00A602EE" w:rsidP="00A602EE">
      <w:pPr>
        <w:jc w:val="both"/>
        <w:rPr>
          <w:sz w:val="22"/>
          <w:szCs w:val="24"/>
          <w:lang w:val="es-ES_tradnl"/>
        </w:rPr>
      </w:pPr>
    </w:p>
    <w:p w:rsidR="00A602EE" w:rsidRPr="00CF258F" w:rsidRDefault="00A602EE" w:rsidP="00A602EE">
      <w:pPr>
        <w:jc w:val="both"/>
        <w:rPr>
          <w:sz w:val="22"/>
          <w:szCs w:val="24"/>
          <w:lang w:val="es-ES_tradnl"/>
        </w:rPr>
      </w:pPr>
    </w:p>
    <w:p w:rsidR="00A602EE" w:rsidRPr="00CF258F" w:rsidRDefault="00A602EE" w:rsidP="00A602EE">
      <w:pPr>
        <w:jc w:val="both"/>
        <w:rPr>
          <w:sz w:val="22"/>
          <w:szCs w:val="24"/>
          <w:lang w:val="es-ES_tradnl"/>
        </w:rPr>
      </w:pPr>
      <w:r w:rsidRPr="00CF258F">
        <w:rPr>
          <w:sz w:val="22"/>
          <w:szCs w:val="24"/>
          <w:lang w:val="eu-ES"/>
        </w:rPr>
        <w:lastRenderedPageBreak/>
        <w:t>EAEren eta estatuaren artean sinatutako Ekonomia Itunak, maiatzaren 23ko 12/2002 Legeak onetsitakoak, honako hau ezarri zuen 1. artikuluan:</w:t>
      </w:r>
    </w:p>
    <w:p w:rsidR="00A602EE" w:rsidRPr="00CF258F" w:rsidRDefault="00A602EE" w:rsidP="00A602EE">
      <w:pPr>
        <w:ind w:left="708"/>
        <w:jc w:val="both"/>
        <w:rPr>
          <w:i/>
          <w:sz w:val="22"/>
          <w:szCs w:val="24"/>
        </w:rPr>
      </w:pPr>
      <w:r w:rsidRPr="00CF258F">
        <w:rPr>
          <w:i/>
          <w:sz w:val="22"/>
          <w:szCs w:val="24"/>
          <w:lang w:val="eu-ES"/>
        </w:rPr>
        <w:t>“Lurralde Historikoetako erakunde eskudunek beren zerga sistema eduki, ezarri eta arautu ahal izango dute beren lurraldearen barruan”.</w:t>
      </w:r>
    </w:p>
    <w:p w:rsidR="00A602EE" w:rsidRPr="00CF258F" w:rsidRDefault="00A602EE" w:rsidP="00A602EE">
      <w:pPr>
        <w:ind w:left="708"/>
        <w:jc w:val="both"/>
        <w:rPr>
          <w:i/>
          <w:sz w:val="22"/>
          <w:szCs w:val="24"/>
        </w:rPr>
      </w:pPr>
    </w:p>
    <w:p w:rsidR="00A602EE" w:rsidRPr="00CF258F" w:rsidRDefault="00A602EE" w:rsidP="00A602EE">
      <w:pPr>
        <w:jc w:val="both"/>
        <w:rPr>
          <w:sz w:val="22"/>
          <w:szCs w:val="24"/>
          <w:lang w:val="es-ES_tradnl"/>
        </w:rPr>
      </w:pPr>
      <w:r w:rsidRPr="00CF258F">
        <w:rPr>
          <w:sz w:val="22"/>
          <w:szCs w:val="24"/>
          <w:lang w:val="eu-ES"/>
        </w:rPr>
        <w:t xml:space="preserve">Bestalde, azaroaren 25eko 27/1983 Legeak, Euskal Autonomia Erkidego osorako erakundeen eta bertako Lurralde Historikoetako foru erakundeen arteko harremanei buruzkoak, honako hau ezarri zuen </w:t>
      </w:r>
      <w:proofErr w:type="spellStart"/>
      <w:r w:rsidRPr="00CF258F">
        <w:rPr>
          <w:sz w:val="22"/>
          <w:szCs w:val="24"/>
          <w:lang w:val="eu-ES"/>
        </w:rPr>
        <w:t>7.6</w:t>
      </w:r>
      <w:proofErr w:type="spellEnd"/>
      <w:r w:rsidRPr="00CF258F">
        <w:rPr>
          <w:sz w:val="22"/>
          <w:szCs w:val="24"/>
          <w:lang w:val="eu-ES"/>
        </w:rPr>
        <w:t xml:space="preserve"> artikuluan, foru erakundeen eskumen esklusibo gisa: “</w:t>
      </w:r>
      <w:r w:rsidRPr="00CF258F">
        <w:rPr>
          <w:i/>
          <w:sz w:val="22"/>
          <w:szCs w:val="24"/>
          <w:lang w:val="eu-ES"/>
        </w:rPr>
        <w:t xml:space="preserve">Autonomia Estatutuaren 41. artikuluak esaten dituenak eta, oro har, Ekonomia Itunaren Legeak edo </w:t>
      </w:r>
      <w:proofErr w:type="spellStart"/>
      <w:r w:rsidRPr="00CF258F">
        <w:rPr>
          <w:i/>
          <w:sz w:val="22"/>
          <w:szCs w:val="24"/>
          <w:lang w:val="eu-ES"/>
        </w:rPr>
        <w:t>zergalaritza</w:t>
      </w:r>
      <w:proofErr w:type="spellEnd"/>
      <w:r w:rsidRPr="00CF258F">
        <w:rPr>
          <w:i/>
          <w:sz w:val="22"/>
          <w:szCs w:val="24"/>
          <w:lang w:val="eu-ES"/>
        </w:rPr>
        <w:t xml:space="preserve"> alorreko beste arau edo manuren batzuk emanda izan ditzaten guztia</w:t>
      </w:r>
      <w:r w:rsidRPr="00CF258F">
        <w:rPr>
          <w:sz w:val="22"/>
          <w:szCs w:val="24"/>
          <w:lang w:val="eu-ES"/>
        </w:rPr>
        <w:t>”.</w:t>
      </w:r>
    </w:p>
    <w:p w:rsidR="00A602EE" w:rsidRPr="00CF258F" w:rsidRDefault="00A602EE" w:rsidP="00A602EE">
      <w:pPr>
        <w:jc w:val="both"/>
        <w:rPr>
          <w:sz w:val="22"/>
          <w:szCs w:val="24"/>
          <w:lang w:val="es-ES_tradnl"/>
        </w:rPr>
      </w:pPr>
    </w:p>
    <w:p w:rsidR="00A602EE" w:rsidRPr="00CF258F" w:rsidRDefault="00A602EE" w:rsidP="00A602EE">
      <w:pPr>
        <w:jc w:val="both"/>
        <w:rPr>
          <w:sz w:val="22"/>
          <w:szCs w:val="24"/>
          <w:lang w:val="es-ES_tradnl"/>
        </w:rPr>
      </w:pPr>
      <w:r w:rsidRPr="00CF258F">
        <w:rPr>
          <w:sz w:val="22"/>
          <w:szCs w:val="24"/>
          <w:lang w:val="eu-ES"/>
        </w:rPr>
        <w:t xml:space="preserve">Lurraldeen artean zergei buruzko informazio orokorra emateko betebeharra betetzeko eskumenen banaketari dagokionez, Ekonomia Itunaren </w:t>
      </w:r>
      <w:proofErr w:type="spellStart"/>
      <w:r w:rsidRPr="00CF258F">
        <w:rPr>
          <w:sz w:val="22"/>
          <w:szCs w:val="24"/>
          <w:lang w:val="eu-ES"/>
        </w:rPr>
        <w:t>46.Bi</w:t>
      </w:r>
      <w:proofErr w:type="spellEnd"/>
      <w:r w:rsidRPr="00CF258F">
        <w:rPr>
          <w:sz w:val="22"/>
          <w:szCs w:val="24"/>
          <w:lang w:val="eu-ES"/>
        </w:rPr>
        <w:t>. artikuluak honako hau ezartzen du:</w:t>
      </w:r>
    </w:p>
    <w:p w:rsidR="00A602EE" w:rsidRPr="00CF258F" w:rsidRDefault="00A602EE" w:rsidP="00A602EE">
      <w:pPr>
        <w:jc w:val="both"/>
        <w:rPr>
          <w:sz w:val="22"/>
          <w:szCs w:val="24"/>
          <w:lang w:val="es-ES_tradnl"/>
        </w:rPr>
      </w:pPr>
    </w:p>
    <w:p w:rsidR="00A602EE" w:rsidRPr="00CF258F" w:rsidRDefault="00A602EE" w:rsidP="00A602EE">
      <w:pPr>
        <w:ind w:left="708"/>
        <w:jc w:val="both"/>
        <w:rPr>
          <w:szCs w:val="24"/>
        </w:rPr>
      </w:pPr>
      <w:r w:rsidRPr="00CF258F">
        <w:rPr>
          <w:i/>
          <w:sz w:val="22"/>
          <w:szCs w:val="24"/>
          <w:lang w:val="eu-ES"/>
        </w:rPr>
        <w:t>“Bi.</w:t>
      </w:r>
      <w:r w:rsidRPr="00CF258F">
        <w:rPr>
          <w:i/>
          <w:sz w:val="22"/>
          <w:szCs w:val="24"/>
        </w:rPr>
        <w:t xml:space="preserve"> </w:t>
      </w:r>
      <w:r w:rsidRPr="00CF258F">
        <w:rPr>
          <w:i/>
          <w:sz w:val="22"/>
          <w:szCs w:val="24"/>
          <w:lang w:val="eu-ES"/>
        </w:rPr>
        <w:t>Tributu informazioa orokorrean emateko betebeharrak betetzeko diren legez eskatutako aitorpenak Estatuko Administrazioari edo lurraldearen arabera eskumena daukan foru aldundiari aurkeztu behar zaizkio, irizpide hauek kontuan harturik:</w:t>
      </w:r>
    </w:p>
    <w:p w:rsidR="00A602EE" w:rsidRPr="00CF258F" w:rsidRDefault="00A602EE" w:rsidP="00A602EE">
      <w:pPr>
        <w:ind w:left="708"/>
        <w:jc w:val="both"/>
        <w:rPr>
          <w:i/>
          <w:sz w:val="22"/>
          <w:szCs w:val="24"/>
        </w:rPr>
      </w:pPr>
      <w:r w:rsidRPr="00CF258F">
        <w:rPr>
          <w:i/>
          <w:sz w:val="22"/>
          <w:szCs w:val="24"/>
          <w:lang w:val="eu-ES"/>
        </w:rPr>
        <w:t>Zergadunek ekonomia jarduerak egiten badituzte, eurek egiten dituzten enpresa edo lanbide jarduerak egiaztatu eta ikertzeko eskumena daukan administrazioari.</w:t>
      </w:r>
    </w:p>
    <w:p w:rsidR="00A602EE" w:rsidRPr="00CF258F" w:rsidRDefault="00A602EE" w:rsidP="00A602EE">
      <w:pPr>
        <w:ind w:left="708"/>
        <w:jc w:val="both"/>
        <w:rPr>
          <w:i/>
          <w:sz w:val="22"/>
          <w:szCs w:val="24"/>
        </w:rPr>
      </w:pPr>
      <w:r w:rsidRPr="00CF258F">
        <w:rPr>
          <w:i/>
          <w:sz w:val="22"/>
          <w:szCs w:val="24"/>
          <w:lang w:val="eu-ES"/>
        </w:rPr>
        <w:t>b) Zergadunek ez badute ekonomia jarduerarik egiten, zerga egoitza non daukaten hartu behar dute kontuan, lurralde erkidean edo foru lurraldean.</w:t>
      </w:r>
    </w:p>
    <w:p w:rsidR="00A602EE" w:rsidRPr="00CF258F" w:rsidRDefault="00A602EE" w:rsidP="00A602EE">
      <w:pPr>
        <w:ind w:left="708"/>
        <w:jc w:val="both"/>
        <w:rPr>
          <w:i/>
          <w:sz w:val="22"/>
          <w:szCs w:val="24"/>
        </w:rPr>
      </w:pPr>
      <w:r w:rsidRPr="00CF258F">
        <w:rPr>
          <w:i/>
          <w:sz w:val="22"/>
          <w:szCs w:val="24"/>
          <w:lang w:val="eu-ES"/>
        </w:rPr>
        <w:t>Aurreko hizkietan ezarritakoaren ondorioetarako, jaraunspen jasogabeak, ondasunen erkidegoak edo izaera juridikorik ez daukaten bestelako erakundeak direnean, aipatutako aitorpenak kideak edo partaideak fiskalki helbideratuta dauden administrazio aurrean ere aurkeztu beharko dira".</w:t>
      </w:r>
    </w:p>
    <w:p w:rsidR="00A602EE" w:rsidRPr="00CF258F" w:rsidRDefault="00A602EE" w:rsidP="00A602EE">
      <w:pPr>
        <w:ind w:left="708"/>
        <w:jc w:val="both"/>
        <w:rPr>
          <w:i/>
          <w:sz w:val="22"/>
          <w:szCs w:val="24"/>
        </w:rPr>
      </w:pPr>
    </w:p>
    <w:p w:rsidR="00A602EE" w:rsidRPr="00CF258F" w:rsidRDefault="00A602EE" w:rsidP="00A602EE">
      <w:pPr>
        <w:jc w:val="both"/>
        <w:rPr>
          <w:sz w:val="22"/>
          <w:szCs w:val="24"/>
          <w:lang w:val="eu-ES"/>
        </w:rPr>
      </w:pPr>
      <w:r w:rsidRPr="00CF258F">
        <w:rPr>
          <w:sz w:val="22"/>
          <w:szCs w:val="24"/>
          <w:lang w:val="eu-ES"/>
        </w:rPr>
        <w:t>Zerga betebehar formalen arauzko eskumenaren berariazko gaikuntza otsailaren 6/2005 Foru Arau Orokorrean, Arabako zergei buruzkoan (</w:t>
      </w:r>
      <w:proofErr w:type="spellStart"/>
      <w:r w:rsidRPr="00CF258F">
        <w:rPr>
          <w:sz w:val="22"/>
          <w:szCs w:val="24"/>
          <w:lang w:val="eu-ES"/>
        </w:rPr>
        <w:t>AZFAO</w:t>
      </w:r>
      <w:proofErr w:type="spellEnd"/>
      <w:r w:rsidRPr="00CF258F">
        <w:rPr>
          <w:sz w:val="22"/>
          <w:szCs w:val="24"/>
          <w:lang w:val="eu-ES"/>
        </w:rPr>
        <w:t>, aurrerantzean), jasotzen da. Horrek, Arabako Lurralde Historikoaren zerga sistemaren printzipioak eta arau juridikoak arautzen ditu, eta Arabako Foru Aldundiari hura garatzeko beharrezkoak diren beste xedapenak ezartzeko eskumena ematen dio.</w:t>
      </w:r>
    </w:p>
    <w:p w:rsidR="00A602EE" w:rsidRPr="00CF258F" w:rsidRDefault="00A602EE" w:rsidP="00A602EE">
      <w:pPr>
        <w:jc w:val="both"/>
        <w:rPr>
          <w:sz w:val="22"/>
          <w:szCs w:val="24"/>
          <w:lang w:val="eu-ES"/>
        </w:rPr>
      </w:pPr>
    </w:p>
    <w:p w:rsidR="00A602EE" w:rsidRPr="00CF258F" w:rsidRDefault="00A602EE" w:rsidP="00A602EE">
      <w:pPr>
        <w:jc w:val="both"/>
        <w:rPr>
          <w:szCs w:val="24"/>
          <w:lang w:val="eu-ES"/>
        </w:rPr>
      </w:pPr>
      <w:proofErr w:type="spellStart"/>
      <w:r w:rsidRPr="00CF258F">
        <w:rPr>
          <w:sz w:val="22"/>
          <w:szCs w:val="24"/>
          <w:lang w:val="eu-ES"/>
        </w:rPr>
        <w:t>AZFAOren</w:t>
      </w:r>
      <w:proofErr w:type="spellEnd"/>
      <w:r w:rsidRPr="00CF258F">
        <w:rPr>
          <w:sz w:val="22"/>
          <w:szCs w:val="24"/>
          <w:lang w:val="eu-ES"/>
        </w:rPr>
        <w:t xml:space="preserve"> 90. artikuluan jasotzen da proiektu honek sartu nahi duen betebehar berrirako berariazko gaikuntza. 90. artikuluaren lehen paragrafoan hauxe ezartzen du: "</w:t>
      </w:r>
      <w:r w:rsidRPr="00CF258F">
        <w:rPr>
          <w:i/>
          <w:sz w:val="22"/>
          <w:szCs w:val="24"/>
          <w:lang w:val="eu-ES"/>
        </w:rPr>
        <w:t xml:space="preserve">Pertsona fisikoek edo juridikoek, publikoek zein pribatuek, eta foru arau honetako 35. artikuluko 3. </w:t>
      </w:r>
      <w:proofErr w:type="spellStart"/>
      <w:r w:rsidRPr="00CF258F">
        <w:rPr>
          <w:i/>
          <w:sz w:val="22"/>
          <w:szCs w:val="24"/>
          <w:lang w:val="eu-ES"/>
        </w:rPr>
        <w:t>idatz-zatian</w:t>
      </w:r>
      <w:proofErr w:type="spellEnd"/>
      <w:r w:rsidRPr="00CF258F">
        <w:rPr>
          <w:i/>
          <w:sz w:val="22"/>
          <w:szCs w:val="24"/>
          <w:lang w:val="eu-ES"/>
        </w:rPr>
        <w:t xml:space="preserve"> aipatutako erakundeek euren zerga betebeharren inguruko denetariko datu, txosten, aurrerakin eta frogagiriak, zerga ordainketan eragina izan dezaketenak, eman behar dizkiote Zerga Administrazioari, bai eta beste pertsona batzuekin izan dituzten</w:t>
      </w:r>
      <w:r w:rsidRPr="00CF258F">
        <w:rPr>
          <w:sz w:val="22"/>
          <w:szCs w:val="24"/>
          <w:lang w:val="eu-ES"/>
        </w:rPr>
        <w:t xml:space="preserve"> </w:t>
      </w:r>
      <w:r w:rsidRPr="00CF258F">
        <w:rPr>
          <w:i/>
          <w:sz w:val="22"/>
          <w:szCs w:val="24"/>
          <w:lang w:val="eu-ES"/>
        </w:rPr>
        <w:t>harreman</w:t>
      </w:r>
      <w:r w:rsidRPr="00CF258F">
        <w:rPr>
          <w:sz w:val="22"/>
          <w:szCs w:val="24"/>
          <w:lang w:val="eu-ES"/>
        </w:rPr>
        <w:t xml:space="preserve"> </w:t>
      </w:r>
      <w:r w:rsidRPr="00CF258F">
        <w:rPr>
          <w:i/>
          <w:sz w:val="22"/>
          <w:szCs w:val="24"/>
          <w:lang w:val="eu-ES"/>
        </w:rPr>
        <w:t>ekonomiko, profesional edo finantzarioen ondoriozko guztiak ere".</w:t>
      </w:r>
      <w:r w:rsidRPr="00CF258F">
        <w:rPr>
          <w:sz w:val="22"/>
          <w:szCs w:val="24"/>
          <w:lang w:val="eu-ES"/>
        </w:rPr>
        <w:t xml:space="preserve"> Bestalde, bigarren atalak hauxe ezartzen du: "</w:t>
      </w:r>
      <w:r w:rsidRPr="00CF258F">
        <w:rPr>
          <w:i/>
          <w:sz w:val="22"/>
          <w:szCs w:val="24"/>
          <w:lang w:val="eu-ES"/>
        </w:rPr>
        <w:t xml:space="preserve">2. Aurreko </w:t>
      </w:r>
      <w:proofErr w:type="spellStart"/>
      <w:r w:rsidRPr="00CF258F">
        <w:rPr>
          <w:i/>
          <w:sz w:val="22"/>
          <w:szCs w:val="24"/>
          <w:lang w:val="eu-ES"/>
        </w:rPr>
        <w:t>idatz-zatian</w:t>
      </w:r>
      <w:proofErr w:type="spellEnd"/>
      <w:r w:rsidRPr="00CF258F">
        <w:rPr>
          <w:i/>
          <w:sz w:val="22"/>
          <w:szCs w:val="24"/>
          <w:lang w:val="eu-ES"/>
        </w:rPr>
        <w:t xml:space="preserve"> aipatutako betebeharrak arau bidez ezartzen den moduan eta finkatzen diren epeetan bete behar dira, oro har, edo bestela Zerga Administrazioak banakako errekerimendua egindakoan (noiznahi egin dezake)"</w:t>
      </w:r>
      <w:r w:rsidRPr="00CF258F">
        <w:rPr>
          <w:sz w:val="22"/>
          <w:szCs w:val="24"/>
          <w:lang w:val="eu-ES"/>
        </w:rPr>
        <w:t>.</w:t>
      </w:r>
    </w:p>
    <w:p w:rsidR="00A602EE" w:rsidRPr="00CF258F" w:rsidRDefault="00A602EE" w:rsidP="00A602EE">
      <w:pPr>
        <w:jc w:val="both"/>
        <w:rPr>
          <w:sz w:val="22"/>
          <w:szCs w:val="24"/>
          <w:lang w:val="eu-ES"/>
        </w:rPr>
      </w:pPr>
    </w:p>
    <w:p w:rsidR="00A602EE" w:rsidRPr="00CF258F" w:rsidRDefault="00A602EE" w:rsidP="00A602EE">
      <w:pPr>
        <w:jc w:val="both"/>
        <w:rPr>
          <w:sz w:val="22"/>
          <w:szCs w:val="24"/>
          <w:lang w:val="eu-ES"/>
        </w:rPr>
      </w:pPr>
    </w:p>
    <w:p w:rsidR="00A602EE" w:rsidRDefault="00A602EE" w:rsidP="00A602EE">
      <w:pPr>
        <w:jc w:val="both"/>
        <w:rPr>
          <w:sz w:val="22"/>
          <w:szCs w:val="24"/>
          <w:lang w:val="eu-ES"/>
        </w:rPr>
      </w:pPr>
      <w:r w:rsidRPr="00CF258F">
        <w:rPr>
          <w:i/>
          <w:sz w:val="22"/>
          <w:szCs w:val="24"/>
          <w:lang w:val="eu-ES"/>
        </w:rPr>
        <w:t xml:space="preserve">"Informazioa eman beharra" </w:t>
      </w:r>
      <w:r w:rsidRPr="00CF258F">
        <w:rPr>
          <w:sz w:val="22"/>
          <w:szCs w:val="24"/>
          <w:lang w:val="eu-ES"/>
        </w:rPr>
        <w:t xml:space="preserve">izeneko 90. artikulu honetan jasotzen den legezko gaikuntzak, orain sartzen den informazio beharra ezartzeko aukera babesten du, aipatutako artikulu horren 1. atalarekin bat datorrelako, eta 2. atalean ezarritakoa errespetatzen du. Izan ere, informazio betebeharretan bete behar diren modua eta epeak arauzko arau batek ezarri behar dituela ezartzen du. </w:t>
      </w:r>
    </w:p>
    <w:p w:rsidR="00A602EE" w:rsidRPr="00CF258F" w:rsidRDefault="00A602EE" w:rsidP="00A602EE">
      <w:pPr>
        <w:jc w:val="both"/>
        <w:rPr>
          <w:sz w:val="22"/>
          <w:szCs w:val="24"/>
          <w:lang w:val="eu-ES"/>
        </w:rPr>
      </w:pPr>
    </w:p>
    <w:p w:rsidR="00A602EE" w:rsidRDefault="00A602EE" w:rsidP="00A602EE">
      <w:pPr>
        <w:jc w:val="both"/>
        <w:rPr>
          <w:sz w:val="22"/>
          <w:szCs w:val="24"/>
          <w:lang w:val="eu-ES"/>
        </w:rPr>
      </w:pPr>
      <w:r w:rsidRPr="00CF258F">
        <w:rPr>
          <w:sz w:val="22"/>
          <w:szCs w:val="24"/>
          <w:lang w:val="eu-ES"/>
        </w:rPr>
        <w:t xml:space="preserve">Horregatik, nahikoa legezko gaikuntza dagoela uste da, galdetu den Foru Dekretuaren proiektuaren bidez, araudi mailako arau bat dena, turismorako etxebizitzen komertzializazioan bitarteko gisa aritzen diren subjektuek informazio beharra ezarri eta arautzeko. Izan ere, pertsona fisiko edo juridikoak, publiko edo pribatuak dira, beren harreman ekonomiko edo </w:t>
      </w:r>
      <w:r w:rsidRPr="00CF258F">
        <w:rPr>
          <w:sz w:val="22"/>
          <w:szCs w:val="24"/>
          <w:lang w:val="eu-ES"/>
        </w:rPr>
        <w:lastRenderedPageBreak/>
        <w:t xml:space="preserve">profesionalengatik, zerga arloko datuak dakizkitenak, </w:t>
      </w:r>
      <w:proofErr w:type="spellStart"/>
      <w:r w:rsidRPr="00CF258F">
        <w:rPr>
          <w:sz w:val="22"/>
          <w:szCs w:val="24"/>
          <w:lang w:val="eu-ES"/>
        </w:rPr>
        <w:t>ALFAOren</w:t>
      </w:r>
      <w:proofErr w:type="spellEnd"/>
      <w:r w:rsidRPr="00CF258F">
        <w:rPr>
          <w:sz w:val="22"/>
          <w:szCs w:val="24"/>
          <w:lang w:val="eu-ES"/>
        </w:rPr>
        <w:t xml:space="preserve"> 90. artikuluak ezartzen duen moduan. Horrela ulertu du Estatu Kontseiluak 952/2017 irizpenean (Ogasuna eta Funtzio Publikoa), 2017ko abenduaren 20koan, informazio betebehar hori lurralde erkideko arautegian ezartzea aztertu zuenean, abenduaren 29ko 1070/2017 Errege Dekretuaren, jarduketen eta kudeaketa eta zerga ikuskapeneko prozeduren arautegi orokorra aldatu eta zergak aplikatzeko prozeduren arau erkideak garatzen dituenaren bidez, uztailaren 27ko 1065/2007 Errege Dekretuak eta azaroaren 13ko 1676/2009 Errege Dekretuak, zergadunaren defentsarako kontseilua arautzen duenak, onartutakoa.</w:t>
      </w:r>
    </w:p>
    <w:p w:rsidR="00A602EE" w:rsidRPr="00CF258F" w:rsidRDefault="00A602EE" w:rsidP="00A602EE">
      <w:pPr>
        <w:jc w:val="both"/>
        <w:rPr>
          <w:szCs w:val="24"/>
          <w:lang w:val="eu-ES"/>
        </w:rPr>
      </w:pPr>
    </w:p>
    <w:p w:rsidR="00A602EE" w:rsidRPr="00CF258F" w:rsidRDefault="00A602EE" w:rsidP="00A602EE">
      <w:pPr>
        <w:jc w:val="both"/>
        <w:rPr>
          <w:sz w:val="22"/>
          <w:szCs w:val="24"/>
          <w:lang w:val="eu-ES"/>
        </w:rPr>
      </w:pPr>
      <w:r w:rsidRPr="00CF258F">
        <w:rPr>
          <w:sz w:val="22"/>
          <w:szCs w:val="24"/>
          <w:lang w:val="eu-ES"/>
        </w:rPr>
        <w:t>Aurretik esandakotik ondorioztatu behar da planteatutako erregelamendu aldaketak, bat etorriz EAEko Ekonomia Itunean, Balio erantsiaren gaineko zergaren arauan, Arabako zerga foru arau nagusian eta zerga informazioa modu orokorrean emateko betebeharrei buruzko araudian ezarritakoarekin, Arabako Lurralde Historikoaren eskumen esklusiboa direla; horrenbestez, Aholku Batzorde honen nahitaezko irizpena jaso behar du.</w:t>
      </w:r>
    </w:p>
    <w:p w:rsidR="00A602EE" w:rsidRPr="00CF258F" w:rsidRDefault="00A602EE" w:rsidP="00A602EE">
      <w:pPr>
        <w:jc w:val="both"/>
        <w:rPr>
          <w:sz w:val="22"/>
          <w:szCs w:val="24"/>
          <w:lang w:val="eu-ES"/>
        </w:rPr>
      </w:pPr>
    </w:p>
    <w:p w:rsidR="00A602EE" w:rsidRPr="00CF258F" w:rsidRDefault="00A602EE" w:rsidP="00A602EE">
      <w:pPr>
        <w:tabs>
          <w:tab w:val="left" w:pos="1985"/>
          <w:tab w:val="num" w:pos="2705"/>
        </w:tabs>
        <w:jc w:val="both"/>
        <w:rPr>
          <w:szCs w:val="24"/>
          <w:lang w:val="eu-ES"/>
        </w:rPr>
      </w:pPr>
      <w:r w:rsidRPr="00CF258F">
        <w:rPr>
          <w:b/>
          <w:sz w:val="22"/>
          <w:szCs w:val="24"/>
          <w:lang w:val="eu-ES"/>
        </w:rPr>
        <w:t xml:space="preserve">2.- ERAKUNDE ESKUMENA </w:t>
      </w:r>
    </w:p>
    <w:p w:rsidR="00A602EE" w:rsidRPr="00CF258F" w:rsidRDefault="00A602EE" w:rsidP="00A602EE">
      <w:pPr>
        <w:tabs>
          <w:tab w:val="left" w:pos="1985"/>
          <w:tab w:val="num" w:pos="2705"/>
        </w:tabs>
        <w:jc w:val="both"/>
        <w:rPr>
          <w:b/>
          <w:sz w:val="22"/>
          <w:szCs w:val="24"/>
          <w:lang w:val="eu-ES"/>
        </w:rPr>
      </w:pPr>
    </w:p>
    <w:p w:rsidR="00A602EE" w:rsidRPr="00CF258F" w:rsidRDefault="00A602EE" w:rsidP="00A602EE">
      <w:pPr>
        <w:jc w:val="both"/>
        <w:rPr>
          <w:szCs w:val="24"/>
          <w:lang w:val="eu-ES"/>
        </w:rPr>
      </w:pPr>
      <w:r w:rsidRPr="00CF258F">
        <w:rPr>
          <w:sz w:val="22"/>
          <w:szCs w:val="24"/>
          <w:lang w:val="eu-ES"/>
        </w:rPr>
        <w:t xml:space="preserve">Arabako zerga orokorrari buruzko Foru Araua orokorraren </w:t>
      </w:r>
      <w:proofErr w:type="spellStart"/>
      <w:r w:rsidRPr="00CF258F">
        <w:rPr>
          <w:sz w:val="22"/>
          <w:szCs w:val="24"/>
          <w:lang w:val="eu-ES"/>
        </w:rPr>
        <w:t>4.1</w:t>
      </w:r>
      <w:proofErr w:type="spellEnd"/>
      <w:r w:rsidRPr="00CF258F">
        <w:rPr>
          <w:sz w:val="22"/>
          <w:szCs w:val="24"/>
          <w:lang w:val="eu-ES"/>
        </w:rPr>
        <w:t xml:space="preserve"> artikuluak Arabako Foru Aldundiari esleitzen dio zerga arauak garatzeko araudi eskumena; nolanahi ere, tokiko zergei dagokienez badira toki erakundeei dagozkien eskumenak ere. </w:t>
      </w:r>
    </w:p>
    <w:p w:rsidR="00A602EE" w:rsidRPr="00CF258F" w:rsidRDefault="00A602EE" w:rsidP="00A602EE">
      <w:pPr>
        <w:jc w:val="both"/>
        <w:rPr>
          <w:sz w:val="22"/>
          <w:szCs w:val="24"/>
          <w:lang w:val="eu-ES"/>
        </w:rPr>
      </w:pPr>
      <w:r w:rsidRPr="00CF258F">
        <w:rPr>
          <w:sz w:val="22"/>
          <w:szCs w:val="24"/>
          <w:lang w:val="eu-ES"/>
        </w:rPr>
        <w:t xml:space="preserve">Bestalde, abenduaren 18ko 52/92 Foru Arauak, Arabako Foru Aldundiaren Antolaketa, Funtzionamendu eta Araubide Juridikoari buruzkoak, </w:t>
      </w:r>
      <w:proofErr w:type="spellStart"/>
      <w:r w:rsidRPr="00CF258F">
        <w:rPr>
          <w:sz w:val="22"/>
          <w:szCs w:val="24"/>
          <w:lang w:val="eu-ES"/>
        </w:rPr>
        <w:t>7.2</w:t>
      </w:r>
      <w:proofErr w:type="spellEnd"/>
      <w:r w:rsidRPr="00CF258F">
        <w:rPr>
          <w:sz w:val="22"/>
          <w:szCs w:val="24"/>
          <w:lang w:val="eu-ES"/>
        </w:rPr>
        <w:t xml:space="preserve"> artikuluan, hau ezarri zuen: “</w:t>
      </w:r>
      <w:r w:rsidRPr="00CF258F">
        <w:rPr>
          <w:i/>
          <w:sz w:val="22"/>
          <w:szCs w:val="24"/>
          <w:lang w:val="eu-ES"/>
        </w:rPr>
        <w:t>araudi ahalmena baliatuz, Diputatuen Kontseiluari dagokiola foru arauak garatu eta egikaritzeko araudiak onartzea, foru dekretuen bitartez</w:t>
      </w:r>
      <w:r w:rsidRPr="00CF258F">
        <w:rPr>
          <w:sz w:val="22"/>
          <w:szCs w:val="24"/>
          <w:lang w:val="eu-ES"/>
        </w:rPr>
        <w:t>”.</w:t>
      </w:r>
    </w:p>
    <w:p w:rsidR="00A602EE" w:rsidRPr="00CF258F" w:rsidRDefault="00A602EE" w:rsidP="00A602EE">
      <w:pPr>
        <w:jc w:val="both"/>
        <w:rPr>
          <w:sz w:val="22"/>
          <w:szCs w:val="24"/>
          <w:lang w:val="eu-ES"/>
        </w:rPr>
      </w:pPr>
    </w:p>
    <w:p w:rsidR="00A602EE" w:rsidRPr="00CF258F" w:rsidRDefault="00A602EE" w:rsidP="00A602EE">
      <w:pPr>
        <w:ind w:left="426" w:hanging="426"/>
        <w:jc w:val="both"/>
        <w:rPr>
          <w:szCs w:val="24"/>
          <w:lang w:val="eu-ES"/>
        </w:rPr>
      </w:pPr>
      <w:r w:rsidRPr="00CF258F">
        <w:rPr>
          <w:b/>
          <w:sz w:val="22"/>
          <w:szCs w:val="24"/>
          <w:lang w:val="eu-ES"/>
        </w:rPr>
        <w:t xml:space="preserve">3.- PROZEDURA </w:t>
      </w:r>
    </w:p>
    <w:p w:rsidR="00A602EE" w:rsidRPr="00CF258F" w:rsidRDefault="00A602EE" w:rsidP="00A602EE">
      <w:pPr>
        <w:ind w:left="426" w:hanging="426"/>
        <w:jc w:val="both"/>
        <w:rPr>
          <w:b/>
          <w:sz w:val="22"/>
          <w:szCs w:val="24"/>
          <w:lang w:val="eu-ES"/>
        </w:rPr>
      </w:pPr>
    </w:p>
    <w:p w:rsidR="00A602EE" w:rsidRDefault="00A602EE" w:rsidP="00A602EE">
      <w:pPr>
        <w:jc w:val="both"/>
        <w:rPr>
          <w:sz w:val="22"/>
          <w:szCs w:val="24"/>
          <w:lang w:val="eu-ES"/>
        </w:rPr>
      </w:pPr>
      <w:r w:rsidRPr="00CF258F">
        <w:rPr>
          <w:sz w:val="22"/>
          <w:szCs w:val="24"/>
          <w:lang w:val="eu-ES"/>
        </w:rPr>
        <w:t>Prozedura izapidetzean erabat bete dira xedapen orokorrak egiteari dagokionez indarrean dauden arauak, proposamena aurkezteko eskumena duen erakundeari, arau eraginari buruzko txostenak emateari eta genero eraginaren aldez aurreko ebaluazioari, ekonomia eta arautegi kontrolari, Aholku Batzordeari kontsulta eskatzeari eta onartzeko eskumena duen erakundeari dagokienez.</w:t>
      </w:r>
    </w:p>
    <w:p w:rsidR="00A602EE" w:rsidRPr="00CF258F" w:rsidRDefault="00A602EE" w:rsidP="00A602EE">
      <w:pPr>
        <w:jc w:val="both"/>
        <w:rPr>
          <w:sz w:val="22"/>
          <w:szCs w:val="24"/>
          <w:lang w:val="eu-ES"/>
        </w:rPr>
      </w:pPr>
    </w:p>
    <w:p w:rsidR="00A602EE" w:rsidRDefault="00A602EE" w:rsidP="00A602EE">
      <w:pPr>
        <w:jc w:val="both"/>
        <w:rPr>
          <w:sz w:val="22"/>
          <w:szCs w:val="24"/>
          <w:lang w:val="eu-ES"/>
        </w:rPr>
      </w:pPr>
      <w:r w:rsidRPr="00CF258F">
        <w:rPr>
          <w:sz w:val="22"/>
          <w:szCs w:val="24"/>
          <w:lang w:val="eu-ES"/>
        </w:rPr>
        <w:t>Hain zuzen ere, 29/2017 Foru Dekretuko 9. eta 13. artikuluetan ezarritakoari erreparatuz, maiatzaren 23koa, Foru Gobernu Kontseiluarena, proiektuaren aurrerapenaren jendaurreko izapidea eta aldez aurreko kontsulta egin dira, baliabide telematikoen bitartez, Arabako Foru Aldundiaren webgunearen bidez. Espedientean izapide horren emaitzei buruzko memoria jaso da, 2019ko martxoaren 7ko eta apirilaren 17ko datekin, eta bertan ageri da araudi xedapena idazteko aintzat hartu beharreko proposamen edo oharrik ez dela erregistratu.</w:t>
      </w:r>
    </w:p>
    <w:p w:rsidR="00A602EE" w:rsidRPr="00CF258F" w:rsidRDefault="00A602EE" w:rsidP="00A602EE">
      <w:pPr>
        <w:jc w:val="both"/>
        <w:rPr>
          <w:sz w:val="22"/>
          <w:szCs w:val="24"/>
          <w:lang w:val="eu-ES"/>
        </w:rPr>
      </w:pPr>
    </w:p>
    <w:p w:rsidR="00A602EE" w:rsidRDefault="00A602EE" w:rsidP="00A602EE">
      <w:pPr>
        <w:jc w:val="both"/>
        <w:rPr>
          <w:sz w:val="22"/>
          <w:szCs w:val="24"/>
          <w:lang w:val="eu-ES"/>
        </w:rPr>
      </w:pPr>
      <w:r w:rsidRPr="00CF258F">
        <w:rPr>
          <w:sz w:val="22"/>
          <w:szCs w:val="24"/>
          <w:lang w:val="eu-ES"/>
        </w:rPr>
        <w:t>29/2017 Foru Dekretuaren 14. artikuluko 5. atalari dagokionez, 2019ko apirilaren 25eko Zerga Sarreren Kudeaketa Zerbitzuaren ekonomia txostenak, proiektuaren onarpenak 2019ko aurrekontu ekitaldian ez duela inolako eragin ekonomikorik adierazten du.</w:t>
      </w:r>
    </w:p>
    <w:p w:rsidR="00A602EE" w:rsidRPr="00CF258F" w:rsidRDefault="00A602EE" w:rsidP="00A602EE">
      <w:pPr>
        <w:jc w:val="both"/>
        <w:rPr>
          <w:sz w:val="22"/>
          <w:szCs w:val="24"/>
          <w:lang w:val="eu-ES"/>
        </w:rPr>
      </w:pPr>
    </w:p>
    <w:p w:rsidR="00A602EE" w:rsidRDefault="00A602EE" w:rsidP="00A602EE">
      <w:pPr>
        <w:jc w:val="both"/>
        <w:rPr>
          <w:sz w:val="22"/>
          <w:szCs w:val="24"/>
          <w:lang w:val="eu-ES"/>
        </w:rPr>
      </w:pPr>
      <w:r w:rsidRPr="00CF258F">
        <w:rPr>
          <w:sz w:val="22"/>
          <w:szCs w:val="24"/>
          <w:lang w:val="eu-ES"/>
        </w:rPr>
        <w:t>Beste alde batetik, Zerga Araudiaren Zerbitzuaren txostenak, 2019ko apirilaren 23koak, azaldu zuen ebaluatutako xedapenak ez duela garrantzirik generoaren ikuspuntutik, eta egiaztatze erakundera igorri ondoren, Berdintasun Zerbitzura, zerbitzu horren 2019ko apirilaren 24ko txostenean azaldu da foru dekretuaren proiektua ez dela bereizlea generoari dagokionez.</w:t>
      </w: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Pr="00CF258F" w:rsidRDefault="00A602EE" w:rsidP="00A602EE">
      <w:pPr>
        <w:jc w:val="both"/>
        <w:rPr>
          <w:sz w:val="22"/>
          <w:szCs w:val="24"/>
          <w:lang w:val="eu-ES"/>
        </w:rPr>
      </w:pPr>
    </w:p>
    <w:p w:rsidR="00A602EE" w:rsidRPr="00CF258F" w:rsidRDefault="00A602EE" w:rsidP="00A602EE">
      <w:pPr>
        <w:jc w:val="both"/>
        <w:rPr>
          <w:sz w:val="22"/>
          <w:szCs w:val="24"/>
          <w:lang w:val="eu-ES"/>
        </w:rPr>
      </w:pPr>
    </w:p>
    <w:p w:rsidR="00A602EE" w:rsidRPr="00CF258F" w:rsidRDefault="00A602EE" w:rsidP="00A602EE">
      <w:pPr>
        <w:jc w:val="both"/>
        <w:rPr>
          <w:b/>
          <w:sz w:val="22"/>
          <w:szCs w:val="24"/>
          <w:u w:val="single"/>
          <w:lang w:val="eu-ES"/>
        </w:rPr>
      </w:pPr>
      <w:r w:rsidRPr="00CF258F">
        <w:rPr>
          <w:b/>
          <w:sz w:val="22"/>
          <w:szCs w:val="24"/>
          <w:lang w:val="eu-ES"/>
        </w:rPr>
        <w:lastRenderedPageBreak/>
        <w:t xml:space="preserve">III.- </w:t>
      </w:r>
      <w:r w:rsidRPr="00CF258F">
        <w:rPr>
          <w:b/>
          <w:sz w:val="22"/>
          <w:szCs w:val="24"/>
          <w:u w:val="single"/>
          <w:lang w:val="eu-ES"/>
        </w:rPr>
        <w:t>FORU DEKRETUAREN EGITURA</w:t>
      </w:r>
      <w:r w:rsidRPr="00CF258F">
        <w:rPr>
          <w:b/>
          <w:sz w:val="22"/>
          <w:szCs w:val="24"/>
          <w:lang w:val="eu-ES"/>
        </w:rPr>
        <w:t>.</w:t>
      </w:r>
    </w:p>
    <w:p w:rsidR="00A602EE" w:rsidRPr="00CF258F" w:rsidRDefault="00A602EE" w:rsidP="00A602EE">
      <w:pPr>
        <w:jc w:val="both"/>
        <w:rPr>
          <w:b/>
          <w:sz w:val="22"/>
          <w:szCs w:val="24"/>
          <w:lang w:val="eu-ES"/>
        </w:rPr>
      </w:pPr>
    </w:p>
    <w:p w:rsidR="00A602EE" w:rsidRPr="00CF258F" w:rsidRDefault="00A602EE" w:rsidP="00A602EE">
      <w:pPr>
        <w:jc w:val="both"/>
        <w:rPr>
          <w:sz w:val="22"/>
          <w:szCs w:val="24"/>
          <w:lang w:val="eu-ES"/>
        </w:rPr>
      </w:pPr>
      <w:r w:rsidRPr="00CF258F">
        <w:rPr>
          <w:sz w:val="22"/>
          <w:szCs w:val="24"/>
          <w:lang w:val="eu-ES"/>
        </w:rPr>
        <w:t xml:space="preserve">Foru Dekretuaren proiektuak zioen azalpen bat, idatz zati bat duen azalpen atal bat eta azken xedapen bat dauzka; azken horrek zehaztu du aldaketa </w:t>
      </w:r>
      <w:proofErr w:type="spellStart"/>
      <w:r w:rsidRPr="00CF258F">
        <w:rPr>
          <w:sz w:val="22"/>
          <w:szCs w:val="24"/>
          <w:lang w:val="eu-ES"/>
        </w:rPr>
        <w:t>ALHAOn</w:t>
      </w:r>
      <w:proofErr w:type="spellEnd"/>
      <w:r w:rsidRPr="00CF258F">
        <w:rPr>
          <w:sz w:val="22"/>
          <w:szCs w:val="24"/>
          <w:lang w:val="eu-ES"/>
        </w:rPr>
        <w:t xml:space="preserve"> argitaratu eta hurrengo egunean sartuko dela indarrean, eta ondorioak 2018ko urtarrilaren 1etik aurrera izango dituela.</w:t>
      </w:r>
    </w:p>
    <w:p w:rsidR="00A602EE" w:rsidRPr="00CF258F" w:rsidRDefault="00A602EE" w:rsidP="00A602EE">
      <w:pPr>
        <w:jc w:val="both"/>
        <w:rPr>
          <w:sz w:val="22"/>
          <w:szCs w:val="24"/>
          <w:lang w:val="eu-ES"/>
        </w:rPr>
      </w:pPr>
      <w:r w:rsidRPr="00CF258F">
        <w:rPr>
          <w:sz w:val="22"/>
          <w:szCs w:val="24"/>
          <w:lang w:val="eu-ES"/>
        </w:rPr>
        <w:t xml:space="preserve">Proposatutako aldaketak abenduaren 23ko 111/2008 Foru Dekretuan, kontu, eragiketa eta finantza aktiboei buruzko informazioa emateko beharra arautu eta pertsona eta erakundeentzat, eta bereziki, turismorako erabiltzeko etxebizitzen alokatzean edo lagapenean bitarteko gisa aritzen diren elkarlaneko plataformetarako beste informazio behar bat ezartzea proposatzen duenean, eragina du. </w:t>
      </w:r>
    </w:p>
    <w:p w:rsidR="00A602EE" w:rsidRPr="00CF258F" w:rsidRDefault="00A602EE" w:rsidP="00A602EE">
      <w:pPr>
        <w:jc w:val="both"/>
        <w:rPr>
          <w:sz w:val="22"/>
          <w:szCs w:val="24"/>
          <w:lang w:val="eu-ES"/>
        </w:rPr>
      </w:pPr>
    </w:p>
    <w:p w:rsidR="00A602EE" w:rsidRPr="00CF258F" w:rsidRDefault="00A602EE" w:rsidP="00A602EE">
      <w:pPr>
        <w:jc w:val="both"/>
        <w:rPr>
          <w:szCs w:val="24"/>
          <w:lang w:val="eu-ES"/>
        </w:rPr>
      </w:pPr>
      <w:r w:rsidRPr="00CF258F">
        <w:rPr>
          <w:b/>
          <w:sz w:val="22"/>
          <w:szCs w:val="24"/>
          <w:lang w:val="eu-ES"/>
        </w:rPr>
        <w:t xml:space="preserve">IV. </w:t>
      </w:r>
      <w:r w:rsidRPr="00CF258F">
        <w:rPr>
          <w:b/>
          <w:sz w:val="22"/>
          <w:szCs w:val="24"/>
          <w:u w:val="single"/>
          <w:lang w:val="eu-ES"/>
        </w:rPr>
        <w:t xml:space="preserve">ARAUDI PROPOSAMENAREN ANALISIA </w:t>
      </w:r>
    </w:p>
    <w:p w:rsidR="00A602EE" w:rsidRPr="00CF258F" w:rsidRDefault="00A602EE" w:rsidP="00A602EE">
      <w:pPr>
        <w:jc w:val="both"/>
        <w:rPr>
          <w:b/>
          <w:sz w:val="22"/>
          <w:szCs w:val="24"/>
          <w:lang w:val="eu-ES"/>
        </w:rPr>
      </w:pPr>
    </w:p>
    <w:p w:rsidR="00A602EE" w:rsidRPr="00CF258F" w:rsidRDefault="00A602EE" w:rsidP="00A602EE">
      <w:pPr>
        <w:jc w:val="both"/>
        <w:rPr>
          <w:sz w:val="22"/>
          <w:szCs w:val="24"/>
          <w:lang w:val="eu-ES"/>
        </w:rPr>
      </w:pPr>
      <w:r w:rsidRPr="00CF258F">
        <w:rPr>
          <w:sz w:val="22"/>
          <w:szCs w:val="24"/>
          <w:lang w:val="eu-ES"/>
        </w:rPr>
        <w:t>Proiektuak informazio aitorpen berria eta haren edukia nork aurkeztu behar duen ezartzen du.</w:t>
      </w:r>
    </w:p>
    <w:p w:rsidR="00A602EE" w:rsidRPr="00CF258F" w:rsidRDefault="00A602EE" w:rsidP="00A602EE">
      <w:pPr>
        <w:jc w:val="both"/>
        <w:rPr>
          <w:sz w:val="22"/>
          <w:szCs w:val="24"/>
          <w:lang w:val="eu-ES"/>
        </w:rPr>
      </w:pPr>
    </w:p>
    <w:p w:rsidR="00A602EE" w:rsidRPr="00CF258F" w:rsidRDefault="00A602EE" w:rsidP="00A602EE">
      <w:pPr>
        <w:jc w:val="both"/>
        <w:rPr>
          <w:sz w:val="22"/>
          <w:szCs w:val="24"/>
          <w:u w:val="single"/>
          <w:lang w:val="eu-ES"/>
        </w:rPr>
      </w:pPr>
      <w:r w:rsidRPr="00CF258F">
        <w:rPr>
          <w:sz w:val="22"/>
          <w:szCs w:val="24"/>
          <w:u w:val="single"/>
          <w:lang w:val="eu-ES"/>
        </w:rPr>
        <w:t>Informazio aitorpena aurkeztu behar dituzten zergapekoak</w:t>
      </w:r>
    </w:p>
    <w:p w:rsidR="00A602EE" w:rsidRPr="00CF258F" w:rsidRDefault="00A602EE" w:rsidP="00A602EE">
      <w:pPr>
        <w:jc w:val="both"/>
        <w:rPr>
          <w:sz w:val="22"/>
          <w:szCs w:val="24"/>
          <w:u w:val="single"/>
          <w:lang w:val="eu-ES"/>
        </w:rPr>
      </w:pPr>
    </w:p>
    <w:p w:rsidR="00A602EE" w:rsidRPr="00CF258F" w:rsidRDefault="00A602EE" w:rsidP="00A602EE">
      <w:pPr>
        <w:jc w:val="both"/>
        <w:rPr>
          <w:sz w:val="22"/>
          <w:szCs w:val="24"/>
          <w:lang w:val="eu-ES"/>
        </w:rPr>
      </w:pPr>
      <w:r w:rsidRPr="00CF258F">
        <w:rPr>
          <w:sz w:val="22"/>
          <w:szCs w:val="24"/>
          <w:lang w:val="eu-ES"/>
        </w:rPr>
        <w:t>Informazio aitorpena aurkeztu behar dute turismorako etxebizitzen lagatzaileen eta lagapen-hartzaileen artean bitarteko gisa aritzen diren pertsonek eta erakundeek, bitarteko gisa aritzen diren lagapenak adieraziz.</w:t>
      </w:r>
    </w:p>
    <w:p w:rsidR="00A602EE" w:rsidRPr="00CF258F" w:rsidRDefault="00A602EE" w:rsidP="00A602EE">
      <w:pPr>
        <w:jc w:val="both"/>
        <w:rPr>
          <w:sz w:val="22"/>
          <w:szCs w:val="24"/>
          <w:lang w:val="eu-ES"/>
        </w:rPr>
      </w:pPr>
      <w:r w:rsidRPr="00CF258F">
        <w:rPr>
          <w:sz w:val="22"/>
          <w:szCs w:val="24"/>
          <w:lang w:val="eu-ES"/>
        </w:rPr>
        <w:t>Informazio aitorpen honen ondorioetarako bakarrik, turismorako etxebizitzatzat hartzen dira Eusko Legebiltzarraren uztaileko 28ko 13/2016 Legearen, turismoarenaren, 53. artikuluko 1. atalean ezartzen dituenak, eta 13/2016 Lege beraren 54. artikuluko lehen atalean ezarritako turismo erabilerarako etxebizitza partikularren gelakako ostatuak.</w:t>
      </w:r>
    </w:p>
    <w:p w:rsidR="00A602EE" w:rsidRPr="00CF258F" w:rsidRDefault="00A602EE" w:rsidP="00A602EE">
      <w:pPr>
        <w:jc w:val="both"/>
        <w:rPr>
          <w:sz w:val="22"/>
          <w:szCs w:val="24"/>
          <w:lang w:val="da-DK"/>
        </w:rPr>
      </w:pPr>
      <w:r w:rsidRPr="00CF258F">
        <w:rPr>
          <w:sz w:val="22"/>
          <w:szCs w:val="24"/>
          <w:lang w:val="eu-ES"/>
        </w:rPr>
        <w:t xml:space="preserve">Erabilera turistikoko etxebizitzen kontzeptua </w:t>
      </w:r>
      <w:proofErr w:type="spellStart"/>
      <w:r w:rsidRPr="00CF258F">
        <w:rPr>
          <w:sz w:val="22"/>
          <w:szCs w:val="24"/>
          <w:lang w:val="eu-ES"/>
        </w:rPr>
        <w:t>53.1</w:t>
      </w:r>
      <w:proofErr w:type="spellEnd"/>
      <w:r w:rsidRPr="00CF258F">
        <w:rPr>
          <w:sz w:val="22"/>
          <w:szCs w:val="24"/>
          <w:lang w:val="eu-ES"/>
        </w:rPr>
        <w:t>. artikuluan definitzen da:</w:t>
      </w:r>
    </w:p>
    <w:p w:rsidR="00A602EE" w:rsidRPr="00CF258F" w:rsidRDefault="00A602EE" w:rsidP="00A602EE">
      <w:pPr>
        <w:jc w:val="both"/>
        <w:rPr>
          <w:sz w:val="22"/>
          <w:szCs w:val="24"/>
          <w:lang w:val="da-DK"/>
        </w:rPr>
      </w:pPr>
    </w:p>
    <w:p w:rsidR="00A602EE" w:rsidRPr="00CF258F" w:rsidRDefault="00A602EE" w:rsidP="00A602EE">
      <w:pPr>
        <w:ind w:left="284"/>
        <w:jc w:val="both"/>
        <w:rPr>
          <w:i/>
          <w:sz w:val="22"/>
          <w:szCs w:val="24"/>
          <w:lang w:val="eu-ES"/>
        </w:rPr>
      </w:pPr>
      <w:r w:rsidRPr="00CF258F">
        <w:rPr>
          <w:i/>
          <w:sz w:val="22"/>
          <w:szCs w:val="24"/>
          <w:lang w:val="eu-ES"/>
        </w:rPr>
        <w:t>"1.- Erabilera turistikoko etxebizitzak: Turismo- edo opor-arrazoiengatik ostatu bezala eskaintzen edo merkaturatzen diren edozein motatako etxebizitzak dira, jabeak, ustiatzaileak edo kudeatzaileak hirugarren batzuei lagatzen dizkietenak, aldi baterako eta berehala erabiltzeko moduan. Behin eta berriz edo ohikotasunez eta kontraprestazio ekonomiko baten truke merkaturatzen dira, zuzenean edo zeharka.</w:t>
      </w:r>
    </w:p>
    <w:p w:rsidR="00A602EE" w:rsidRPr="00CF258F" w:rsidRDefault="00A602EE" w:rsidP="00A602EE">
      <w:pPr>
        <w:ind w:left="284"/>
        <w:jc w:val="both"/>
        <w:rPr>
          <w:szCs w:val="24"/>
          <w:lang w:val="es-ES_tradnl"/>
        </w:rPr>
      </w:pPr>
      <w:r w:rsidRPr="00CF258F">
        <w:rPr>
          <w:i/>
          <w:sz w:val="22"/>
          <w:szCs w:val="24"/>
          <w:lang w:val="eu-ES"/>
        </w:rPr>
        <w:t>Errentapeko etxebizitza bat erabilera turistikorako lagaz gero, errentariak aurkeztu beharko du erantzukizunpeko adierazpena, eta inskribatuta egon beharko du Euskadiko Turismo Enpresen eta Jardueren Erregistroan. Era berean, egin nahi duen jardueraren berri eman beharko dio, nahitaez, errentatzaileari.</w:t>
      </w:r>
    </w:p>
    <w:p w:rsidR="00A602EE" w:rsidRPr="00CF258F" w:rsidRDefault="00A602EE" w:rsidP="00A602EE">
      <w:pPr>
        <w:ind w:left="284"/>
        <w:jc w:val="both"/>
        <w:rPr>
          <w:i/>
          <w:sz w:val="22"/>
          <w:szCs w:val="24"/>
          <w:lang w:val="es-ES_tradnl"/>
        </w:rPr>
      </w:pPr>
      <w:r w:rsidRPr="00CF258F">
        <w:rPr>
          <w:i/>
          <w:sz w:val="22"/>
          <w:szCs w:val="24"/>
          <w:lang w:val="eu-ES"/>
        </w:rPr>
        <w:t>Honako eraikin hauek sartzen dira sailkapen honen barruan, zerrenda ez delarik ez osoa, ez mugatzailea:</w:t>
      </w:r>
    </w:p>
    <w:p w:rsidR="00A602EE" w:rsidRPr="00CF258F" w:rsidRDefault="00A602EE" w:rsidP="00A602EE">
      <w:pPr>
        <w:ind w:left="284"/>
        <w:jc w:val="both"/>
        <w:rPr>
          <w:i/>
          <w:sz w:val="22"/>
          <w:szCs w:val="24"/>
          <w:lang w:val="es-ES_tradnl"/>
        </w:rPr>
      </w:pPr>
      <w:r w:rsidRPr="00CF258F">
        <w:rPr>
          <w:i/>
          <w:sz w:val="22"/>
          <w:szCs w:val="24"/>
          <w:lang w:val="eu-ES"/>
        </w:rPr>
        <w:t>– Jabetza horizontalaren araubideko etxebizitza independenteak, familia anitzeko eraikinetan edo atxikietan daudenak.</w:t>
      </w:r>
    </w:p>
    <w:p w:rsidR="00A602EE" w:rsidRPr="00CF258F" w:rsidRDefault="00A602EE" w:rsidP="00A602EE">
      <w:pPr>
        <w:ind w:left="284"/>
        <w:jc w:val="both"/>
        <w:rPr>
          <w:i/>
          <w:sz w:val="22"/>
          <w:szCs w:val="24"/>
          <w:lang w:val="es-ES_tradnl"/>
        </w:rPr>
      </w:pPr>
      <w:r w:rsidRPr="00CF258F">
        <w:rPr>
          <w:i/>
          <w:sz w:val="22"/>
          <w:szCs w:val="24"/>
          <w:lang w:val="eu-ES"/>
        </w:rPr>
        <w:t>– Familia bakarreko etxe banakakoak edo binakakoak.</w:t>
      </w:r>
    </w:p>
    <w:p w:rsidR="00A602EE" w:rsidRPr="00CF258F" w:rsidRDefault="00A602EE" w:rsidP="00A602EE">
      <w:pPr>
        <w:ind w:left="284"/>
        <w:jc w:val="both"/>
        <w:rPr>
          <w:i/>
          <w:sz w:val="22"/>
          <w:szCs w:val="24"/>
          <w:lang w:val="es-ES_tradnl"/>
        </w:rPr>
      </w:pPr>
      <w:r w:rsidRPr="00CF258F">
        <w:rPr>
          <w:i/>
          <w:sz w:val="22"/>
          <w:szCs w:val="24"/>
          <w:lang w:val="eu-ES"/>
        </w:rPr>
        <w:t>– Eraikuntza aurrefabrikatu finkoak edo antzekoak.</w:t>
      </w:r>
    </w:p>
    <w:p w:rsidR="00A602EE" w:rsidRPr="00CF258F" w:rsidRDefault="00A602EE" w:rsidP="00A602EE">
      <w:pPr>
        <w:ind w:left="284"/>
        <w:jc w:val="both"/>
        <w:rPr>
          <w:i/>
          <w:sz w:val="22"/>
          <w:szCs w:val="24"/>
          <w:lang w:val="es-ES_tradnl"/>
        </w:rPr>
      </w:pPr>
      <w:r w:rsidRPr="00CF258F">
        <w:rPr>
          <w:i/>
          <w:sz w:val="22"/>
          <w:szCs w:val="24"/>
          <w:lang w:val="eu-ES"/>
        </w:rPr>
        <w:t>Etxebizitza horien barruan sartzen dira apartamentu partikularrak, estudio deritzenak, pisuak, villa deiturikoak zein txaletak".</w:t>
      </w:r>
    </w:p>
    <w:p w:rsidR="00A602EE" w:rsidRPr="00CF258F" w:rsidRDefault="00A602EE" w:rsidP="00A602EE">
      <w:pPr>
        <w:ind w:left="284"/>
        <w:jc w:val="both"/>
        <w:rPr>
          <w:i/>
          <w:sz w:val="22"/>
          <w:szCs w:val="24"/>
          <w:lang w:val="es-ES_tradnl"/>
        </w:rPr>
      </w:pPr>
    </w:p>
    <w:p w:rsidR="00A602EE" w:rsidRPr="00CF258F" w:rsidRDefault="00A602EE" w:rsidP="00A602EE">
      <w:pPr>
        <w:jc w:val="both"/>
        <w:rPr>
          <w:sz w:val="22"/>
          <w:szCs w:val="24"/>
        </w:rPr>
      </w:pPr>
      <w:r w:rsidRPr="00CF258F">
        <w:rPr>
          <w:sz w:val="22"/>
          <w:szCs w:val="24"/>
          <w:lang w:val="eu-ES"/>
        </w:rPr>
        <w:t xml:space="preserve">Bestalde, </w:t>
      </w:r>
      <w:proofErr w:type="spellStart"/>
      <w:r w:rsidRPr="00CF258F">
        <w:rPr>
          <w:sz w:val="22"/>
          <w:szCs w:val="24"/>
          <w:lang w:val="eu-ES"/>
        </w:rPr>
        <w:t>54.1</w:t>
      </w:r>
      <w:proofErr w:type="spellEnd"/>
      <w:r w:rsidRPr="00CF258F">
        <w:rPr>
          <w:sz w:val="22"/>
          <w:szCs w:val="24"/>
          <w:lang w:val="eu-ES"/>
        </w:rPr>
        <w:t>. artikuluak, erabilera turistikoko etxebizitza partikularretako logeletako ostatua jasotzen du:</w:t>
      </w:r>
    </w:p>
    <w:p w:rsidR="00A602EE" w:rsidRPr="00CF258F" w:rsidRDefault="00A602EE" w:rsidP="00A602EE">
      <w:pPr>
        <w:jc w:val="both"/>
        <w:rPr>
          <w:sz w:val="22"/>
          <w:szCs w:val="24"/>
        </w:rPr>
      </w:pPr>
    </w:p>
    <w:p w:rsidR="00A602EE" w:rsidRPr="00CF258F" w:rsidRDefault="00A602EE" w:rsidP="00A602EE">
      <w:pPr>
        <w:ind w:left="284"/>
        <w:jc w:val="both"/>
        <w:rPr>
          <w:i/>
          <w:sz w:val="22"/>
          <w:szCs w:val="24"/>
          <w:lang w:val="eu-ES"/>
        </w:rPr>
      </w:pPr>
      <w:r w:rsidRPr="00CF258F">
        <w:rPr>
          <w:i/>
          <w:sz w:val="22"/>
          <w:szCs w:val="24"/>
          <w:lang w:val="eu-ES"/>
        </w:rPr>
        <w:t xml:space="preserve">"1.- Ostatu-zerbitzuen sustapena, eskaintzaren koordinazioa eta erabiltzaileen eskubideak bermatzeko, etxebizitza partikularretako logeletan oporretarako edo turismorako ostatu-zerbitzuak prezio bidez eskaintzen dituztenek erantzukizunpeko adierazpen bat aurkeztu beharko diote Euskadiko Turismo Administrazioari, adieraziz trafiko turistikoko jarduerak egiten dituztela. Hori egin ezean, </w:t>
      </w:r>
      <w:proofErr w:type="spellStart"/>
      <w:r w:rsidRPr="00CF258F">
        <w:rPr>
          <w:i/>
          <w:sz w:val="22"/>
          <w:szCs w:val="24"/>
          <w:lang w:val="eu-ES"/>
        </w:rPr>
        <w:t>53.6</w:t>
      </w:r>
      <w:proofErr w:type="spellEnd"/>
      <w:r w:rsidRPr="00CF258F">
        <w:rPr>
          <w:i/>
          <w:sz w:val="22"/>
          <w:szCs w:val="24"/>
          <w:lang w:val="eu-ES"/>
        </w:rPr>
        <w:t xml:space="preserve"> artikuluan adierazitako ondorioak izango dituzte.</w:t>
      </w:r>
    </w:p>
    <w:p w:rsidR="00A602EE" w:rsidRPr="00CF258F" w:rsidRDefault="00A602EE" w:rsidP="00A602EE">
      <w:pPr>
        <w:ind w:left="284"/>
        <w:jc w:val="both"/>
        <w:rPr>
          <w:i/>
          <w:sz w:val="22"/>
          <w:szCs w:val="24"/>
          <w:lang w:val="eu-ES"/>
        </w:rPr>
      </w:pPr>
      <w:r w:rsidRPr="00CF258F">
        <w:rPr>
          <w:i/>
          <w:sz w:val="22"/>
          <w:szCs w:val="24"/>
          <w:lang w:val="eu-ES"/>
        </w:rPr>
        <w:t>Etxebizitza partikulartzat hartuko da titularraren benetako egoitza.</w:t>
      </w:r>
    </w:p>
    <w:p w:rsidR="00A602EE" w:rsidRPr="00CF258F" w:rsidRDefault="00A602EE" w:rsidP="00A602EE">
      <w:pPr>
        <w:ind w:left="284"/>
        <w:jc w:val="both"/>
        <w:rPr>
          <w:i/>
          <w:sz w:val="22"/>
          <w:szCs w:val="24"/>
          <w:lang w:val="eu-ES"/>
        </w:rPr>
      </w:pPr>
      <w:r w:rsidRPr="00CF258F">
        <w:rPr>
          <w:i/>
          <w:sz w:val="22"/>
          <w:szCs w:val="24"/>
          <w:lang w:val="eu-ES"/>
        </w:rPr>
        <w:t>Ostatu-mota honen barruan sartzen dira, besteak beste, «bed and breakfast» eta «bed and brekky» deiturikoak".</w:t>
      </w:r>
    </w:p>
    <w:p w:rsidR="00A602EE" w:rsidRPr="00CF258F" w:rsidRDefault="00A602EE" w:rsidP="00A602EE">
      <w:pPr>
        <w:ind w:left="284"/>
        <w:jc w:val="both"/>
        <w:rPr>
          <w:i/>
          <w:sz w:val="22"/>
          <w:szCs w:val="24"/>
          <w:lang w:val="eu-ES"/>
        </w:rPr>
      </w:pPr>
    </w:p>
    <w:p w:rsidR="00A602EE" w:rsidRDefault="00A602EE" w:rsidP="00A602EE">
      <w:pPr>
        <w:jc w:val="both"/>
        <w:rPr>
          <w:sz w:val="22"/>
          <w:szCs w:val="24"/>
          <w:lang w:val="eu-ES"/>
        </w:rPr>
      </w:pPr>
      <w:r w:rsidRPr="00CF258F">
        <w:rPr>
          <w:sz w:val="22"/>
          <w:szCs w:val="24"/>
          <w:lang w:val="eu-ES"/>
        </w:rPr>
        <w:t xml:space="preserve">Hala ere, xede turistikorako etxebizitzen erabileraren kontzeptu honetatik kanpo geratzen dira, eta beraz, ez dute informazio aitorpen hori aurkeztu beharrik, kasu hauek: </w:t>
      </w:r>
    </w:p>
    <w:p w:rsidR="00A602EE" w:rsidRPr="00CF258F" w:rsidRDefault="00A602EE" w:rsidP="00A602EE">
      <w:pPr>
        <w:jc w:val="both"/>
        <w:rPr>
          <w:szCs w:val="24"/>
          <w:lang w:val="eu-ES"/>
        </w:rPr>
      </w:pPr>
      <w:r w:rsidRPr="00CF258F">
        <w:rPr>
          <w:sz w:val="22"/>
          <w:szCs w:val="24"/>
          <w:lang w:val="eu-ES"/>
        </w:rPr>
        <w:t xml:space="preserve"> </w:t>
      </w:r>
    </w:p>
    <w:p w:rsidR="00A602EE" w:rsidRPr="00CF258F" w:rsidRDefault="00A602EE" w:rsidP="00A602EE">
      <w:pPr>
        <w:pStyle w:val="Default"/>
        <w:spacing w:after="200"/>
        <w:jc w:val="both"/>
        <w:rPr>
          <w:lang w:val="eu-ES"/>
        </w:rPr>
      </w:pPr>
      <w:r w:rsidRPr="00CF258F">
        <w:rPr>
          <w:color w:val="auto"/>
          <w:sz w:val="22"/>
          <w:lang w:val="eu-ES"/>
        </w:rPr>
        <w:t xml:space="preserve">(i) Hiri-errentamenduei buruzko Legeak arautzen dituen etxebizitzen errentamenduak eta azpierrentamendu partzialak. </w:t>
      </w:r>
    </w:p>
    <w:p w:rsidR="00A602EE" w:rsidRPr="00CF258F" w:rsidRDefault="00A602EE" w:rsidP="00A602EE">
      <w:pPr>
        <w:pStyle w:val="Default"/>
        <w:spacing w:after="200"/>
        <w:jc w:val="both"/>
        <w:rPr>
          <w:lang w:val="eu-ES"/>
        </w:rPr>
      </w:pPr>
      <w:r w:rsidRPr="00CF258F">
        <w:rPr>
          <w:color w:val="auto"/>
          <w:sz w:val="22"/>
          <w:lang w:val="eu-ES"/>
        </w:rPr>
        <w:t>(</w:t>
      </w:r>
      <w:proofErr w:type="spellStart"/>
      <w:r w:rsidRPr="00CF258F">
        <w:rPr>
          <w:color w:val="auto"/>
          <w:sz w:val="22"/>
          <w:lang w:val="eu-ES"/>
        </w:rPr>
        <w:t>ii</w:t>
      </w:r>
      <w:proofErr w:type="spellEnd"/>
      <w:r w:rsidRPr="00CF258F">
        <w:rPr>
          <w:color w:val="auto"/>
          <w:sz w:val="22"/>
          <w:lang w:val="eu-ES"/>
        </w:rPr>
        <w:t xml:space="preserve">) berariazko arautegia arautzen duten turismo ostatuak (berehala erabiltzeko altzariz hornitutako etxebizitza bat osorik denboraldi baterako lagatzen dena, turismo eskaintzako kanaletan merkaturatu edo sustatutakoa, eta irabazi asmoarekin egindakoa izan ezik, berariazko araubidea duten eta araubide hori betetzen duten edo betetzen ez duten arren). </w:t>
      </w:r>
    </w:p>
    <w:p w:rsidR="00A602EE" w:rsidRPr="00CF258F" w:rsidRDefault="00A602EE" w:rsidP="00A602EE">
      <w:pPr>
        <w:pStyle w:val="Default"/>
        <w:spacing w:after="200"/>
        <w:jc w:val="both"/>
        <w:rPr>
          <w:rFonts w:ascii="Calibri" w:hAnsi="Calibri"/>
          <w:lang w:val="eu-ES"/>
        </w:rPr>
      </w:pPr>
      <w:r w:rsidRPr="00CF258F">
        <w:rPr>
          <w:rFonts w:ascii="Calibri" w:hAnsi="Calibri"/>
          <w:color w:val="auto"/>
          <w:sz w:val="22"/>
          <w:lang w:val="eu-ES"/>
        </w:rPr>
        <w:t>(</w:t>
      </w:r>
      <w:proofErr w:type="spellStart"/>
      <w:r w:rsidRPr="00CF258F">
        <w:rPr>
          <w:rFonts w:ascii="Calibri" w:hAnsi="Calibri"/>
          <w:color w:val="auto"/>
          <w:sz w:val="22"/>
          <w:lang w:val="eu-ES"/>
        </w:rPr>
        <w:t>iii</w:t>
      </w:r>
      <w:proofErr w:type="spellEnd"/>
      <w:r w:rsidRPr="00CF258F">
        <w:rPr>
          <w:rFonts w:ascii="Calibri" w:hAnsi="Calibri"/>
          <w:color w:val="auto"/>
          <w:sz w:val="22"/>
          <w:lang w:val="eu-ES"/>
        </w:rPr>
        <w:t xml:space="preserve">) Ondasun higiezinak txandaka aprobetxatzeko eskubidea. </w:t>
      </w:r>
    </w:p>
    <w:p w:rsidR="00A602EE" w:rsidRPr="00CF258F" w:rsidRDefault="00A602EE" w:rsidP="00A602EE">
      <w:pPr>
        <w:pStyle w:val="Default"/>
        <w:spacing w:after="200"/>
        <w:jc w:val="both"/>
        <w:rPr>
          <w:rFonts w:ascii="Calibri" w:hAnsi="Calibri"/>
          <w:lang w:val="eu-ES"/>
        </w:rPr>
      </w:pPr>
      <w:r w:rsidRPr="00CF258F">
        <w:rPr>
          <w:rFonts w:ascii="Calibri" w:hAnsi="Calibri"/>
          <w:color w:val="auto"/>
          <w:sz w:val="22"/>
          <w:lang w:val="eu-ES"/>
        </w:rPr>
        <w:t>(</w:t>
      </w:r>
      <w:proofErr w:type="spellStart"/>
      <w:r w:rsidRPr="00CF258F">
        <w:rPr>
          <w:rFonts w:ascii="Calibri" w:hAnsi="Calibri"/>
          <w:color w:val="auto"/>
          <w:sz w:val="22"/>
          <w:lang w:val="eu-ES"/>
        </w:rPr>
        <w:t>iv</w:t>
      </w:r>
      <w:proofErr w:type="spellEnd"/>
      <w:r w:rsidRPr="00CF258F">
        <w:rPr>
          <w:rFonts w:ascii="Calibri" w:hAnsi="Calibri"/>
          <w:color w:val="auto"/>
          <w:sz w:val="22"/>
          <w:lang w:val="eu-ES"/>
        </w:rPr>
        <w:t xml:space="preserve">) Hiri errentamenduen Legearen (HEL) 5. artikuluko a). eta d). letren artean dauden erabilerak eta kontratuak, HEL aplikatzen den esparrutik salbuetsitako </w:t>
      </w:r>
      <w:proofErr w:type="spellStart"/>
      <w:r w:rsidRPr="00CF258F">
        <w:rPr>
          <w:rFonts w:ascii="Calibri" w:hAnsi="Calibri"/>
          <w:color w:val="auto"/>
          <w:sz w:val="22"/>
          <w:lang w:val="eu-ES"/>
        </w:rPr>
        <w:t>errentamednuei</w:t>
      </w:r>
      <w:proofErr w:type="spellEnd"/>
      <w:r w:rsidRPr="00CF258F">
        <w:rPr>
          <w:rFonts w:ascii="Calibri" w:hAnsi="Calibri"/>
          <w:color w:val="auto"/>
          <w:sz w:val="22"/>
          <w:lang w:val="eu-ES"/>
        </w:rPr>
        <w:t xml:space="preserve"> buruzkoetan: </w:t>
      </w:r>
    </w:p>
    <w:p w:rsidR="00A602EE" w:rsidRPr="00CF258F" w:rsidRDefault="00A602EE" w:rsidP="00A602EE">
      <w:pPr>
        <w:pStyle w:val="Default"/>
        <w:spacing w:after="200"/>
        <w:ind w:left="567"/>
        <w:jc w:val="both"/>
        <w:rPr>
          <w:rFonts w:ascii="Calibri" w:hAnsi="Calibri"/>
          <w:lang w:val="eu-ES"/>
        </w:rPr>
      </w:pPr>
      <w:r w:rsidRPr="00CF258F">
        <w:rPr>
          <w:rFonts w:ascii="Calibri" w:hAnsi="Calibri"/>
          <w:color w:val="auto"/>
          <w:sz w:val="22"/>
          <w:lang w:val="eu-ES"/>
        </w:rPr>
        <w:t xml:space="preserve">a) Atezain,  zaintzaile,  alokairupeko,  enplegatu  eta  funtzionarioei  euren  kargua  dela-eta  edo  emandako  zerbitzuarengatik esleitutako etxebizitzen erabilera. </w:t>
      </w:r>
    </w:p>
    <w:p w:rsidR="00A602EE" w:rsidRPr="00CF258F" w:rsidRDefault="00A602EE" w:rsidP="00A602EE">
      <w:pPr>
        <w:pStyle w:val="Default"/>
        <w:spacing w:after="200"/>
        <w:ind w:left="567"/>
        <w:jc w:val="both"/>
        <w:rPr>
          <w:rFonts w:ascii="Calibri" w:hAnsi="Calibri"/>
          <w:lang w:val="eu-ES"/>
        </w:rPr>
      </w:pPr>
      <w:r w:rsidRPr="00CF258F">
        <w:rPr>
          <w:rFonts w:ascii="Calibri" w:hAnsi="Calibri"/>
          <w:color w:val="auto"/>
          <w:sz w:val="22"/>
          <w:lang w:val="eu-ES"/>
        </w:rPr>
        <w:t xml:space="preserve">b) Militarren etxebizitzen erabilera, horien kalifikazioa eta  araubidea  gorabehera,  euren  legeria  berezian  xedatutakoaren arabera arautuko baitira. </w:t>
      </w:r>
    </w:p>
    <w:p w:rsidR="00A602EE" w:rsidRPr="00CF258F" w:rsidRDefault="00A602EE" w:rsidP="00A602EE">
      <w:pPr>
        <w:pStyle w:val="Default"/>
        <w:spacing w:after="200"/>
        <w:ind w:left="567"/>
        <w:jc w:val="both"/>
        <w:rPr>
          <w:rFonts w:ascii="Calibri" w:hAnsi="Calibri"/>
          <w:lang w:val="eu-ES"/>
        </w:rPr>
      </w:pPr>
      <w:r w:rsidRPr="00CF258F">
        <w:rPr>
          <w:rFonts w:ascii="Calibri" w:hAnsi="Calibri"/>
          <w:color w:val="auto"/>
          <w:sz w:val="22"/>
          <w:lang w:val="eu-ES"/>
        </w:rPr>
        <w:t xml:space="preserve">c) Laborantza-etxea duen finka bat errentan emateko kontratuak,    errentamenduaren    helburu    nagusia    nekazaritza-,          abeltzaintza-          edo          baso-aprobetxamendua bada. Kontratu       horietan       aplikatuko       da       landa-errentamenduei      aplikatu      beharreko      legerian      xedatutakoa. </w:t>
      </w:r>
    </w:p>
    <w:p w:rsidR="00A602EE" w:rsidRPr="00CF258F" w:rsidRDefault="00A602EE" w:rsidP="00A602EE">
      <w:pPr>
        <w:pStyle w:val="Default"/>
        <w:spacing w:after="200"/>
        <w:ind w:left="567"/>
        <w:jc w:val="both"/>
        <w:rPr>
          <w:rFonts w:ascii="Calibri" w:hAnsi="Calibri"/>
          <w:lang w:val="eu-ES"/>
        </w:rPr>
      </w:pPr>
      <w:r w:rsidRPr="00CF258F">
        <w:rPr>
          <w:rFonts w:ascii="Calibri" w:hAnsi="Calibri"/>
          <w:color w:val="auto"/>
          <w:sz w:val="22"/>
          <w:lang w:val="eu-ES"/>
        </w:rPr>
        <w:t xml:space="preserve">d) Unibertsitateko        etxebizitzen        erabilera,        unibertsitateak  berak,  horien  jabe  edo  arduradun  izanda, beren beregi hala kalifikatu dituenean, baldin eta  etxebizitzok  esleitzen  bazaizkie  kasuan  kasuko  unibertsitatean  matrikulatutako  ikasleei,  eta  bertako  irakaskuntza,     administrazio     eta     zerbitzuetako     langileei,  horietako  bakoitzaren  eta  unibertsitatearen  artean  ezarritako  lotura  dela  bide;  unibertsitatearen  ardura izango da, kasuan- kasuan, etxebizitza horien erabileran aplikatu behar diren arauak ezartzea. </w:t>
      </w:r>
    </w:p>
    <w:p w:rsidR="00A602EE" w:rsidRPr="00CF258F" w:rsidRDefault="00A602EE" w:rsidP="00A602EE">
      <w:pPr>
        <w:pStyle w:val="Default"/>
        <w:spacing w:after="200"/>
        <w:jc w:val="both"/>
        <w:rPr>
          <w:rFonts w:ascii="Calibri" w:hAnsi="Calibri"/>
          <w:lang w:val="eu-ES"/>
        </w:rPr>
      </w:pPr>
      <w:r w:rsidRPr="00CF258F">
        <w:rPr>
          <w:rFonts w:ascii="Calibri" w:hAnsi="Calibri"/>
          <w:color w:val="auto"/>
          <w:sz w:val="22"/>
          <w:lang w:val="eu-ES"/>
        </w:rPr>
        <w:t>Xede horietarako, bitartekaritzat hartuko dira aurreko apartatuan adierazten den erabileraren lagatzailearen eta lagapen-hartzailearen artean bitartekaritza zerbitzua ematen duten pertsona edo entitate guztiak, dohainik nahiz kostu bidez egiten dutela. Betebehar berri hori, batez ere "</w:t>
      </w:r>
      <w:r w:rsidRPr="00CF258F">
        <w:rPr>
          <w:rFonts w:ascii="Calibri" w:hAnsi="Calibri"/>
          <w:i/>
          <w:color w:val="auto"/>
          <w:sz w:val="22"/>
          <w:lang w:val="eu-ES"/>
        </w:rPr>
        <w:t xml:space="preserve">elkarlaneko plataforma" </w:t>
      </w:r>
      <w:r w:rsidRPr="00CF258F">
        <w:rPr>
          <w:rFonts w:ascii="Calibri" w:hAnsi="Calibri"/>
          <w:color w:val="auto"/>
          <w:sz w:val="22"/>
          <w:lang w:val="eu-ES"/>
        </w:rPr>
        <w:t xml:space="preserve">direlakoentzat bereziki bada ere, hala nola </w:t>
      </w:r>
      <w:proofErr w:type="spellStart"/>
      <w:r w:rsidRPr="00CF258F">
        <w:rPr>
          <w:rFonts w:ascii="Calibri" w:hAnsi="Calibri"/>
          <w:i/>
          <w:color w:val="auto"/>
          <w:sz w:val="22"/>
          <w:lang w:val="eu-ES"/>
        </w:rPr>
        <w:t>Booking</w:t>
      </w:r>
      <w:proofErr w:type="spellEnd"/>
      <w:r w:rsidRPr="00CF258F">
        <w:rPr>
          <w:rFonts w:ascii="Calibri" w:hAnsi="Calibri"/>
          <w:color w:val="auto"/>
          <w:sz w:val="22"/>
          <w:lang w:val="eu-ES"/>
        </w:rPr>
        <w:t xml:space="preserve">, </w:t>
      </w:r>
      <w:proofErr w:type="spellStart"/>
      <w:r w:rsidRPr="00CF258F">
        <w:rPr>
          <w:rFonts w:ascii="Calibri" w:hAnsi="Calibri"/>
          <w:i/>
          <w:color w:val="auto"/>
          <w:sz w:val="22"/>
          <w:lang w:val="eu-ES"/>
        </w:rPr>
        <w:t>Airbn</w:t>
      </w:r>
      <w:r w:rsidRPr="00CF258F">
        <w:rPr>
          <w:rFonts w:ascii="Calibri" w:hAnsi="Calibri"/>
          <w:color w:val="auto"/>
          <w:sz w:val="22"/>
          <w:lang w:val="eu-ES"/>
        </w:rPr>
        <w:t>b</w:t>
      </w:r>
      <w:proofErr w:type="spellEnd"/>
      <w:r w:rsidRPr="00CF258F">
        <w:rPr>
          <w:rFonts w:ascii="Calibri" w:hAnsi="Calibri"/>
          <w:color w:val="auto"/>
          <w:sz w:val="22"/>
          <w:lang w:val="eu-ES"/>
        </w:rPr>
        <w:t xml:space="preserve"> edo </w:t>
      </w:r>
      <w:proofErr w:type="spellStart"/>
      <w:r w:rsidRPr="00CF258F">
        <w:rPr>
          <w:rFonts w:ascii="Calibri" w:hAnsi="Calibri"/>
          <w:i/>
          <w:color w:val="auto"/>
          <w:sz w:val="22"/>
          <w:lang w:val="eu-ES"/>
        </w:rPr>
        <w:t>Wimdu</w:t>
      </w:r>
      <w:proofErr w:type="spellEnd"/>
      <w:r w:rsidRPr="00CF258F">
        <w:rPr>
          <w:rFonts w:ascii="Calibri" w:hAnsi="Calibri"/>
          <w:i/>
          <w:color w:val="auto"/>
          <w:sz w:val="22"/>
          <w:lang w:val="eu-ES"/>
        </w:rPr>
        <w:t xml:space="preserve">, </w:t>
      </w:r>
      <w:r w:rsidRPr="00CF258F">
        <w:rPr>
          <w:rFonts w:ascii="Calibri" w:hAnsi="Calibri"/>
          <w:color w:val="auto"/>
          <w:sz w:val="22"/>
          <w:lang w:val="eu-ES"/>
        </w:rPr>
        <w:t>bitartekari guztiek ere aurkeztu beharko dituzte, hots, alderdiak (lagatzeko eta errentan emateko eskubidearen titularrak) hurbiltzen dituen edozein pertsona edo erakundeak, turismo xederako etxebizitzaren errentamendu kontratua egiteko helburuarekin, hau da, higiezinen enpresak eta bestelako bitarteko agenteak.</w:t>
      </w:r>
    </w:p>
    <w:p w:rsidR="00A602EE" w:rsidRDefault="00A602EE" w:rsidP="00A602EE">
      <w:pPr>
        <w:jc w:val="both"/>
        <w:rPr>
          <w:sz w:val="22"/>
          <w:szCs w:val="24"/>
          <w:lang w:val="eu-ES"/>
        </w:rPr>
      </w:pPr>
      <w:r w:rsidRPr="00CF258F">
        <w:rPr>
          <w:sz w:val="22"/>
          <w:szCs w:val="24"/>
          <w:lang w:val="eu-ES"/>
        </w:rPr>
        <w:t xml:space="preserve">Erakunde horiek ebatzi behar duten gai praktikoetako bat da plataformetan alta emanda agertzen den pertsona, izan ere, kasu askotan ez delako errenta horien hartzailea, beraz, plataforma batzuek (esaterako, </w:t>
      </w:r>
      <w:proofErr w:type="spellStart"/>
      <w:r w:rsidRPr="00CF258F">
        <w:rPr>
          <w:i/>
          <w:sz w:val="22"/>
          <w:szCs w:val="24"/>
          <w:lang w:val="eu-ES"/>
        </w:rPr>
        <w:t>Airbnb</w:t>
      </w:r>
      <w:r w:rsidRPr="00CF258F">
        <w:rPr>
          <w:sz w:val="22"/>
          <w:szCs w:val="24"/>
          <w:lang w:val="eu-ES"/>
        </w:rPr>
        <w:t>-k</w:t>
      </w:r>
      <w:proofErr w:type="spellEnd"/>
      <w:r w:rsidRPr="00CF258F">
        <w:rPr>
          <w:sz w:val="22"/>
          <w:szCs w:val="24"/>
          <w:lang w:val="eu-ES"/>
        </w:rPr>
        <w:t xml:space="preserve">), </w:t>
      </w:r>
      <w:proofErr w:type="spellStart"/>
      <w:r w:rsidRPr="00CF258F">
        <w:rPr>
          <w:sz w:val="22"/>
          <w:szCs w:val="24"/>
          <w:lang w:val="eu-ES"/>
        </w:rPr>
        <w:t>ostalarikidearen</w:t>
      </w:r>
      <w:proofErr w:type="spellEnd"/>
      <w:r w:rsidRPr="00CF258F">
        <w:rPr>
          <w:sz w:val="22"/>
          <w:szCs w:val="24"/>
          <w:lang w:val="eu-ES"/>
        </w:rPr>
        <w:t xml:space="preserve"> irudia sortu dute. Horrela, bitartekari gisa eta sortutako errentaren titular gisa nor aritzen den identifika daiteke.</w:t>
      </w: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Default="00A602EE" w:rsidP="00A602EE">
      <w:pPr>
        <w:jc w:val="both"/>
        <w:rPr>
          <w:sz w:val="22"/>
          <w:szCs w:val="24"/>
          <w:lang w:val="eu-ES"/>
        </w:rPr>
      </w:pPr>
    </w:p>
    <w:p w:rsidR="00A602EE" w:rsidRPr="00CF258F" w:rsidRDefault="00A602EE" w:rsidP="00A602EE">
      <w:pPr>
        <w:jc w:val="both"/>
        <w:rPr>
          <w:sz w:val="22"/>
          <w:szCs w:val="24"/>
          <w:lang w:val="eu-ES"/>
        </w:rPr>
      </w:pPr>
    </w:p>
    <w:p w:rsidR="00A602EE" w:rsidRPr="00CF258F" w:rsidRDefault="00A602EE" w:rsidP="00A602EE">
      <w:pPr>
        <w:jc w:val="both"/>
        <w:rPr>
          <w:sz w:val="22"/>
          <w:szCs w:val="24"/>
          <w:lang w:val="eu-ES"/>
        </w:rPr>
      </w:pPr>
    </w:p>
    <w:p w:rsidR="00A602EE" w:rsidRPr="00CF258F" w:rsidRDefault="00A602EE" w:rsidP="00A602EE">
      <w:pPr>
        <w:jc w:val="both"/>
        <w:rPr>
          <w:sz w:val="22"/>
          <w:szCs w:val="24"/>
          <w:u w:val="single"/>
          <w:lang w:val="eu-ES"/>
        </w:rPr>
      </w:pPr>
      <w:r w:rsidRPr="00CF258F">
        <w:rPr>
          <w:sz w:val="22"/>
          <w:szCs w:val="24"/>
          <w:u w:val="single"/>
          <w:lang w:val="eu-ES"/>
        </w:rPr>
        <w:t>Informazio aitorpenaren edukia</w:t>
      </w:r>
    </w:p>
    <w:p w:rsidR="00A602EE" w:rsidRPr="00CF258F" w:rsidRDefault="00A602EE" w:rsidP="00A602EE">
      <w:pPr>
        <w:jc w:val="both"/>
        <w:rPr>
          <w:sz w:val="22"/>
          <w:szCs w:val="24"/>
          <w:u w:val="single"/>
          <w:lang w:val="eu-ES"/>
        </w:rPr>
      </w:pPr>
    </w:p>
    <w:p w:rsidR="00A602EE" w:rsidRDefault="00A602EE" w:rsidP="00A602EE">
      <w:pPr>
        <w:jc w:val="both"/>
        <w:rPr>
          <w:sz w:val="22"/>
          <w:szCs w:val="24"/>
          <w:lang w:val="eu-ES"/>
        </w:rPr>
      </w:pPr>
      <w:r w:rsidRPr="00CF258F">
        <w:rPr>
          <w:sz w:val="22"/>
          <w:szCs w:val="24"/>
          <w:lang w:val="eu-ES"/>
        </w:rPr>
        <w:t xml:space="preserve">Alderdi hauek nahitaez jakinarazi beharko dira: </w:t>
      </w:r>
    </w:p>
    <w:p w:rsidR="00A602EE" w:rsidRPr="00CF258F" w:rsidRDefault="00A602EE" w:rsidP="00A602EE">
      <w:pPr>
        <w:jc w:val="both"/>
        <w:rPr>
          <w:szCs w:val="24"/>
          <w:lang w:val="eu-ES"/>
        </w:rPr>
      </w:pPr>
      <w:bookmarkStart w:id="0" w:name="_GoBack"/>
      <w:bookmarkEnd w:id="0"/>
    </w:p>
    <w:p w:rsidR="00A602EE" w:rsidRPr="00CF258F" w:rsidRDefault="00A602EE" w:rsidP="00A602EE">
      <w:pPr>
        <w:pStyle w:val="Default"/>
        <w:numPr>
          <w:ilvl w:val="0"/>
          <w:numId w:val="1"/>
        </w:numPr>
        <w:spacing w:after="200"/>
        <w:ind w:left="284" w:hanging="284"/>
        <w:jc w:val="both"/>
        <w:rPr>
          <w:lang w:val="eu-ES"/>
        </w:rPr>
      </w:pPr>
      <w:r w:rsidRPr="00CF258F">
        <w:rPr>
          <w:color w:val="auto"/>
          <w:sz w:val="22"/>
          <w:lang w:val="eu-ES"/>
        </w:rPr>
        <w:t xml:space="preserve">Etxebizitzaren titularra edo titularrak, etxebizitza lagatzeagatiko eskubidearen titularra (etxebizitzaren titularra ez bada), eta lagatzen duten pertsonak edo erakundeak. </w:t>
      </w:r>
    </w:p>
    <w:p w:rsidR="00A602EE" w:rsidRPr="00CF258F" w:rsidRDefault="00A602EE" w:rsidP="00A602EE">
      <w:pPr>
        <w:pStyle w:val="Default"/>
        <w:numPr>
          <w:ilvl w:val="0"/>
          <w:numId w:val="1"/>
        </w:numPr>
        <w:spacing w:after="200"/>
        <w:ind w:left="284" w:hanging="284"/>
        <w:jc w:val="both"/>
        <w:rPr>
          <w:lang w:val="eu-ES"/>
        </w:rPr>
      </w:pPr>
      <w:r w:rsidRPr="00CF258F">
        <w:rPr>
          <w:color w:val="auto"/>
          <w:sz w:val="22"/>
          <w:lang w:val="eu-ES"/>
        </w:rPr>
        <w:t xml:space="preserve">Higiezinaren identifikazioa (helbide osoa), katastroko erreferentzia zehaztu, esleituta badute. </w:t>
      </w:r>
    </w:p>
    <w:p w:rsidR="00A602EE" w:rsidRPr="00CF258F" w:rsidRDefault="00A602EE" w:rsidP="00A602EE">
      <w:pPr>
        <w:pStyle w:val="Default"/>
        <w:numPr>
          <w:ilvl w:val="0"/>
          <w:numId w:val="1"/>
        </w:numPr>
        <w:spacing w:after="200"/>
        <w:ind w:left="284" w:hanging="284"/>
        <w:jc w:val="both"/>
        <w:rPr>
          <w:lang w:val="eu-ES"/>
        </w:rPr>
      </w:pPr>
      <w:r w:rsidRPr="00CF258F">
        <w:rPr>
          <w:color w:val="auto"/>
          <w:sz w:val="22"/>
          <w:lang w:val="eu-ES"/>
        </w:rPr>
        <w:t xml:space="preserve">Pertsona edo entitate lagatzaileen identifikazioa, eta zenbat egunez gozatuko den etxebizitza turismo erabilerarako. </w:t>
      </w:r>
    </w:p>
    <w:p w:rsidR="00A602EE" w:rsidRPr="00CF258F" w:rsidRDefault="00A602EE" w:rsidP="00A602EE">
      <w:pPr>
        <w:pStyle w:val="Default"/>
        <w:numPr>
          <w:ilvl w:val="0"/>
          <w:numId w:val="1"/>
        </w:numPr>
        <w:spacing w:after="200"/>
        <w:ind w:left="284" w:hanging="284"/>
        <w:jc w:val="both"/>
        <w:rPr>
          <w:lang w:val="eu-ES"/>
        </w:rPr>
      </w:pPr>
      <w:r w:rsidRPr="00CF258F">
        <w:rPr>
          <w:color w:val="auto"/>
          <w:sz w:val="22"/>
          <w:lang w:val="eu-ES"/>
        </w:rPr>
        <w:t xml:space="preserve">Etxebizitzaren erabileraren titular lagatzaileak jasotako zenbatekoa, hala badagokio, edo doakoa bada, hala adieraztea. </w:t>
      </w:r>
    </w:p>
    <w:p w:rsidR="00A602EE" w:rsidRPr="00CF258F" w:rsidRDefault="00A602EE" w:rsidP="00A602EE">
      <w:pPr>
        <w:jc w:val="both"/>
        <w:rPr>
          <w:sz w:val="22"/>
          <w:szCs w:val="24"/>
          <w:lang w:val="eu-ES"/>
        </w:rPr>
      </w:pPr>
      <w:r w:rsidRPr="00CF258F">
        <w:rPr>
          <w:sz w:val="22"/>
          <w:szCs w:val="24"/>
          <w:lang w:val="eu-ES"/>
        </w:rPr>
        <w:t>Informazio aitorpenak izan behar duen katastroko erreferentzia eskatzeari dagokionez, Estatuko Kontseiluaren aurrean adierazi zen, aurretik aipatutako 1070/2017 Errege Dekretua izapidetzean. Horrek, informazio betebehar hau araudi erkideko lurraldean sartu zuen. Horren arabera, etxebizitzetan ostatu turistikoaren kontratazioan bitartekari gisa aritzen direnek, ez dute informazio hori, eta datu hori ez eskatzeko aukera kontuan hartu beharko litzateke, ezinbestekoa ez dela ulertzen bada.</w:t>
      </w:r>
    </w:p>
    <w:p w:rsidR="00A602EE" w:rsidRPr="00CF258F" w:rsidRDefault="00A602EE" w:rsidP="00A602EE">
      <w:pPr>
        <w:jc w:val="both"/>
        <w:rPr>
          <w:sz w:val="22"/>
          <w:szCs w:val="24"/>
          <w:lang w:val="eu-ES"/>
        </w:rPr>
      </w:pPr>
    </w:p>
    <w:p w:rsidR="00A602EE" w:rsidRPr="00CF258F" w:rsidRDefault="00A602EE" w:rsidP="00A602EE">
      <w:pPr>
        <w:jc w:val="both"/>
        <w:rPr>
          <w:szCs w:val="24"/>
          <w:lang w:val="eu-ES"/>
        </w:rPr>
      </w:pPr>
      <w:r w:rsidRPr="00CF258F">
        <w:rPr>
          <w:sz w:val="22"/>
          <w:szCs w:val="24"/>
          <w:lang w:val="eu-ES"/>
        </w:rPr>
        <w:t>Estatuko Kontseiluaren iritziz (952/2017 irizpena, 2017ko abenduaren 20koa)</w:t>
      </w:r>
      <w:r w:rsidRPr="00CF258F">
        <w:rPr>
          <w:rFonts w:ascii="Calibri" w:hAnsi="Calibri"/>
          <w:szCs w:val="24"/>
          <w:lang w:val="eu-ES"/>
        </w:rPr>
        <w:t xml:space="preserve">, </w:t>
      </w:r>
      <w:r w:rsidRPr="00CF258F">
        <w:rPr>
          <w:i/>
          <w:sz w:val="22"/>
          <w:szCs w:val="24"/>
          <w:lang w:val="eu-ES"/>
        </w:rPr>
        <w:t xml:space="preserve">“egokia da katastroko erreferentzia jakinaraztea eskatzea, inork legezkotzen badu eskubide bat duen etxebizitza baten erabilera laga nahi badu, logikoa delako zenbaki hori ikusteko aukera izatea eta bitartekariak eskatzea, bere bitartekari zerbitzua emateko. Halaber, merkaturatzen diren ondasun higiezinak haien gaineko legezko titulua duten pertsonek edo erakundeek benetan ematen dituztela ziurtatzeko elementua izan daitezke. </w:t>
      </w:r>
    </w:p>
    <w:p w:rsidR="00A602EE" w:rsidRPr="00CF258F" w:rsidRDefault="00A602EE" w:rsidP="00A602EE">
      <w:pPr>
        <w:jc w:val="both"/>
        <w:rPr>
          <w:sz w:val="22"/>
          <w:szCs w:val="24"/>
          <w:lang w:val="eu-ES"/>
        </w:rPr>
      </w:pPr>
    </w:p>
    <w:p w:rsidR="00A602EE" w:rsidRPr="00CF258F" w:rsidRDefault="00A602EE" w:rsidP="00A602EE">
      <w:pPr>
        <w:jc w:val="both"/>
        <w:rPr>
          <w:sz w:val="22"/>
          <w:szCs w:val="24"/>
          <w:u w:val="single"/>
          <w:lang w:val="eu-ES"/>
        </w:rPr>
      </w:pPr>
      <w:r w:rsidRPr="00CF258F">
        <w:rPr>
          <w:sz w:val="22"/>
          <w:szCs w:val="24"/>
          <w:u w:val="single"/>
          <w:lang w:val="eu-ES"/>
        </w:rPr>
        <w:t>Aitorpen eredua onartzeko ordezkaritza</w:t>
      </w:r>
    </w:p>
    <w:p w:rsidR="00A602EE" w:rsidRPr="00CF258F" w:rsidRDefault="00A602EE" w:rsidP="00A602EE">
      <w:pPr>
        <w:jc w:val="both"/>
        <w:rPr>
          <w:sz w:val="22"/>
          <w:szCs w:val="24"/>
          <w:u w:val="single"/>
          <w:lang w:val="eu-ES"/>
        </w:rPr>
      </w:pPr>
    </w:p>
    <w:p w:rsidR="00A602EE" w:rsidRPr="00CF258F" w:rsidRDefault="00A602EE" w:rsidP="00A602EE">
      <w:pPr>
        <w:jc w:val="both"/>
        <w:rPr>
          <w:sz w:val="22"/>
          <w:szCs w:val="24"/>
          <w:lang w:val="eu-ES"/>
        </w:rPr>
      </w:pPr>
      <w:r w:rsidRPr="00CF258F">
        <w:rPr>
          <w:sz w:val="22"/>
          <w:szCs w:val="24"/>
          <w:lang w:val="eu-ES"/>
        </w:rPr>
        <w:t xml:space="preserve">Informazioa aitortzeko eredua onartzea, eta hori aurkezteko modua, epea eta tokia, nahiz informazio betebehar hori betetzeko beste edozein datu garrantzitsu, Ogasun, Finantza eta Aurrekontu Saileko Diputatuaren etorkizuneko foru agindu baterako proiektuaren bidez eskuordetzen da. </w:t>
      </w:r>
    </w:p>
    <w:p w:rsidR="00A602EE" w:rsidRPr="00CF258F" w:rsidRDefault="00A602EE" w:rsidP="00A602EE">
      <w:pPr>
        <w:jc w:val="both"/>
        <w:rPr>
          <w:sz w:val="22"/>
          <w:szCs w:val="24"/>
          <w:lang w:val="eu-ES"/>
        </w:rPr>
      </w:pPr>
    </w:p>
    <w:p w:rsidR="00A602EE" w:rsidRPr="00CF258F" w:rsidRDefault="00A602EE" w:rsidP="00A602EE">
      <w:pPr>
        <w:jc w:val="both"/>
        <w:rPr>
          <w:rFonts w:ascii="Calibri" w:hAnsi="Calibri"/>
          <w:szCs w:val="24"/>
          <w:lang w:val="eu-ES"/>
        </w:rPr>
      </w:pPr>
    </w:p>
    <w:p w:rsidR="00A602EE" w:rsidRPr="00CF258F" w:rsidRDefault="00A602EE" w:rsidP="00A602EE">
      <w:pPr>
        <w:jc w:val="both"/>
        <w:rPr>
          <w:szCs w:val="24"/>
          <w:lang w:val="eu-ES"/>
        </w:rPr>
      </w:pPr>
      <w:r w:rsidRPr="00CF258F">
        <w:rPr>
          <w:b/>
          <w:sz w:val="22"/>
          <w:szCs w:val="24"/>
          <w:u w:val="single"/>
          <w:lang w:val="eu-ES"/>
        </w:rPr>
        <w:t xml:space="preserve">V. ONDORIOAK </w:t>
      </w:r>
    </w:p>
    <w:p w:rsidR="00A602EE" w:rsidRPr="00CF258F" w:rsidRDefault="00A602EE" w:rsidP="00A602EE">
      <w:pPr>
        <w:jc w:val="both"/>
        <w:rPr>
          <w:b/>
          <w:sz w:val="22"/>
          <w:szCs w:val="24"/>
          <w:lang w:val="eu-ES"/>
        </w:rPr>
      </w:pPr>
    </w:p>
    <w:p w:rsidR="00A602EE" w:rsidRPr="00CF258F" w:rsidRDefault="00A602EE" w:rsidP="00A602EE">
      <w:pPr>
        <w:jc w:val="both"/>
        <w:outlineLvl w:val="1"/>
        <w:rPr>
          <w:sz w:val="22"/>
          <w:szCs w:val="24"/>
          <w:lang w:val="eu-ES"/>
        </w:rPr>
      </w:pPr>
      <w:r w:rsidRPr="00CF258F">
        <w:rPr>
          <w:b/>
          <w:sz w:val="22"/>
          <w:szCs w:val="24"/>
          <w:lang w:val="eu-ES"/>
        </w:rPr>
        <w:t>LEHENENGOA.-</w:t>
      </w:r>
      <w:r w:rsidRPr="00CF258F">
        <w:rPr>
          <w:sz w:val="22"/>
          <w:szCs w:val="24"/>
          <w:lang w:val="eu-ES"/>
        </w:rPr>
        <w:t xml:space="preserve"> Arabako Foru Aldundiko Aholku Batzordeak irizpena eman behar du proposatutako foru dekretuaren proiektuari dagokionez, Arabako Lurralde Historikoaren eskumen esklusiboa delako.</w:t>
      </w:r>
    </w:p>
    <w:p w:rsidR="00A602EE" w:rsidRPr="00CF258F" w:rsidRDefault="00A602EE" w:rsidP="00A602EE">
      <w:pPr>
        <w:jc w:val="both"/>
        <w:outlineLvl w:val="1"/>
        <w:rPr>
          <w:sz w:val="22"/>
          <w:szCs w:val="24"/>
          <w:lang w:val="eu-ES"/>
        </w:rPr>
      </w:pPr>
      <w:r w:rsidRPr="00CF258F">
        <w:rPr>
          <w:b/>
          <w:sz w:val="22"/>
          <w:szCs w:val="24"/>
          <w:lang w:val="eu-ES"/>
        </w:rPr>
        <w:t>BIGARRENA</w:t>
      </w:r>
      <w:r w:rsidRPr="00CF258F">
        <w:rPr>
          <w:sz w:val="22"/>
          <w:szCs w:val="24"/>
          <w:lang w:val="eu-ES"/>
        </w:rPr>
        <w:t>.- Foru dekretuaren proiektuak ordenamendu juridikoa betetzen du eta araudian ezarritako lege gaikuntza eta eskumen arloko esparruaren barruan eman da.</w:t>
      </w:r>
    </w:p>
    <w:p w:rsidR="00A602EE" w:rsidRPr="00CF258F" w:rsidRDefault="00A602EE" w:rsidP="00A602EE">
      <w:pPr>
        <w:jc w:val="both"/>
        <w:rPr>
          <w:b/>
          <w:sz w:val="22"/>
          <w:szCs w:val="24"/>
          <w:lang w:val="eu-ES"/>
        </w:rPr>
      </w:pPr>
    </w:p>
    <w:p w:rsidR="00A602EE" w:rsidRPr="00CF258F" w:rsidRDefault="00A602EE" w:rsidP="00A602EE">
      <w:pPr>
        <w:pStyle w:val="Textoindependiente3"/>
        <w:spacing w:before="120" w:after="120"/>
        <w:rPr>
          <w:rFonts w:ascii="Times New Roman" w:hAnsi="Times New Roman"/>
          <w:b/>
          <w:sz w:val="22"/>
          <w:szCs w:val="24"/>
          <w:lang w:val="eu-ES"/>
        </w:rPr>
      </w:pPr>
    </w:p>
    <w:p w:rsidR="00A602EE" w:rsidRPr="00CF258F" w:rsidRDefault="00A602EE" w:rsidP="00A602EE">
      <w:pPr>
        <w:spacing w:line="276" w:lineRule="auto"/>
        <w:jc w:val="both"/>
        <w:rPr>
          <w:rFonts w:ascii="Calibri" w:hAnsi="Calibri"/>
          <w:sz w:val="22"/>
          <w:szCs w:val="24"/>
          <w:lang w:val="eu-ES"/>
        </w:rPr>
      </w:pPr>
    </w:p>
    <w:p w:rsidR="00A602EE" w:rsidRPr="00CF258F" w:rsidRDefault="00A602EE" w:rsidP="00A602EE">
      <w:pPr>
        <w:spacing w:after="240" w:line="276" w:lineRule="auto"/>
        <w:jc w:val="both"/>
        <w:rPr>
          <w:rFonts w:ascii="Tahoma" w:hAnsi="Tahoma"/>
          <w:sz w:val="22"/>
          <w:szCs w:val="24"/>
          <w:lang w:val="eu-ES"/>
        </w:rPr>
      </w:pPr>
    </w:p>
    <w:p w:rsidR="000109B2" w:rsidRPr="00A602EE" w:rsidRDefault="00A602EE">
      <w:pPr>
        <w:rPr>
          <w:lang w:val="eu-ES"/>
        </w:rPr>
      </w:pPr>
    </w:p>
    <w:sectPr w:rsidR="000109B2" w:rsidRPr="00A602EE">
      <w:headerReference w:type="default" r:id="rId6"/>
      <w:footerReference w:type="even" r:id="rId7"/>
      <w:footerReference w:type="default" r:id="rId8"/>
      <w:headerReference w:type="first" r:id="rId9"/>
      <w:pgSz w:w="11906" w:h="16838"/>
      <w:pgMar w:top="1418" w:right="1701" w:bottom="1418" w:left="1701" w:header="510" w:footer="708"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8F" w:rsidRPr="00CF258F" w:rsidRDefault="00A602EE">
    <w:pPr>
      <w:pStyle w:val="Piedepgina"/>
      <w:framePr w:wrap="around" w:vAnchor="text" w:hAnchor="margin" w:xAlign="right" w:y="1"/>
      <w:rPr>
        <w:rStyle w:val="Nmerodepgina"/>
        <w:szCs w:val="24"/>
      </w:rPr>
    </w:pPr>
    <w:r w:rsidRPr="00CF258F">
      <w:rPr>
        <w:rStyle w:val="Nmerodepgina"/>
        <w:szCs w:val="24"/>
      </w:rPr>
      <w:fldChar w:fldCharType="begin"/>
    </w:r>
    <w:r w:rsidRPr="00CF258F">
      <w:rPr>
        <w:rStyle w:val="Nmerodepgina"/>
        <w:szCs w:val="24"/>
      </w:rPr>
      <w:instrText xml:space="preserve">PAGE  </w:instrText>
    </w:r>
    <w:r w:rsidRPr="00CF258F">
      <w:rPr>
        <w:rStyle w:val="Nmerodepgina"/>
        <w:szCs w:val="24"/>
      </w:rPr>
      <w:fldChar w:fldCharType="end"/>
    </w:r>
  </w:p>
  <w:p w:rsidR="00CF258F" w:rsidRPr="00CF258F" w:rsidRDefault="00A602EE">
    <w:pPr>
      <w:pStyle w:val="Piedepgin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8F" w:rsidRPr="00CF258F" w:rsidRDefault="00A602EE">
    <w:pPr>
      <w:pStyle w:val="Piedepgina"/>
      <w:framePr w:wrap="around" w:vAnchor="text" w:hAnchor="margin" w:xAlign="right" w:y="1"/>
      <w:rPr>
        <w:rStyle w:val="Nmerodepgina"/>
        <w:sz w:val="16"/>
        <w:szCs w:val="24"/>
      </w:rPr>
    </w:pPr>
    <w:r w:rsidRPr="00CF258F">
      <w:rPr>
        <w:rStyle w:val="Nmerodepgina"/>
        <w:sz w:val="16"/>
        <w:szCs w:val="24"/>
      </w:rPr>
      <w:fldChar w:fldCharType="begin"/>
    </w:r>
    <w:r w:rsidRPr="00CF258F">
      <w:rPr>
        <w:rStyle w:val="Nmerodepgina"/>
        <w:sz w:val="16"/>
        <w:szCs w:val="24"/>
      </w:rPr>
      <w:instrText xml:space="preserve"> PAGE </w:instrText>
    </w:r>
    <w:r w:rsidRPr="00CF258F">
      <w:rPr>
        <w:rStyle w:val="Nmerodepgina"/>
        <w:sz w:val="16"/>
        <w:szCs w:val="24"/>
      </w:rPr>
      <w:fldChar w:fldCharType="separate"/>
    </w:r>
    <w:r>
      <w:rPr>
        <w:rStyle w:val="Nmerodepgina"/>
        <w:noProof/>
        <w:sz w:val="16"/>
        <w:szCs w:val="24"/>
      </w:rPr>
      <w:t>6</w:t>
    </w:r>
    <w:r w:rsidRPr="00CF258F">
      <w:rPr>
        <w:rStyle w:val="Nmerodepgina"/>
        <w:sz w:val="16"/>
        <w:szCs w:val="24"/>
      </w:rPr>
      <w:fldChar w:fldCharType="end"/>
    </w:r>
    <w:r w:rsidRPr="00CF258F">
      <w:rPr>
        <w:rStyle w:val="Nmerodepgina"/>
        <w:sz w:val="16"/>
        <w:szCs w:val="24"/>
      </w:rPr>
      <w:t>/</w:t>
    </w:r>
    <w:r w:rsidRPr="00CF258F">
      <w:rPr>
        <w:rStyle w:val="Nmerodepgina"/>
        <w:sz w:val="16"/>
        <w:szCs w:val="24"/>
      </w:rPr>
      <w:fldChar w:fldCharType="begin"/>
    </w:r>
    <w:r w:rsidRPr="00CF258F">
      <w:rPr>
        <w:rStyle w:val="Nmerodepgina"/>
        <w:sz w:val="16"/>
        <w:szCs w:val="24"/>
      </w:rPr>
      <w:instrText xml:space="preserve"> NUMPAGES </w:instrText>
    </w:r>
    <w:r w:rsidRPr="00CF258F">
      <w:rPr>
        <w:rStyle w:val="Nmerodepgina"/>
        <w:sz w:val="16"/>
        <w:szCs w:val="24"/>
      </w:rPr>
      <w:fldChar w:fldCharType="separate"/>
    </w:r>
    <w:r>
      <w:rPr>
        <w:rStyle w:val="Nmerodepgina"/>
        <w:noProof/>
        <w:sz w:val="16"/>
        <w:szCs w:val="24"/>
      </w:rPr>
      <w:t>6</w:t>
    </w:r>
    <w:r w:rsidRPr="00CF258F">
      <w:rPr>
        <w:rStyle w:val="Nmerodepgina"/>
        <w:sz w:val="16"/>
        <w:szCs w:val="24"/>
      </w:rPr>
      <w:fldChar w:fldCharType="end"/>
    </w:r>
  </w:p>
  <w:p w:rsidR="00CF258F" w:rsidRPr="00CF258F" w:rsidRDefault="00A602EE">
    <w:pPr>
      <w:pStyle w:val="Piedepgina"/>
      <w:tabs>
        <w:tab w:val="clear" w:pos="4252"/>
      </w:tabs>
      <w:ind w:right="360"/>
      <w:jc w:val="left"/>
      <w:rPr>
        <w:rStyle w:val="Nmerodepgina"/>
        <w:rFonts w:ascii="Verdana" w:hAnsi="Verdana"/>
        <w:sz w:val="15"/>
        <w:szCs w:val="24"/>
      </w:rPr>
    </w:pPr>
  </w:p>
  <w:p w:rsidR="00CF258F" w:rsidRPr="00CF258F" w:rsidRDefault="00A602EE">
    <w:pPr>
      <w:pStyle w:val="Piedepgina"/>
      <w:tabs>
        <w:tab w:val="clear" w:pos="4252"/>
      </w:tabs>
      <w:ind w:right="360"/>
      <w:jc w:val="right"/>
      <w:rPr>
        <w:sz w:val="23"/>
        <w:szCs w:val="24"/>
      </w:rPr>
    </w:pPr>
    <w:r w:rsidRPr="00CF258F">
      <w:rPr>
        <w:rStyle w:val="Nmerodepgina"/>
        <w:sz w:val="23"/>
        <w:szCs w:val="24"/>
      </w:rPr>
      <w:tab/>
    </w:r>
    <w:r w:rsidRPr="00CF258F">
      <w:rPr>
        <w:rStyle w:val="Nmerodepgina"/>
        <w:sz w:val="15"/>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8F" w:rsidRPr="00CF258F" w:rsidRDefault="00A602EE">
    <w:pPr>
      <w:pStyle w:val="Encabezado"/>
      <w:rPr>
        <w:szCs w:val="24"/>
      </w:rPr>
    </w:pPr>
  </w:p>
  <w:p w:rsidR="00CF258F" w:rsidRPr="00CF258F" w:rsidRDefault="00A602EE">
    <w:pPr>
      <w:pStyle w:val="Encabezado"/>
      <w:rPr>
        <w:sz w:val="23"/>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39" w:type="dxa"/>
      <w:tblLayout w:type="fixed"/>
      <w:tblCellMar>
        <w:left w:w="70" w:type="dxa"/>
        <w:right w:w="70" w:type="dxa"/>
      </w:tblCellMar>
      <w:tblLook w:val="0000" w:firstRow="0" w:lastRow="0" w:firstColumn="0" w:lastColumn="0" w:noHBand="0" w:noVBand="0"/>
    </w:tblPr>
    <w:tblGrid>
      <w:gridCol w:w="6379"/>
      <w:gridCol w:w="3402"/>
    </w:tblGrid>
    <w:tr w:rsidR="00CF258F" w:rsidRPr="00CF258F">
      <w:tblPrEx>
        <w:tblCellMar>
          <w:top w:w="0" w:type="dxa"/>
          <w:bottom w:w="0" w:type="dxa"/>
        </w:tblCellMar>
      </w:tblPrEx>
      <w:trPr>
        <w:trHeight w:val="1846"/>
      </w:trPr>
      <w:tc>
        <w:tcPr>
          <w:tcW w:w="6379" w:type="dxa"/>
        </w:tcPr>
        <w:p w:rsidR="00CF258F" w:rsidRPr="00CF258F" w:rsidRDefault="00A602EE">
          <w:pPr>
            <w:pStyle w:val="Encabezado"/>
            <w:tabs>
              <w:tab w:val="clear" w:pos="4252"/>
              <w:tab w:val="clear" w:pos="8504"/>
            </w:tabs>
            <w:spacing w:after="1200"/>
            <w:ind w:left="639"/>
            <w:rPr>
              <w:noProof/>
              <w:sz w:val="16"/>
              <w:szCs w:val="24"/>
              <w:lang w:val="eu-ES"/>
            </w:rPr>
          </w:pPr>
        </w:p>
        <w:p w:rsidR="00CF258F" w:rsidRPr="00CF258F" w:rsidRDefault="00A602EE">
          <w:pPr>
            <w:pStyle w:val="Encabezado"/>
            <w:ind w:left="1064"/>
            <w:rPr>
              <w:noProof/>
              <w:sz w:val="16"/>
              <w:szCs w:val="24"/>
              <w:lang w:val="eu-ES"/>
            </w:rPr>
          </w:pPr>
        </w:p>
      </w:tc>
      <w:tc>
        <w:tcPr>
          <w:tcW w:w="3402" w:type="dxa"/>
        </w:tcPr>
        <w:p w:rsidR="00CF258F" w:rsidRPr="00CF258F" w:rsidRDefault="00A602EE">
          <w:pPr>
            <w:pStyle w:val="Encabezado"/>
            <w:tabs>
              <w:tab w:val="clear" w:pos="4252"/>
            </w:tabs>
            <w:spacing w:after="240" w:line="240" w:lineRule="exact"/>
            <w:ind w:left="-68"/>
            <w:rPr>
              <w:b/>
              <w:noProof/>
              <w:sz w:val="18"/>
              <w:szCs w:val="24"/>
              <w:lang w:val="eu-ES"/>
            </w:rPr>
          </w:pPr>
        </w:p>
        <w:p w:rsidR="00CF258F" w:rsidRPr="00CF258F" w:rsidRDefault="00A602EE">
          <w:pPr>
            <w:pStyle w:val="Encabezado"/>
            <w:tabs>
              <w:tab w:val="clear" w:pos="4252"/>
            </w:tabs>
            <w:spacing w:after="60" w:line="190" w:lineRule="exact"/>
            <w:ind w:left="781"/>
            <w:rPr>
              <w:noProof/>
              <w:sz w:val="18"/>
              <w:szCs w:val="24"/>
              <w:lang w:val="eu-ES"/>
            </w:rPr>
          </w:pPr>
        </w:p>
      </w:tc>
    </w:tr>
  </w:tbl>
  <w:p w:rsidR="00CF258F" w:rsidRPr="00CF258F" w:rsidRDefault="00A602EE">
    <w:pPr>
      <w:pStyle w:val="Encabezado"/>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FFB6"/>
    <w:multiLevelType w:val="hybridMultilevel"/>
    <w:tmpl w:val="199B87F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EE"/>
    <w:rsid w:val="009A68E6"/>
    <w:rsid w:val="009C211F"/>
    <w:rsid w:val="00A60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EE"/>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JA"/>
    <w:basedOn w:val="Normal"/>
    <w:link w:val="EncabezadoCar"/>
    <w:uiPriority w:val="99"/>
    <w:semiHidden/>
    <w:rsid w:val="00A602EE"/>
    <w:pPr>
      <w:tabs>
        <w:tab w:val="center" w:pos="4252"/>
        <w:tab w:val="right" w:pos="8504"/>
      </w:tabs>
      <w:jc w:val="both"/>
    </w:pPr>
    <w:rPr>
      <w:rFonts w:ascii="Arial" w:hAnsi="Arial"/>
      <w:sz w:val="24"/>
    </w:rPr>
  </w:style>
  <w:style w:type="character" w:customStyle="1" w:styleId="EncabezadoCar">
    <w:name w:val="Encabezado Car"/>
    <w:aliases w:val="Encabezado CJA Car"/>
    <w:basedOn w:val="Fuentedeprrafopredeter"/>
    <w:link w:val="Encabezado"/>
    <w:uiPriority w:val="99"/>
    <w:semiHidden/>
    <w:rsid w:val="00A602EE"/>
    <w:rPr>
      <w:rFonts w:ascii="Arial" w:eastAsia="Times New Roman" w:hAnsi="Arial" w:cs="Times New Roman"/>
      <w:snapToGrid w:val="0"/>
      <w:sz w:val="24"/>
      <w:szCs w:val="20"/>
      <w:lang w:eastAsia="eu-ES"/>
    </w:rPr>
  </w:style>
  <w:style w:type="paragraph" w:styleId="Piedepgina">
    <w:name w:val="footer"/>
    <w:basedOn w:val="Normal"/>
    <w:link w:val="PiedepginaCar"/>
    <w:uiPriority w:val="99"/>
    <w:rsid w:val="00A602EE"/>
    <w:pPr>
      <w:tabs>
        <w:tab w:val="center" w:pos="4252"/>
        <w:tab w:val="right" w:pos="8504"/>
      </w:tabs>
      <w:jc w:val="both"/>
    </w:pPr>
    <w:rPr>
      <w:rFonts w:ascii="Arial" w:hAnsi="Arial"/>
      <w:sz w:val="24"/>
    </w:rPr>
  </w:style>
  <w:style w:type="character" w:customStyle="1" w:styleId="PiedepginaCar">
    <w:name w:val="Pie de página Car"/>
    <w:basedOn w:val="Fuentedeprrafopredeter"/>
    <w:link w:val="Piedepgina"/>
    <w:uiPriority w:val="99"/>
    <w:rsid w:val="00A602EE"/>
    <w:rPr>
      <w:rFonts w:ascii="Arial" w:eastAsia="Times New Roman" w:hAnsi="Arial" w:cs="Times New Roman"/>
      <w:snapToGrid w:val="0"/>
      <w:sz w:val="24"/>
      <w:szCs w:val="20"/>
      <w:lang w:eastAsia="eu-ES"/>
    </w:rPr>
  </w:style>
  <w:style w:type="character" w:styleId="Nmerodepgina">
    <w:name w:val="page number"/>
    <w:uiPriority w:val="99"/>
    <w:semiHidden/>
    <w:rsid w:val="00A602EE"/>
    <w:rPr>
      <w:rFonts w:cs="Times New Roman"/>
    </w:rPr>
  </w:style>
  <w:style w:type="paragraph" w:styleId="Textoindependiente3">
    <w:name w:val="Body Text 3"/>
    <w:basedOn w:val="Normal"/>
    <w:link w:val="Textoindependiente3Car"/>
    <w:uiPriority w:val="99"/>
    <w:semiHidden/>
    <w:rsid w:val="00A602EE"/>
    <w:pPr>
      <w:jc w:val="both"/>
    </w:pPr>
    <w:rPr>
      <w:rFonts w:ascii="Verdana" w:hAnsi="Verdana"/>
      <w:i/>
    </w:rPr>
  </w:style>
  <w:style w:type="character" w:customStyle="1" w:styleId="Textoindependiente3Car">
    <w:name w:val="Texto independiente 3 Car"/>
    <w:basedOn w:val="Fuentedeprrafopredeter"/>
    <w:link w:val="Textoindependiente3"/>
    <w:uiPriority w:val="99"/>
    <w:semiHidden/>
    <w:rsid w:val="00A602EE"/>
    <w:rPr>
      <w:rFonts w:ascii="Verdana" w:eastAsia="Times New Roman" w:hAnsi="Verdana" w:cs="Times New Roman"/>
      <w:i/>
      <w:snapToGrid w:val="0"/>
      <w:sz w:val="20"/>
      <w:szCs w:val="20"/>
      <w:lang w:eastAsia="eu-ES"/>
    </w:rPr>
  </w:style>
  <w:style w:type="paragraph" w:customStyle="1" w:styleId="Default">
    <w:name w:val="Default"/>
    <w:rsid w:val="00A602E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EE"/>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JA"/>
    <w:basedOn w:val="Normal"/>
    <w:link w:val="EncabezadoCar"/>
    <w:uiPriority w:val="99"/>
    <w:semiHidden/>
    <w:rsid w:val="00A602EE"/>
    <w:pPr>
      <w:tabs>
        <w:tab w:val="center" w:pos="4252"/>
        <w:tab w:val="right" w:pos="8504"/>
      </w:tabs>
      <w:jc w:val="both"/>
    </w:pPr>
    <w:rPr>
      <w:rFonts w:ascii="Arial" w:hAnsi="Arial"/>
      <w:sz w:val="24"/>
    </w:rPr>
  </w:style>
  <w:style w:type="character" w:customStyle="1" w:styleId="EncabezadoCar">
    <w:name w:val="Encabezado Car"/>
    <w:aliases w:val="Encabezado CJA Car"/>
    <w:basedOn w:val="Fuentedeprrafopredeter"/>
    <w:link w:val="Encabezado"/>
    <w:uiPriority w:val="99"/>
    <w:semiHidden/>
    <w:rsid w:val="00A602EE"/>
    <w:rPr>
      <w:rFonts w:ascii="Arial" w:eastAsia="Times New Roman" w:hAnsi="Arial" w:cs="Times New Roman"/>
      <w:snapToGrid w:val="0"/>
      <w:sz w:val="24"/>
      <w:szCs w:val="20"/>
      <w:lang w:eastAsia="eu-ES"/>
    </w:rPr>
  </w:style>
  <w:style w:type="paragraph" w:styleId="Piedepgina">
    <w:name w:val="footer"/>
    <w:basedOn w:val="Normal"/>
    <w:link w:val="PiedepginaCar"/>
    <w:uiPriority w:val="99"/>
    <w:rsid w:val="00A602EE"/>
    <w:pPr>
      <w:tabs>
        <w:tab w:val="center" w:pos="4252"/>
        <w:tab w:val="right" w:pos="8504"/>
      </w:tabs>
      <w:jc w:val="both"/>
    </w:pPr>
    <w:rPr>
      <w:rFonts w:ascii="Arial" w:hAnsi="Arial"/>
      <w:sz w:val="24"/>
    </w:rPr>
  </w:style>
  <w:style w:type="character" w:customStyle="1" w:styleId="PiedepginaCar">
    <w:name w:val="Pie de página Car"/>
    <w:basedOn w:val="Fuentedeprrafopredeter"/>
    <w:link w:val="Piedepgina"/>
    <w:uiPriority w:val="99"/>
    <w:rsid w:val="00A602EE"/>
    <w:rPr>
      <w:rFonts w:ascii="Arial" w:eastAsia="Times New Roman" w:hAnsi="Arial" w:cs="Times New Roman"/>
      <w:snapToGrid w:val="0"/>
      <w:sz w:val="24"/>
      <w:szCs w:val="20"/>
      <w:lang w:eastAsia="eu-ES"/>
    </w:rPr>
  </w:style>
  <w:style w:type="character" w:styleId="Nmerodepgina">
    <w:name w:val="page number"/>
    <w:uiPriority w:val="99"/>
    <w:semiHidden/>
    <w:rsid w:val="00A602EE"/>
    <w:rPr>
      <w:rFonts w:cs="Times New Roman"/>
    </w:rPr>
  </w:style>
  <w:style w:type="paragraph" w:styleId="Textoindependiente3">
    <w:name w:val="Body Text 3"/>
    <w:basedOn w:val="Normal"/>
    <w:link w:val="Textoindependiente3Car"/>
    <w:uiPriority w:val="99"/>
    <w:semiHidden/>
    <w:rsid w:val="00A602EE"/>
    <w:pPr>
      <w:jc w:val="both"/>
    </w:pPr>
    <w:rPr>
      <w:rFonts w:ascii="Verdana" w:hAnsi="Verdana"/>
      <w:i/>
    </w:rPr>
  </w:style>
  <w:style w:type="character" w:customStyle="1" w:styleId="Textoindependiente3Car">
    <w:name w:val="Texto independiente 3 Car"/>
    <w:basedOn w:val="Fuentedeprrafopredeter"/>
    <w:link w:val="Textoindependiente3"/>
    <w:uiPriority w:val="99"/>
    <w:semiHidden/>
    <w:rsid w:val="00A602EE"/>
    <w:rPr>
      <w:rFonts w:ascii="Verdana" w:eastAsia="Times New Roman" w:hAnsi="Verdana" w:cs="Times New Roman"/>
      <w:i/>
      <w:snapToGrid w:val="0"/>
      <w:sz w:val="20"/>
      <w:szCs w:val="20"/>
      <w:lang w:eastAsia="eu-ES"/>
    </w:rPr>
  </w:style>
  <w:style w:type="paragraph" w:customStyle="1" w:styleId="Default">
    <w:name w:val="Default"/>
    <w:rsid w:val="00A602E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2854</Words>
  <Characters>15703</Characters>
  <Application>Microsoft Office Word</Application>
  <DocSecurity>0</DocSecurity>
  <Lines>130</Lines>
  <Paragraphs>37</Paragraphs>
  <ScaleCrop>false</ScaleCrop>
  <Company>DFA-AFA</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1</cp:revision>
  <dcterms:created xsi:type="dcterms:W3CDTF">2019-06-26T12:07:00Z</dcterms:created>
  <dcterms:modified xsi:type="dcterms:W3CDTF">2019-06-26T12:13:00Z</dcterms:modified>
</cp:coreProperties>
</file>