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BFB" w:rsidRPr="00CF258F" w:rsidRDefault="00334BFB" w:rsidP="00334BFB">
      <w:pPr>
        <w:jc w:val="both"/>
        <w:rPr>
          <w:rFonts w:ascii="Tahoma" w:hAnsi="Tahoma"/>
          <w:b/>
          <w:sz w:val="22"/>
          <w:szCs w:val="24"/>
        </w:rPr>
      </w:pPr>
      <w:proofErr w:type="spellStart"/>
      <w:r w:rsidRPr="00CF258F">
        <w:rPr>
          <w:rFonts w:ascii="Tahoma" w:hAnsi="Tahoma"/>
          <w:b/>
          <w:sz w:val="22"/>
          <w:szCs w:val="24"/>
          <w:lang w:val="eu-ES"/>
        </w:rPr>
        <w:t>2019KO</w:t>
      </w:r>
      <w:proofErr w:type="spellEnd"/>
      <w:r w:rsidRPr="00CF258F">
        <w:rPr>
          <w:rFonts w:ascii="Tahoma" w:hAnsi="Tahoma"/>
          <w:b/>
          <w:sz w:val="22"/>
          <w:szCs w:val="24"/>
          <w:lang w:val="eu-ES"/>
        </w:rPr>
        <w:t xml:space="preserve"> OTSAILAREN </w:t>
      </w:r>
      <w:proofErr w:type="spellStart"/>
      <w:r w:rsidRPr="00CF258F">
        <w:rPr>
          <w:rFonts w:ascii="Tahoma" w:hAnsi="Tahoma"/>
          <w:b/>
          <w:sz w:val="22"/>
          <w:szCs w:val="24"/>
          <w:lang w:val="eu-ES"/>
        </w:rPr>
        <w:t>27KO</w:t>
      </w:r>
      <w:proofErr w:type="spellEnd"/>
      <w:r w:rsidRPr="00CF258F">
        <w:rPr>
          <w:rFonts w:ascii="Tahoma" w:hAnsi="Tahoma"/>
          <w:b/>
          <w:sz w:val="22"/>
          <w:szCs w:val="24"/>
          <w:lang w:val="eu-ES"/>
        </w:rPr>
        <w:t xml:space="preserve"> IRIZPENA, 2019/2020 KANPAINAN, ARABAKO LURRALDE HISTORIKOAN ARRANTZA KONTINENTALAREN APROBETXAMENDUA ARAUTZEN DUEN ARAUTEGIA ONARTZEKO FORU AGINDUAREN PROIEKTUARI BURUZKOA </w:t>
      </w:r>
    </w:p>
    <w:p w:rsidR="00334BFB" w:rsidRPr="00CF258F" w:rsidRDefault="00334BFB" w:rsidP="00334BFB">
      <w:pPr>
        <w:jc w:val="both"/>
        <w:rPr>
          <w:rFonts w:ascii="Tahoma" w:hAnsi="Tahoma"/>
          <w:b/>
          <w:sz w:val="22"/>
          <w:szCs w:val="24"/>
        </w:rPr>
      </w:pPr>
    </w:p>
    <w:p w:rsidR="00334BFB" w:rsidRPr="00CF258F" w:rsidRDefault="00334BFB" w:rsidP="00334BFB">
      <w:pPr>
        <w:pStyle w:val="Textoindependiente2"/>
        <w:rPr>
          <w:rFonts w:ascii="Tahoma" w:hAnsi="Tahoma"/>
          <w:szCs w:val="24"/>
          <w:lang w:val="es-ES"/>
        </w:rPr>
      </w:pPr>
    </w:p>
    <w:p w:rsidR="00334BFB" w:rsidRPr="00CF258F" w:rsidRDefault="00334BFB" w:rsidP="00334BFB">
      <w:pPr>
        <w:jc w:val="both"/>
        <w:rPr>
          <w:rFonts w:ascii="Tahoma" w:hAnsi="Tahoma"/>
          <w:b/>
          <w:sz w:val="22"/>
          <w:szCs w:val="24"/>
        </w:rPr>
      </w:pPr>
      <w:r w:rsidRPr="00CF258F">
        <w:rPr>
          <w:rFonts w:ascii="Tahoma" w:hAnsi="Tahoma"/>
          <w:b/>
          <w:sz w:val="22"/>
          <w:szCs w:val="24"/>
          <w:lang w:val="eu-ES"/>
        </w:rPr>
        <w:t>I. AURREKARIAK</w:t>
      </w:r>
    </w:p>
    <w:p w:rsidR="00334BFB" w:rsidRPr="00CF258F" w:rsidRDefault="00334BFB" w:rsidP="00334BFB">
      <w:pPr>
        <w:jc w:val="both"/>
        <w:rPr>
          <w:rFonts w:ascii="Tahoma" w:hAnsi="Tahoma"/>
          <w:b/>
          <w:sz w:val="22"/>
          <w:szCs w:val="24"/>
        </w:rPr>
      </w:pPr>
    </w:p>
    <w:p w:rsidR="00334BFB" w:rsidRPr="00CF258F" w:rsidRDefault="00334BFB" w:rsidP="00334BFB">
      <w:pPr>
        <w:jc w:val="both"/>
        <w:rPr>
          <w:rFonts w:ascii="Tahoma" w:hAnsi="Tahoma"/>
          <w:sz w:val="22"/>
          <w:szCs w:val="24"/>
          <w:lang w:val="eu-ES"/>
        </w:rPr>
      </w:pPr>
      <w:r w:rsidRPr="00CF258F">
        <w:rPr>
          <w:rFonts w:ascii="Tahoma" w:hAnsi="Tahoma"/>
          <w:sz w:val="22"/>
          <w:szCs w:val="24"/>
        </w:rPr>
        <w:t xml:space="preserve">1. </w:t>
      </w:r>
      <w:r w:rsidRPr="00CF258F">
        <w:rPr>
          <w:rFonts w:ascii="Tahoma" w:hAnsi="Tahoma"/>
          <w:sz w:val="22"/>
          <w:szCs w:val="24"/>
          <w:lang w:val="eu-ES"/>
        </w:rPr>
        <w:t xml:space="preserve">Otsailaren 6an Nekazaritzako zuzendariak egindako irizpen eskaera sartu zen Aholku Batzordearen erregistroan. Horren bidez, 2019/2020 kanpainan, Arabako Lurralde Historikoan arrantza kontinentalaren aprobetxamendua arautzen duen arautegia onartzeko Foru Agindu proiektuari buruzko irizpena eskatu zuen, xedapen orokorrak arautzen dituen arautegian ezarritako txosten eta agiriekin batera. </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Cs w:val="24"/>
          <w:lang w:val="eu-ES"/>
        </w:rPr>
      </w:pPr>
      <w:r w:rsidRPr="00CF258F">
        <w:rPr>
          <w:rFonts w:ascii="Tahoma" w:hAnsi="Tahoma"/>
          <w:b/>
          <w:sz w:val="22"/>
          <w:szCs w:val="24"/>
          <w:lang w:val="eu-ES"/>
        </w:rPr>
        <w:t>II. BATZORDEAREN ESKUMENA</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r w:rsidRPr="00CF258F">
        <w:rPr>
          <w:rFonts w:ascii="Tahoma" w:hAnsi="Tahoma"/>
          <w:sz w:val="22"/>
          <w:szCs w:val="24"/>
          <w:lang w:val="eu-ES"/>
        </w:rPr>
        <w:t xml:space="preserve">Espainiako Konstituzioak 148. artikuluan aurreikusi zuenez, “Erkidego Autonomoek har ditzaketen konpetentziak alor honetakoak dira: (…) 11. Itsas bazterreko arrantza, </w:t>
      </w:r>
      <w:proofErr w:type="spellStart"/>
      <w:r w:rsidRPr="00CF258F">
        <w:rPr>
          <w:rFonts w:ascii="Tahoma" w:hAnsi="Tahoma"/>
          <w:sz w:val="22"/>
          <w:szCs w:val="24"/>
          <w:lang w:val="eu-ES"/>
        </w:rPr>
        <w:t>itsaskikintza</w:t>
      </w:r>
      <w:proofErr w:type="spellEnd"/>
      <w:r w:rsidRPr="00CF258F">
        <w:rPr>
          <w:rFonts w:ascii="Tahoma" w:hAnsi="Tahoma"/>
          <w:sz w:val="22"/>
          <w:szCs w:val="24"/>
          <w:lang w:val="eu-ES"/>
        </w:rPr>
        <w:t xml:space="preserve">, </w:t>
      </w:r>
      <w:proofErr w:type="spellStart"/>
      <w:r w:rsidRPr="00CF258F">
        <w:rPr>
          <w:rFonts w:ascii="Tahoma" w:hAnsi="Tahoma"/>
          <w:sz w:val="22"/>
          <w:szCs w:val="24"/>
          <w:lang w:val="eu-ES"/>
        </w:rPr>
        <w:t>arrainzaintza</w:t>
      </w:r>
      <w:proofErr w:type="spellEnd"/>
      <w:r w:rsidRPr="00CF258F">
        <w:rPr>
          <w:rFonts w:ascii="Tahoma" w:hAnsi="Tahoma"/>
          <w:sz w:val="22"/>
          <w:szCs w:val="24"/>
          <w:lang w:val="eu-ES"/>
        </w:rPr>
        <w:t>, ehiza eta ibai-arrantza”.</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Cs w:val="24"/>
          <w:lang w:val="eu-ES"/>
        </w:rPr>
      </w:pPr>
      <w:r w:rsidRPr="00CF258F">
        <w:rPr>
          <w:rFonts w:ascii="Tahoma" w:hAnsi="Tahoma"/>
          <w:sz w:val="22"/>
          <w:szCs w:val="24"/>
          <w:lang w:val="eu-ES"/>
        </w:rPr>
        <w:t xml:space="preserve">3/1979 Lege Organikoak, abenduaren 18koak, Euskal Herriaren Autonomia Estatutuarenak, </w:t>
      </w:r>
      <w:proofErr w:type="spellStart"/>
      <w:r w:rsidRPr="00CF258F">
        <w:rPr>
          <w:rFonts w:ascii="Tahoma" w:hAnsi="Tahoma"/>
          <w:sz w:val="22"/>
          <w:szCs w:val="24"/>
          <w:lang w:val="eu-ES"/>
        </w:rPr>
        <w:t>10.10</w:t>
      </w:r>
      <w:proofErr w:type="spellEnd"/>
      <w:r w:rsidRPr="00CF258F">
        <w:rPr>
          <w:rFonts w:ascii="Tahoma" w:hAnsi="Tahoma"/>
          <w:sz w:val="22"/>
          <w:szCs w:val="24"/>
          <w:lang w:val="eu-ES"/>
        </w:rPr>
        <w:t xml:space="preserve"> artikuluan azaldu zuenez, “Euskal Herriko Autonomia Erkidegoak bakarreko eskumena du honako gai hauetan: … 10. Barne-uretako arrantza, itsaski-bilketa eta arrain-hazkuntza, ehiza eta ibai eta aintziretako arrantza”. </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r w:rsidRPr="00CF258F">
        <w:rPr>
          <w:rFonts w:ascii="Tahoma" w:hAnsi="Tahoma"/>
          <w:sz w:val="22"/>
          <w:szCs w:val="24"/>
          <w:lang w:val="eu-ES"/>
        </w:rPr>
        <w:t xml:space="preserve">Azaroaren 25eko 27/1983 Legeak, Euskal Autonomia Erkidego osorako erakundeen eta Lurralde Historikoetako foru erakundeen arteko harremanei buruzkoak, </w:t>
      </w:r>
      <w:proofErr w:type="spellStart"/>
      <w:r w:rsidRPr="00CF258F">
        <w:rPr>
          <w:rFonts w:ascii="Tahoma" w:hAnsi="Tahoma"/>
          <w:sz w:val="22"/>
          <w:szCs w:val="24"/>
          <w:lang w:val="eu-ES"/>
        </w:rPr>
        <w:t>7.b</w:t>
      </w:r>
      <w:proofErr w:type="spellEnd"/>
      <w:r w:rsidRPr="00CF258F">
        <w:rPr>
          <w:rFonts w:ascii="Tahoma" w:hAnsi="Tahoma"/>
          <w:sz w:val="22"/>
          <w:szCs w:val="24"/>
          <w:lang w:val="eu-ES"/>
        </w:rPr>
        <w:t>. artikuluan hauxe ezartzen du: "Lurralde Historikoei dagokie Erakunde erkideen arauak garatzea eta gauzatzea, arlo hauetan:...3. Ibaietako arrain aberastasunaren aprobetxamendu araubidea".</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Cs w:val="24"/>
          <w:lang w:val="eu-ES"/>
        </w:rPr>
      </w:pPr>
      <w:r w:rsidRPr="00CF258F">
        <w:rPr>
          <w:rFonts w:ascii="Tahoma" w:hAnsi="Tahoma"/>
          <w:sz w:val="22"/>
          <w:szCs w:val="24"/>
          <w:lang w:val="eu-ES"/>
        </w:rPr>
        <w:t xml:space="preserve">Abenduaren 13ko 42/2007 Legeak, natura ondare eta biodibertsitatearenak, zeina oinarrizkoa baita haren 1. artikuluaren eta bigarren azken xedapenaren arabera, hau ezartzen du 65. artikuluan: </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r w:rsidRPr="00CF258F">
        <w:rPr>
          <w:rFonts w:ascii="Tahoma" w:hAnsi="Tahoma"/>
          <w:sz w:val="22"/>
          <w:szCs w:val="24"/>
          <w:lang w:val="eu-ES"/>
        </w:rPr>
        <w:t xml:space="preserve">1. Ehizatu  eta  ur  kontinentaletan  arrantzatu  ahal  izango  diren  espezieak  autonomia-erkidegoek zehazten dituztenak bakarrik izango dira, eta deklarazio horrek inola ere ezingo die eragin Babes Bereziko Espezieen Zerrendan sartutako espezieei edo Europar Batasunak debekatutakoei. </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r w:rsidRPr="00CF258F">
        <w:rPr>
          <w:rFonts w:ascii="Tahoma" w:hAnsi="Tahoma"/>
          <w:sz w:val="22"/>
          <w:szCs w:val="24"/>
          <w:lang w:val="eu-ES"/>
        </w:rPr>
        <w:t>2. Nolanahi ere, ehiza eta arrantza kontinentala arautzean, bermatu egingo da jarduera horietarako baimenduta dauden espezieak kontserbatzea eta sustatzea; xede horietarako, autonomia-erkidegoek zehaztu egingo dute zein lursail eta uretan ehizatu eta arrantzatu ahal izango den eta zein egunetan izango den haizu espezie bakoitzarentzat.</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r w:rsidRPr="00CF258F">
        <w:rPr>
          <w:rFonts w:ascii="Tahoma" w:hAnsi="Tahoma"/>
          <w:sz w:val="22"/>
          <w:szCs w:val="24"/>
          <w:lang w:val="eu-ES"/>
        </w:rPr>
        <w:t xml:space="preserve">Lurralde historikoei dagokienez, apirilaren 15eko 1/2014 Legegintzako Dekretuak, Euskal Autonomia Erkidegoko natura kontserbatzeko legearen testu </w:t>
      </w:r>
      <w:proofErr w:type="spellStart"/>
      <w:r w:rsidRPr="00CF258F">
        <w:rPr>
          <w:rFonts w:ascii="Tahoma" w:hAnsi="Tahoma"/>
          <w:sz w:val="22"/>
          <w:szCs w:val="24"/>
          <w:lang w:val="eu-ES"/>
        </w:rPr>
        <w:t>bategina</w:t>
      </w:r>
      <w:proofErr w:type="spellEnd"/>
      <w:r w:rsidRPr="00CF258F">
        <w:rPr>
          <w:rFonts w:ascii="Tahoma" w:hAnsi="Tahoma"/>
          <w:sz w:val="22"/>
          <w:szCs w:val="24"/>
          <w:lang w:val="eu-ES"/>
        </w:rPr>
        <w:t xml:space="preserve"> onesten duenak, bere 66. artikuluan xedatzen duenez, “foru-organo eskudunek Euskal Autonomia Erkidegoko Administrazio Orokorrean natura-baliabideen antolamenduan eta naturaren kontserbazioan eskumena duen sailarekin elkar hartuta, bakoitzak bere lurralde-eremurako, arrantza-aprobetxamenduen araudia onartuko dute urtero. </w:t>
      </w:r>
      <w:r w:rsidRPr="00CF258F">
        <w:rPr>
          <w:rFonts w:ascii="Tahoma" w:hAnsi="Tahoma"/>
          <w:sz w:val="22"/>
          <w:szCs w:val="24"/>
          <w:lang w:val="eu-ES"/>
        </w:rPr>
        <w:lastRenderedPageBreak/>
        <w:t>Jarduera horiek egin daitezkeen urak ezarriko dituzte, bai eta espezie bakoitzarentzako arrantza-garaia eta ur kontinentaletan arrantzatzeko modu eta metodoak ere”.</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r w:rsidRPr="00CF258F">
        <w:rPr>
          <w:rFonts w:ascii="Tahoma" w:hAnsi="Tahoma"/>
          <w:sz w:val="22"/>
          <w:szCs w:val="24"/>
          <w:lang w:val="eu-ES"/>
        </w:rPr>
        <w:t xml:space="preserve">Azkenik, 630/2013 Errege Dekretuko </w:t>
      </w:r>
      <w:proofErr w:type="spellStart"/>
      <w:r w:rsidRPr="00CF258F">
        <w:rPr>
          <w:rFonts w:ascii="Tahoma" w:hAnsi="Tahoma"/>
          <w:sz w:val="22"/>
          <w:szCs w:val="24"/>
          <w:lang w:val="eu-ES"/>
        </w:rPr>
        <w:t>10.5</w:t>
      </w:r>
      <w:proofErr w:type="spellEnd"/>
      <w:r w:rsidRPr="00CF258F">
        <w:rPr>
          <w:rFonts w:ascii="Tahoma" w:hAnsi="Tahoma"/>
          <w:sz w:val="22"/>
          <w:szCs w:val="24"/>
          <w:lang w:val="eu-ES"/>
        </w:rPr>
        <w:t xml:space="preserve"> artikuluak, abuztuaren 2koak, espezie exotiko inbaditzaileen Espainiako katalogoa arautzen duenak (ingurumena zaintzeari buruzko oinarrizko legedi izaera, Konstituzioko </w:t>
      </w:r>
      <w:proofErr w:type="spellStart"/>
      <w:r w:rsidRPr="00CF258F">
        <w:rPr>
          <w:rFonts w:ascii="Tahoma" w:hAnsi="Tahoma"/>
          <w:sz w:val="22"/>
          <w:szCs w:val="24"/>
          <w:lang w:val="eu-ES"/>
        </w:rPr>
        <w:t>149.1.23</w:t>
      </w:r>
      <w:proofErr w:type="spellEnd"/>
      <w:r w:rsidRPr="00CF258F">
        <w:rPr>
          <w:rFonts w:ascii="Tahoma" w:hAnsi="Tahoma"/>
          <w:sz w:val="22"/>
          <w:szCs w:val="24"/>
          <w:lang w:val="eu-ES"/>
        </w:rPr>
        <w:t>. artikuluan ezarritakoarekin bat etorriz, Errege Dekretuaren beraren azken xedapenetako lehenengoan ageri da), azaldu zuenez, “Arrantza eta ehiza katalogoan jasotako espezieak kontrolatu, kudeatu eta desagerrarazteko metodo gisa aurreikusi ahalko dira, abenduaren 13ko 42/2007 Legea indarrean sartu aurretik sartutakoak, helburua ehiza eta arrantza arautzeko tresnetan ageri denean eta data horren aurretik espezie horiek okupatutako banaketa areatara mugatzen denean.”</w:t>
      </w:r>
    </w:p>
    <w:p w:rsidR="00334BFB" w:rsidRPr="00CF258F" w:rsidRDefault="00334BFB" w:rsidP="00334BFB">
      <w:pPr>
        <w:jc w:val="both"/>
        <w:rPr>
          <w:rFonts w:ascii="Tahoma" w:hAnsi="Tahoma"/>
          <w:sz w:val="22"/>
          <w:szCs w:val="24"/>
          <w:lang w:val="eu-ES"/>
        </w:rPr>
      </w:pPr>
    </w:p>
    <w:p w:rsidR="00334BFB" w:rsidRPr="00116345" w:rsidRDefault="00334BFB" w:rsidP="00334BFB">
      <w:pPr>
        <w:jc w:val="both"/>
        <w:rPr>
          <w:rFonts w:ascii="Tahoma" w:hAnsi="Tahoma"/>
          <w:sz w:val="22"/>
          <w:szCs w:val="24"/>
          <w:lang w:val="eu-ES"/>
        </w:rPr>
      </w:pPr>
      <w:r w:rsidRPr="00CF258F">
        <w:rPr>
          <w:rFonts w:ascii="Tahoma" w:hAnsi="Tahoma"/>
          <w:sz w:val="22"/>
          <w:szCs w:val="24"/>
          <w:lang w:val="eu-ES"/>
        </w:rPr>
        <w:t>Azaldutako guztia ikusita ondorioztatu da Lurralde Historikoak baduela ibaietako arrain aberastasunaren aprobetxamendu araubidearen arloan araudiak garatzeko eskumena.</w:t>
      </w:r>
    </w:p>
    <w:p w:rsidR="00334BFB" w:rsidRPr="00116345" w:rsidRDefault="00334BFB" w:rsidP="00334BFB">
      <w:pPr>
        <w:jc w:val="both"/>
        <w:rPr>
          <w:rFonts w:ascii="Tahoma" w:hAnsi="Tahoma"/>
          <w:sz w:val="22"/>
          <w:szCs w:val="24"/>
          <w:lang w:val="eu-ES"/>
        </w:rPr>
      </w:pPr>
    </w:p>
    <w:p w:rsidR="00334BFB" w:rsidRPr="00116345" w:rsidRDefault="00334BFB" w:rsidP="00334BFB">
      <w:pPr>
        <w:jc w:val="both"/>
        <w:rPr>
          <w:rFonts w:ascii="Tahoma" w:hAnsi="Tahoma"/>
          <w:sz w:val="22"/>
          <w:szCs w:val="24"/>
          <w:lang w:val="eu-ES"/>
        </w:rPr>
      </w:pPr>
      <w:r w:rsidRPr="00CF258F">
        <w:rPr>
          <w:rFonts w:ascii="Tahoma" w:hAnsi="Tahoma"/>
          <w:sz w:val="22"/>
          <w:szCs w:val="24"/>
          <w:lang w:val="eu-ES"/>
        </w:rPr>
        <w:t xml:space="preserve">Beste alde batetik, Arabako Foru Administrazioaren Aholku Batzordea sortu zuen Diputatuen Kontseiluaren martxoaren 30eko 40/1999 Foru Dekretuak </w:t>
      </w:r>
      <w:proofErr w:type="spellStart"/>
      <w:r w:rsidRPr="00CF258F">
        <w:rPr>
          <w:rFonts w:ascii="Tahoma" w:hAnsi="Tahoma"/>
          <w:sz w:val="22"/>
          <w:szCs w:val="24"/>
          <w:lang w:val="eu-ES"/>
        </w:rPr>
        <w:t>3.1.b</w:t>
      </w:r>
      <w:proofErr w:type="spellEnd"/>
      <w:r w:rsidRPr="00CF258F">
        <w:rPr>
          <w:rFonts w:ascii="Tahoma" w:hAnsi="Tahoma"/>
          <w:sz w:val="22"/>
          <w:szCs w:val="24"/>
          <w:lang w:val="eu-ES"/>
        </w:rPr>
        <w:t xml:space="preserve"> artikuluan ezarri zuen Aholku Batzordeak nahitaezko irizpena eman beharko zuela Lurralde Historikoaren eskumen esklusiboak diren gaiak arautzeko foru arauak gauzatzean emandako araudi xedapenen proiektuetan, edo autonomia erkidegoko legeak garatzean, horien araudi garapena Lurralde Historikoaren eskumena denean.</w:t>
      </w:r>
    </w:p>
    <w:p w:rsidR="00334BFB" w:rsidRPr="00116345" w:rsidRDefault="00334BFB" w:rsidP="00334BFB">
      <w:pPr>
        <w:jc w:val="both"/>
        <w:rPr>
          <w:rFonts w:ascii="Tahoma" w:hAnsi="Tahoma"/>
          <w:sz w:val="22"/>
          <w:szCs w:val="24"/>
          <w:lang w:val="eu-ES"/>
        </w:rPr>
      </w:pPr>
    </w:p>
    <w:p w:rsidR="00334BFB" w:rsidRPr="00116345" w:rsidRDefault="00334BFB" w:rsidP="00334BFB">
      <w:pPr>
        <w:jc w:val="both"/>
        <w:rPr>
          <w:rFonts w:ascii="Tahoma" w:hAnsi="Tahoma"/>
          <w:sz w:val="22"/>
          <w:szCs w:val="24"/>
          <w:lang w:val="eu-ES"/>
        </w:rPr>
      </w:pPr>
      <w:r w:rsidRPr="00CF258F">
        <w:rPr>
          <w:rFonts w:ascii="Tahoma" w:hAnsi="Tahoma"/>
          <w:sz w:val="22"/>
          <w:szCs w:val="24"/>
          <w:lang w:val="eu-ES"/>
        </w:rPr>
        <w:t>Horrenbestez, ondorioztatu behar da arlo honetan autonomia erkidegoko legeak araudiari dagokionez garatzeko eskumena Lurralde Historikoarena denez, Arabako Foru Aldundiak daukala araudi ahalmena eta, hortaz, Aholku Batzordeak irizpena ematea nahitaezkoa dela.</w:t>
      </w:r>
    </w:p>
    <w:p w:rsidR="00334BFB" w:rsidRPr="00116345" w:rsidRDefault="00334BFB" w:rsidP="00334BFB">
      <w:pPr>
        <w:jc w:val="both"/>
        <w:rPr>
          <w:rFonts w:ascii="Tahoma" w:hAnsi="Tahoma"/>
          <w:sz w:val="22"/>
          <w:szCs w:val="24"/>
          <w:lang w:val="eu-ES"/>
        </w:rPr>
      </w:pPr>
    </w:p>
    <w:p w:rsidR="00334BFB" w:rsidRPr="00CF258F" w:rsidRDefault="00334BFB" w:rsidP="00334BFB">
      <w:pPr>
        <w:jc w:val="both"/>
        <w:rPr>
          <w:rFonts w:ascii="Tahoma" w:hAnsi="Tahoma"/>
          <w:szCs w:val="24"/>
        </w:rPr>
      </w:pPr>
      <w:r w:rsidRPr="00CF258F">
        <w:rPr>
          <w:rFonts w:ascii="Tahoma" w:hAnsi="Tahoma"/>
          <w:b/>
          <w:sz w:val="22"/>
          <w:szCs w:val="24"/>
          <w:lang w:val="eu-ES"/>
        </w:rPr>
        <w:t>III.</w:t>
      </w:r>
      <w:r w:rsidRPr="00CF258F">
        <w:rPr>
          <w:rFonts w:ascii="Tahoma" w:hAnsi="Tahoma"/>
          <w:b/>
          <w:sz w:val="22"/>
          <w:szCs w:val="24"/>
        </w:rPr>
        <w:t xml:space="preserve"> </w:t>
      </w:r>
      <w:r w:rsidRPr="00CF258F">
        <w:rPr>
          <w:rFonts w:ascii="Tahoma" w:hAnsi="Tahoma"/>
          <w:b/>
          <w:sz w:val="22"/>
          <w:szCs w:val="24"/>
          <w:lang w:val="eu-ES"/>
        </w:rPr>
        <w:t>ARAUDI GAIKUNTZA ETA ERAKUNDE ESKUMENA</w:t>
      </w:r>
      <w:r w:rsidRPr="00CF258F">
        <w:rPr>
          <w:rFonts w:ascii="Tahoma" w:hAnsi="Tahoma"/>
          <w:b/>
          <w:sz w:val="22"/>
          <w:szCs w:val="24"/>
        </w:rPr>
        <w:t xml:space="preserve"> </w:t>
      </w:r>
    </w:p>
    <w:p w:rsidR="00334BFB" w:rsidRPr="00CF258F" w:rsidRDefault="00334BFB" w:rsidP="00334BFB">
      <w:pPr>
        <w:jc w:val="both"/>
        <w:rPr>
          <w:rFonts w:ascii="Tahoma" w:hAnsi="Tahoma"/>
          <w:b/>
          <w:sz w:val="22"/>
          <w:szCs w:val="24"/>
        </w:rPr>
      </w:pPr>
    </w:p>
    <w:p w:rsidR="00334BFB" w:rsidRPr="00CF258F" w:rsidRDefault="00334BFB" w:rsidP="00334BFB">
      <w:pPr>
        <w:jc w:val="both"/>
        <w:rPr>
          <w:rFonts w:ascii="Tahoma" w:hAnsi="Tahoma"/>
          <w:szCs w:val="24"/>
          <w:lang w:val="eu-ES"/>
        </w:rPr>
      </w:pPr>
      <w:r w:rsidRPr="00CF258F">
        <w:rPr>
          <w:rFonts w:ascii="Tahoma" w:hAnsi="Tahoma"/>
          <w:sz w:val="22"/>
          <w:szCs w:val="24"/>
          <w:lang w:val="eu-ES"/>
        </w:rPr>
        <w:t xml:space="preserve">Apirilaren 15eko 1/2014 Legegintzako Dekretuak, Euskal Autonomia Erkidegoko natura kontserbatzeko legearen testu </w:t>
      </w:r>
      <w:proofErr w:type="spellStart"/>
      <w:r w:rsidRPr="00CF258F">
        <w:rPr>
          <w:rFonts w:ascii="Tahoma" w:hAnsi="Tahoma"/>
          <w:sz w:val="22"/>
          <w:szCs w:val="24"/>
          <w:lang w:val="eu-ES"/>
        </w:rPr>
        <w:t>bategina</w:t>
      </w:r>
      <w:proofErr w:type="spellEnd"/>
      <w:r w:rsidRPr="00CF258F">
        <w:rPr>
          <w:rFonts w:ascii="Tahoma" w:hAnsi="Tahoma"/>
          <w:sz w:val="22"/>
          <w:szCs w:val="24"/>
          <w:lang w:val="eu-ES"/>
        </w:rPr>
        <w:t xml:space="preserve"> onesten duenak, 66. artikuluan xedatzen duenez, “foru-organo eskudunek Euskal Autonomia Erkidegoko Administrazio Orokorrean natura-baliabideen antolamenduan eta naturaren kontserbazioan eskumena duen sailarekin elkar hartuta, bakoitzak bere lurralde-eremurako, arrantza-aprobetxamenduen araudia onartuko dute urtero. Jarduera horiek egin daitezkeen urak ezarriko dituzte, bai eta espezie bakoitzarentzako arrantza-garaia eta ur kontinentaletan arrantzatzeko modu eta metodoak ere”. </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Cs w:val="24"/>
          <w:lang w:val="eu-ES"/>
        </w:rPr>
      </w:pPr>
      <w:proofErr w:type="spellStart"/>
      <w:r w:rsidRPr="00CF258F">
        <w:rPr>
          <w:rFonts w:ascii="Tahoma" w:hAnsi="Tahoma"/>
          <w:sz w:val="22"/>
          <w:szCs w:val="24"/>
          <w:lang w:val="eu-ES"/>
        </w:rPr>
        <w:t>7.b.3</w:t>
      </w:r>
      <w:proofErr w:type="spellEnd"/>
      <w:r w:rsidRPr="00CF258F">
        <w:rPr>
          <w:rFonts w:ascii="Tahoma" w:hAnsi="Tahoma"/>
          <w:sz w:val="22"/>
          <w:szCs w:val="24"/>
          <w:lang w:val="eu-ES"/>
        </w:rPr>
        <w:t xml:space="preserve">. artikuluak dio ibaietako arrain aberastasunaren aprobetxamendu araubidearen arloan Lurralde Historikoei dagokiela Erakunde erkideek ezarritako arauak garatzea eta gauzatzea, eta </w:t>
      </w:r>
      <w:proofErr w:type="spellStart"/>
      <w:r w:rsidRPr="00CF258F">
        <w:rPr>
          <w:rFonts w:ascii="Tahoma" w:hAnsi="Tahoma"/>
          <w:sz w:val="22"/>
          <w:szCs w:val="24"/>
          <w:lang w:val="eu-ES"/>
        </w:rPr>
        <w:t>8.2</w:t>
      </w:r>
      <w:proofErr w:type="spellEnd"/>
      <w:r w:rsidRPr="00CF258F">
        <w:rPr>
          <w:rFonts w:ascii="Tahoma" w:hAnsi="Tahoma"/>
          <w:sz w:val="22"/>
          <w:szCs w:val="24"/>
          <w:lang w:val="eu-ES"/>
        </w:rPr>
        <w:t>. artikuluaren arabera, arautegia eta araudi ahala garatzeko eskumena dutela. Dena den, ez du adierazten Aldundiaren zein organori dagokion azken hori.  Horrez gain, arlo honetan ez da araudi garapeneko ahalmena erabili; araudi ahala zein erakunderi dagokion zehaztu zitekeen.</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r w:rsidRPr="00CF258F">
        <w:rPr>
          <w:rFonts w:ascii="Tahoma" w:hAnsi="Tahoma"/>
          <w:sz w:val="22"/>
          <w:szCs w:val="24"/>
          <w:lang w:val="eu-ES"/>
        </w:rPr>
        <w:t xml:space="preserve">Proposamena izapidetzeari dagokionez, eskumeneko organoak egin du, hots, Arabako Foru Aldundiaren Nekazaritza Sailak, 14/2016 Foru Dekretua, otsailaren 9koan, Diputatuen Kontseiluarenean, ezarritakoaren arabera. Horren bidez, Nekazaritza Sailaren egitura organiko eta funtzionala onartzen da, Mendi Zerbitzuari, besteak beste eginkizun hauek ematen dizkionak: basoko flora eta fauna antolatzea, kontserbatzea, kudeatzea eta sustatzea. Bestalde, Ehiza eta Arrantza atalaren funtzioak hauek dira: </w:t>
      </w:r>
      <w:r w:rsidRPr="00CF258F">
        <w:rPr>
          <w:rFonts w:ascii="Tahoma" w:hAnsi="Tahoma"/>
          <w:sz w:val="22"/>
          <w:szCs w:val="24"/>
          <w:lang w:val="eu-ES"/>
        </w:rPr>
        <w:lastRenderedPageBreak/>
        <w:t>ehiza eta arrantza debekualdien agindu orokorrak, eta haren arautegi osagarria aztertzea eta proposatzea.</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Cs w:val="24"/>
          <w:lang w:val="eu-ES"/>
        </w:rPr>
      </w:pPr>
      <w:r w:rsidRPr="00CF258F">
        <w:rPr>
          <w:rFonts w:ascii="Tahoma" w:hAnsi="Tahoma"/>
          <w:sz w:val="22"/>
          <w:szCs w:val="24"/>
          <w:lang w:val="eu-ES"/>
        </w:rPr>
        <w:t xml:space="preserve">Proiektua onartzeko erakunde eskumenari dagokionez, 52/1992 Foru Arauak, abenduaren 18koak, Arabako Foru Aldundiaren antolaketa, funtzionamendu eta lege erregimenari buruzkoak, Foru Gobernu Kontseiluari esleitu zion araudi ahala (3. eta </w:t>
      </w:r>
      <w:proofErr w:type="spellStart"/>
      <w:r w:rsidRPr="00CF258F">
        <w:rPr>
          <w:rFonts w:ascii="Tahoma" w:hAnsi="Tahoma"/>
          <w:sz w:val="22"/>
          <w:szCs w:val="24"/>
          <w:lang w:val="eu-ES"/>
        </w:rPr>
        <w:t>7.2</w:t>
      </w:r>
      <w:proofErr w:type="spellEnd"/>
      <w:r w:rsidRPr="00CF258F">
        <w:rPr>
          <w:rFonts w:ascii="Tahoma" w:hAnsi="Tahoma"/>
          <w:sz w:val="22"/>
          <w:szCs w:val="24"/>
          <w:lang w:val="eu-ES"/>
        </w:rPr>
        <w:t xml:space="preserve"> artikuluak eta hirugarren xedapen gehigarria), baina foru diputatuei ere eman zien, honako hau ezarriz: "Foru diputatuei dagokie: … 11.</w:t>
      </w:r>
      <w:r w:rsidRPr="00CF258F">
        <w:rPr>
          <w:rFonts w:ascii="Tahoma" w:hAnsi="Tahoma"/>
          <w:sz w:val="22"/>
          <w:szCs w:val="24"/>
          <w:lang w:val="eu-ES"/>
        </w:rPr>
        <w:tab/>
        <w:t>Araudiak egiteko eta zigortzeko ahalmena erabiltzea, Aldundiko beste organoek haren sailaren gaietan eta berariazko trebakuntza duten gaietan dauzkaten aginpideen kaltetan gabe.”</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r w:rsidRPr="00CF258F">
        <w:rPr>
          <w:rFonts w:ascii="Tahoma" w:hAnsi="Tahoma"/>
          <w:sz w:val="22"/>
          <w:szCs w:val="24"/>
          <w:lang w:val="eu-ES"/>
        </w:rPr>
        <w:t>Horrenbestez, ezin da ondorioztatu foru aginduaren maila egokia ez denik araudi ahala gauzatzeko.</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Cs w:val="24"/>
          <w:lang w:val="eu-ES"/>
        </w:rPr>
      </w:pPr>
      <w:r w:rsidRPr="00CF258F">
        <w:rPr>
          <w:rFonts w:ascii="Tahoma" w:hAnsi="Tahoma"/>
          <w:b/>
          <w:sz w:val="22"/>
          <w:szCs w:val="24"/>
          <w:lang w:val="eu-ES"/>
        </w:rPr>
        <w:t>IV. PROIEKTUA IZAPIDETZEAN JARRAITUTAKO PROZEDURA</w:t>
      </w:r>
    </w:p>
    <w:p w:rsidR="00334BFB" w:rsidRPr="00CF258F" w:rsidRDefault="00334BFB" w:rsidP="00334BFB">
      <w:pPr>
        <w:jc w:val="both"/>
        <w:rPr>
          <w:rFonts w:ascii="Tahoma" w:hAnsi="Tahoma"/>
          <w:b/>
          <w:sz w:val="22"/>
          <w:szCs w:val="24"/>
          <w:lang w:val="eu-ES"/>
        </w:rPr>
      </w:pPr>
    </w:p>
    <w:p w:rsidR="00334BFB" w:rsidRPr="00CF258F" w:rsidRDefault="00334BFB" w:rsidP="00334BFB">
      <w:pPr>
        <w:jc w:val="both"/>
        <w:rPr>
          <w:rFonts w:ascii="Tahoma" w:hAnsi="Tahoma"/>
          <w:sz w:val="22"/>
          <w:szCs w:val="24"/>
          <w:lang w:val="eu-ES"/>
        </w:rPr>
      </w:pPr>
      <w:r w:rsidRPr="00CF258F">
        <w:rPr>
          <w:rFonts w:ascii="Tahoma" w:hAnsi="Tahoma"/>
          <w:sz w:val="22"/>
          <w:szCs w:val="24"/>
          <w:lang w:val="eu-ES"/>
        </w:rPr>
        <w:t>1. Proiektua prestatzean oro har Foru Gobernu Kontseiluaren 29/2017 Foru Dekretuan ezarritako prozedura jarraitu dela, maiatzaren 23koa.</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r w:rsidRPr="00CF258F">
        <w:rPr>
          <w:rFonts w:ascii="Tahoma" w:hAnsi="Tahoma"/>
          <w:sz w:val="22"/>
          <w:szCs w:val="24"/>
          <w:lang w:val="eu-ES"/>
        </w:rPr>
        <w:t xml:space="preserve">Aurretiko kontsulta publikoaren izapideari dagokionez, txosten honen xede den foru agindua premiaz onartu behar denez, eta arautegia aurreko denboraldikoaren berdina denez, esanguratsuak ez diren aldaketa txikirekin, maiatzaren 23ko 29/2017 Foru Dekretuaren </w:t>
      </w:r>
      <w:proofErr w:type="spellStart"/>
      <w:r w:rsidRPr="00CF258F">
        <w:rPr>
          <w:rFonts w:ascii="Tahoma" w:hAnsi="Tahoma"/>
          <w:sz w:val="22"/>
          <w:szCs w:val="24"/>
          <w:lang w:val="eu-ES"/>
        </w:rPr>
        <w:t>10.g</w:t>
      </w:r>
      <w:proofErr w:type="spellEnd"/>
      <w:r w:rsidRPr="00CF258F">
        <w:rPr>
          <w:rFonts w:ascii="Tahoma" w:hAnsi="Tahoma"/>
          <w:sz w:val="22"/>
          <w:szCs w:val="24"/>
          <w:lang w:val="eu-ES"/>
        </w:rPr>
        <w:t>. artikuluan ezarritakoaren arabera, Foru Agindu horrek aurretiko kontsulta publikoaren izapidea salbuetsita utzi du, abenduaren 21eko 493/2018 Foru Aginduan, Foru Aginduaren proiektu hau egiteko prozedura hastekoan, onartu zen moduan.</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r w:rsidRPr="00CF258F">
        <w:rPr>
          <w:rFonts w:ascii="Tahoma" w:hAnsi="Tahoma"/>
          <w:sz w:val="22"/>
          <w:szCs w:val="24"/>
          <w:lang w:val="eu-ES"/>
        </w:rPr>
        <w:t>Halaber, premiaz onartu behar denez, arrantzarako aldia martxoaren 23an hasten delako, 2018ko abenduaren 19an Lurraldeko Arrantza Kontseiluan, BFAko Nekazaritza Sailak eta Ingurumen eta Hirigintza Sailak, Arabako Arrantzaleen Elkarte handienak, Ehiztaria eta Arrantzalea Defendatzeko Elkartea (</w:t>
      </w:r>
      <w:proofErr w:type="spellStart"/>
      <w:r w:rsidRPr="00CF258F">
        <w:rPr>
          <w:rFonts w:ascii="Tahoma" w:hAnsi="Tahoma"/>
          <w:sz w:val="22"/>
          <w:szCs w:val="24"/>
          <w:lang w:val="eu-ES"/>
        </w:rPr>
        <w:t>ADECAP</w:t>
      </w:r>
      <w:proofErr w:type="spellEnd"/>
      <w:r w:rsidRPr="00CF258F">
        <w:rPr>
          <w:rFonts w:ascii="Tahoma" w:hAnsi="Tahoma"/>
          <w:sz w:val="22"/>
          <w:szCs w:val="24"/>
          <w:lang w:val="eu-ES"/>
        </w:rPr>
        <w:t xml:space="preserve">), Eusko Jaurlaritzako Barne Sailak, Euskal Herriko Unibertsitateak, Arabako Nekazaritza eta Natura Elkarteek, Arabako Udalen Elkarte handienak eta Arabako Kontzejuen Elkarte handienak osatutakoan, erabakitakoari jarraituz, jendaurreko entzunaldi eta informaziorako epea zortzi egun naturalera murrizten da, aurretik aipatutako </w:t>
      </w:r>
      <w:proofErr w:type="spellStart"/>
      <w:r w:rsidRPr="00CF258F">
        <w:rPr>
          <w:rFonts w:ascii="Tahoma" w:hAnsi="Tahoma"/>
          <w:sz w:val="22"/>
          <w:szCs w:val="24"/>
          <w:lang w:val="eu-ES"/>
        </w:rPr>
        <w:t>13.3</w:t>
      </w:r>
      <w:proofErr w:type="spellEnd"/>
      <w:r w:rsidRPr="00CF258F">
        <w:rPr>
          <w:rFonts w:ascii="Tahoma" w:hAnsi="Tahoma"/>
          <w:sz w:val="22"/>
          <w:szCs w:val="24"/>
          <w:lang w:val="eu-ES"/>
        </w:rPr>
        <w:t xml:space="preserve">. artikuluan ezarritakoaren arabera. </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Cs w:val="24"/>
          <w:lang w:val="eu-ES"/>
        </w:rPr>
      </w:pPr>
      <w:r w:rsidRPr="00CF258F">
        <w:rPr>
          <w:rFonts w:ascii="Tahoma" w:hAnsi="Tahoma"/>
          <w:sz w:val="22"/>
          <w:szCs w:val="24"/>
          <w:lang w:val="eu-ES"/>
        </w:rPr>
        <w:t xml:space="preserve">Azkenik, proiektua ez da barne hartu 2019ko urteko araugintza planean, urtarrilaren 22ko Foru Gobernu Kontseiluaren 15/2019 erabakiaren bidez onartutakoan. Hala ere, 29/2017 </w:t>
      </w:r>
      <w:proofErr w:type="spellStart"/>
      <w:r w:rsidRPr="00CF258F">
        <w:rPr>
          <w:rFonts w:ascii="Tahoma" w:hAnsi="Tahoma"/>
          <w:sz w:val="22"/>
          <w:szCs w:val="24"/>
          <w:lang w:val="eu-ES"/>
        </w:rPr>
        <w:t>FDko</w:t>
      </w:r>
      <w:proofErr w:type="spellEnd"/>
      <w:r w:rsidRPr="00CF258F">
        <w:rPr>
          <w:rFonts w:ascii="Tahoma" w:hAnsi="Tahoma"/>
          <w:sz w:val="22"/>
          <w:szCs w:val="24"/>
          <w:lang w:val="eu-ES"/>
        </w:rPr>
        <w:t xml:space="preserve"> 4. artikuluko 2. idatz zatian ezarritakoarekin bat etorriz, (“Organo eskudunak urteko araugintza planean ageri ez den araugintzako proposamenen bat aurkezten badu onartzeko, arau horren premia edo presa justifikatu beharko da izaera orokorreko xedapen hori egiteko prozedura abiarazten duen ebazpenean”), prozedura hasteko Foru Aginduan, proiektua Urteko Araugintza Planean jaso ez izana aipatu ez bada ere, erregulazio beharra justifikatu da.</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b/>
          <w:sz w:val="22"/>
          <w:szCs w:val="24"/>
          <w:lang w:val="eu-ES"/>
        </w:rPr>
      </w:pPr>
      <w:r w:rsidRPr="00CF258F">
        <w:rPr>
          <w:rFonts w:ascii="Tahoma" w:hAnsi="Tahoma"/>
          <w:b/>
          <w:sz w:val="22"/>
          <w:szCs w:val="24"/>
          <w:lang w:val="eu-ES"/>
        </w:rPr>
        <w:t>V. PROIEKTUAREN DESKRIBAPENA</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r w:rsidRPr="00CF258F">
        <w:rPr>
          <w:rFonts w:ascii="Tahoma" w:hAnsi="Tahoma"/>
          <w:sz w:val="22"/>
          <w:szCs w:val="24"/>
          <w:lang w:val="eu-ES"/>
        </w:rPr>
        <w:t>1. Foru Aginduaren proiektu honen helburua da Arabako Lurralde Historikoan ibaietako arrantzaren aprobetxamendua arautzen araudia onartzea 2019/2020 kanpainarako.</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Cs w:val="24"/>
          <w:lang w:val="eu-ES"/>
        </w:rPr>
      </w:pPr>
      <w:r w:rsidRPr="00CF258F">
        <w:rPr>
          <w:rFonts w:ascii="Tahoma" w:hAnsi="Tahoma"/>
          <w:sz w:val="22"/>
          <w:szCs w:val="24"/>
          <w:lang w:val="eu-ES"/>
        </w:rPr>
        <w:lastRenderedPageBreak/>
        <w:t xml:space="preserve">2019-2020 denboraldirako ezarri nahi den arautegia aurreko denboraldikoaren berdina da, garrantzitsuak ez diren zenbait aldaketekin: </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Cs w:val="24"/>
          <w:lang w:val="da-DK"/>
        </w:rPr>
      </w:pPr>
      <w:r w:rsidRPr="00CF258F">
        <w:rPr>
          <w:rFonts w:ascii="Tahoma" w:hAnsi="Tahoma"/>
          <w:sz w:val="22"/>
          <w:szCs w:val="24"/>
          <w:lang w:val="eu-ES"/>
        </w:rPr>
        <w:t>- Karramarroak harrapatzeko uzten den sare-saski kopurua 5etik 6ra handitzen da (</w:t>
      </w:r>
      <w:proofErr w:type="spellStart"/>
      <w:r w:rsidRPr="00CF258F">
        <w:rPr>
          <w:rFonts w:ascii="Tahoma" w:hAnsi="Tahoma"/>
          <w:sz w:val="22"/>
          <w:szCs w:val="24"/>
          <w:lang w:val="eu-ES"/>
        </w:rPr>
        <w:t>7.2</w:t>
      </w:r>
      <w:proofErr w:type="spellEnd"/>
      <w:r w:rsidRPr="00CF258F">
        <w:rPr>
          <w:rFonts w:ascii="Tahoma" w:hAnsi="Tahoma"/>
          <w:sz w:val="22"/>
          <w:szCs w:val="24"/>
          <w:lang w:val="eu-ES"/>
        </w:rPr>
        <w:t xml:space="preserve">. </w:t>
      </w:r>
      <w:proofErr w:type="spellStart"/>
      <w:r w:rsidRPr="00CF258F">
        <w:rPr>
          <w:rFonts w:ascii="Tahoma" w:hAnsi="Tahoma"/>
          <w:sz w:val="22"/>
          <w:szCs w:val="24"/>
          <w:lang w:val="eu-ES"/>
        </w:rPr>
        <w:t>art</w:t>
      </w:r>
      <w:proofErr w:type="spellEnd"/>
      <w:r w:rsidRPr="00CF258F">
        <w:rPr>
          <w:rFonts w:ascii="Tahoma" w:hAnsi="Tahoma"/>
          <w:sz w:val="22"/>
          <w:szCs w:val="24"/>
          <w:lang w:val="eu-ES"/>
        </w:rPr>
        <w:t>.).</w:t>
      </w:r>
    </w:p>
    <w:p w:rsidR="00334BFB" w:rsidRPr="00CF258F" w:rsidRDefault="00334BFB" w:rsidP="00334BFB">
      <w:pPr>
        <w:jc w:val="both"/>
        <w:rPr>
          <w:rFonts w:ascii="Tahoma" w:hAnsi="Tahoma"/>
          <w:sz w:val="22"/>
          <w:szCs w:val="24"/>
          <w:lang w:val="da-DK"/>
        </w:rPr>
      </w:pPr>
      <w:r w:rsidRPr="00CF258F">
        <w:rPr>
          <w:rFonts w:ascii="Tahoma" w:hAnsi="Tahoma"/>
          <w:sz w:val="22"/>
          <w:szCs w:val="24"/>
          <w:lang w:val="eu-ES"/>
        </w:rPr>
        <w:t xml:space="preserve">- </w:t>
      </w:r>
      <w:proofErr w:type="spellStart"/>
      <w:r w:rsidRPr="00CF258F">
        <w:rPr>
          <w:rFonts w:ascii="Tahoma" w:hAnsi="Tahoma"/>
          <w:sz w:val="22"/>
          <w:szCs w:val="24"/>
          <w:lang w:val="eu-ES"/>
        </w:rPr>
        <w:t>7.3.b</w:t>
      </w:r>
      <w:proofErr w:type="spellEnd"/>
      <w:r w:rsidRPr="00CF258F">
        <w:rPr>
          <w:rFonts w:ascii="Tahoma" w:hAnsi="Tahoma"/>
          <w:sz w:val="22"/>
          <w:szCs w:val="24"/>
          <w:lang w:val="eu-ES"/>
        </w:rPr>
        <w:t xml:space="preserve">). artikulua ezabatzen da, zebra muskuilua dagoela ikusi den ur masetan elementu osagarriak erabiltzeko debekuari buruzkoa, </w:t>
      </w:r>
      <w:proofErr w:type="spellStart"/>
      <w:r w:rsidRPr="00CF258F">
        <w:rPr>
          <w:rFonts w:ascii="Tahoma" w:hAnsi="Tahoma"/>
          <w:sz w:val="22"/>
          <w:szCs w:val="24"/>
          <w:lang w:val="eu-ES"/>
        </w:rPr>
        <w:t>Sobrón</w:t>
      </w:r>
      <w:proofErr w:type="spellEnd"/>
      <w:r w:rsidRPr="00CF258F">
        <w:rPr>
          <w:rFonts w:ascii="Tahoma" w:hAnsi="Tahoma"/>
          <w:sz w:val="22"/>
          <w:szCs w:val="24"/>
          <w:lang w:val="eu-ES"/>
        </w:rPr>
        <w:t xml:space="preserve">, </w:t>
      </w:r>
      <w:proofErr w:type="spellStart"/>
      <w:r w:rsidRPr="00CF258F">
        <w:rPr>
          <w:rFonts w:ascii="Tahoma" w:hAnsi="Tahoma"/>
          <w:sz w:val="22"/>
          <w:szCs w:val="24"/>
          <w:lang w:val="eu-ES"/>
        </w:rPr>
        <w:t>Uribarri-Ganboa</w:t>
      </w:r>
      <w:proofErr w:type="spellEnd"/>
      <w:r w:rsidRPr="00CF258F">
        <w:rPr>
          <w:rFonts w:ascii="Tahoma" w:hAnsi="Tahoma"/>
          <w:sz w:val="22"/>
          <w:szCs w:val="24"/>
          <w:lang w:val="eu-ES"/>
        </w:rPr>
        <w:t xml:space="preserve"> eta Urrunagako urtegietan izan zen, hor, "arrantzarako grip-a" erabiltzea uzten zelako.</w:t>
      </w:r>
    </w:p>
    <w:p w:rsidR="00334BFB" w:rsidRPr="00CF258F" w:rsidRDefault="00334BFB" w:rsidP="00334BFB">
      <w:pPr>
        <w:jc w:val="both"/>
        <w:rPr>
          <w:rFonts w:ascii="Tahoma" w:hAnsi="Tahoma"/>
          <w:szCs w:val="24"/>
          <w:lang w:val="da-DK"/>
        </w:rPr>
      </w:pPr>
      <w:r w:rsidRPr="00CF258F">
        <w:rPr>
          <w:rFonts w:ascii="Tahoma" w:hAnsi="Tahoma"/>
          <w:sz w:val="22"/>
          <w:szCs w:val="24"/>
          <w:lang w:val="eu-ES"/>
        </w:rPr>
        <w:t xml:space="preserve">- Berariaz adierazten da </w:t>
      </w:r>
      <w:proofErr w:type="spellStart"/>
      <w:r w:rsidRPr="00CF258F">
        <w:rPr>
          <w:rFonts w:ascii="Tahoma" w:hAnsi="Tahoma"/>
          <w:sz w:val="22"/>
          <w:szCs w:val="24"/>
          <w:lang w:val="eu-ES"/>
        </w:rPr>
        <w:t>Langraizko</w:t>
      </w:r>
      <w:proofErr w:type="spellEnd"/>
      <w:r w:rsidRPr="00CF258F">
        <w:rPr>
          <w:rFonts w:ascii="Tahoma" w:hAnsi="Tahoma"/>
          <w:sz w:val="22"/>
          <w:szCs w:val="24"/>
          <w:lang w:val="eu-ES"/>
        </w:rPr>
        <w:t xml:space="preserve"> kirol tartea edozein arrantzalek erabil dezakeela arrantza sustatu edo irakasteko jarduerak egiten diren egunetan ez bada (</w:t>
      </w:r>
      <w:proofErr w:type="spellStart"/>
      <w:r w:rsidRPr="00CF258F">
        <w:rPr>
          <w:rFonts w:ascii="Tahoma" w:hAnsi="Tahoma"/>
          <w:sz w:val="22"/>
          <w:szCs w:val="24"/>
          <w:lang w:val="eu-ES"/>
        </w:rPr>
        <w:t>13.3</w:t>
      </w:r>
      <w:proofErr w:type="spellEnd"/>
      <w:r w:rsidRPr="00CF258F">
        <w:rPr>
          <w:rFonts w:ascii="Tahoma" w:hAnsi="Tahoma"/>
          <w:sz w:val="22"/>
          <w:szCs w:val="24"/>
          <w:lang w:val="eu-ES"/>
        </w:rPr>
        <w:t xml:space="preserve">. </w:t>
      </w:r>
      <w:proofErr w:type="spellStart"/>
      <w:r w:rsidRPr="00CF258F">
        <w:rPr>
          <w:rFonts w:ascii="Tahoma" w:hAnsi="Tahoma"/>
          <w:sz w:val="22"/>
          <w:szCs w:val="24"/>
          <w:lang w:val="eu-ES"/>
        </w:rPr>
        <w:t>art</w:t>
      </w:r>
      <w:proofErr w:type="spellEnd"/>
      <w:r w:rsidRPr="00CF258F">
        <w:rPr>
          <w:rFonts w:ascii="Tahoma" w:hAnsi="Tahoma"/>
          <w:sz w:val="22"/>
          <w:szCs w:val="24"/>
          <w:lang w:val="eu-ES"/>
        </w:rPr>
        <w:t>.).</w:t>
      </w:r>
    </w:p>
    <w:p w:rsidR="00334BFB" w:rsidRPr="00CF258F" w:rsidRDefault="00334BFB" w:rsidP="00334BFB">
      <w:pPr>
        <w:jc w:val="both"/>
        <w:rPr>
          <w:rFonts w:ascii="Tahoma" w:hAnsi="Tahoma"/>
          <w:szCs w:val="24"/>
          <w:lang w:val="eu-ES"/>
        </w:rPr>
      </w:pPr>
      <w:r w:rsidRPr="00CF258F">
        <w:rPr>
          <w:rFonts w:ascii="Tahoma" w:hAnsi="Tahoma"/>
          <w:sz w:val="22"/>
          <w:szCs w:val="24"/>
          <w:lang w:val="eu-ES"/>
        </w:rPr>
        <w:t>- Harrapaketen parteak ez entregatzearen ondorioak aldatzen dira. Horrela, aurreko denboraldian ezarritako zegoen moduan, ez da arau haustetzat hartzen; amuarrain edota karramarroen zozketetan parte hartzeko ezinbesteko baldintza izatera pasatzen da (</w:t>
      </w:r>
      <w:proofErr w:type="spellStart"/>
      <w:r w:rsidRPr="00CF258F">
        <w:rPr>
          <w:rFonts w:ascii="Tahoma" w:hAnsi="Tahoma"/>
          <w:sz w:val="22"/>
          <w:szCs w:val="24"/>
          <w:lang w:val="eu-ES"/>
        </w:rPr>
        <w:t>18.4</w:t>
      </w:r>
      <w:proofErr w:type="spellEnd"/>
      <w:r w:rsidRPr="00CF258F">
        <w:rPr>
          <w:rFonts w:ascii="Tahoma" w:hAnsi="Tahoma"/>
          <w:sz w:val="22"/>
          <w:szCs w:val="24"/>
          <w:lang w:val="eu-ES"/>
        </w:rPr>
        <w:t xml:space="preserve">. </w:t>
      </w:r>
      <w:proofErr w:type="spellStart"/>
      <w:r w:rsidRPr="00CF258F">
        <w:rPr>
          <w:rFonts w:ascii="Tahoma" w:hAnsi="Tahoma"/>
          <w:sz w:val="22"/>
          <w:szCs w:val="24"/>
          <w:lang w:val="eu-ES"/>
        </w:rPr>
        <w:t>art</w:t>
      </w:r>
      <w:proofErr w:type="spellEnd"/>
      <w:r w:rsidRPr="00CF258F">
        <w:rPr>
          <w:rFonts w:ascii="Tahoma" w:hAnsi="Tahoma"/>
          <w:sz w:val="22"/>
          <w:szCs w:val="24"/>
          <w:lang w:val="eu-ES"/>
        </w:rPr>
        <w:t>.).</w:t>
      </w:r>
    </w:p>
    <w:p w:rsidR="00334BFB" w:rsidRPr="00CF258F" w:rsidRDefault="00334BFB" w:rsidP="00334BFB">
      <w:pPr>
        <w:jc w:val="both"/>
        <w:rPr>
          <w:rFonts w:ascii="Tahoma" w:hAnsi="Tahoma"/>
          <w:sz w:val="22"/>
          <w:szCs w:val="24"/>
          <w:lang w:val="eu-ES"/>
        </w:rPr>
      </w:pPr>
      <w:r w:rsidRPr="00CF258F">
        <w:rPr>
          <w:rFonts w:ascii="Tahoma" w:hAnsi="Tahoma"/>
          <w:sz w:val="22"/>
          <w:szCs w:val="24"/>
          <w:lang w:val="eu-ES"/>
        </w:rPr>
        <w:t xml:space="preserve">- Beste modu batera arautzen dira zebra muskuiluaren berariazko neurriak (20. </w:t>
      </w:r>
      <w:proofErr w:type="spellStart"/>
      <w:r w:rsidRPr="00CF258F">
        <w:rPr>
          <w:rFonts w:ascii="Tahoma" w:hAnsi="Tahoma"/>
          <w:sz w:val="22"/>
          <w:szCs w:val="24"/>
          <w:lang w:val="eu-ES"/>
        </w:rPr>
        <w:t>art</w:t>
      </w:r>
      <w:proofErr w:type="spellEnd"/>
      <w:r w:rsidRPr="00CF258F">
        <w:rPr>
          <w:rFonts w:ascii="Tahoma" w:hAnsi="Tahoma"/>
          <w:sz w:val="22"/>
          <w:szCs w:val="24"/>
          <w:lang w:val="eu-ES"/>
        </w:rPr>
        <w:t>.).</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r w:rsidRPr="00CF258F">
        <w:rPr>
          <w:rFonts w:ascii="Tahoma" w:hAnsi="Tahoma"/>
          <w:sz w:val="22"/>
          <w:szCs w:val="24"/>
          <w:lang w:val="eu-ES"/>
        </w:rPr>
        <w:t>2. Ekimenak hauek barne hartzen ditu: zioen zatia, bi artikulu (batek, arautegia onartzen du, eta horretarako, Foru Aginduaren Eranskin batera jotzen du; besteak, indarrean sartzea ezarri eta 257/2018 Foru Agindua, ekainaren 6koa, otsailaren 1eko 43/2017 Foru Agindua aldatzen du, Arabako Lurralde Historikoan, 2017-2018 denboraldian, arrantza kontinentalaren aprobetxamendua arautzen duen arautegia onartzen duena, 2018-2019 kanpainan aplikatzeko).</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r w:rsidRPr="00CF258F">
        <w:rPr>
          <w:rFonts w:ascii="Tahoma" w:hAnsi="Tahoma"/>
          <w:sz w:val="22"/>
          <w:szCs w:val="24"/>
          <w:lang w:val="eu-ES"/>
        </w:rPr>
        <w:t xml:space="preserve">Horrez gain, xedapenaren testu osoa jasotzen duen eranskin horrek, irizpide horren II- atalean aipatutako arautegia aplikatuz, zer espezie arrantza daitezkeen, harrapaketa kopurua, harrapaketen dimentsioak, arrantza tresnak, elementu osagarriak eta amuak eta beitak ezartzen ditu, bai </w:t>
      </w:r>
      <w:proofErr w:type="spellStart"/>
      <w:r w:rsidRPr="00CF258F">
        <w:rPr>
          <w:rFonts w:ascii="Tahoma" w:hAnsi="Tahoma"/>
          <w:sz w:val="22"/>
          <w:szCs w:val="24"/>
          <w:lang w:val="eu-ES"/>
        </w:rPr>
        <w:t>salmonidoak</w:t>
      </w:r>
      <w:proofErr w:type="spellEnd"/>
      <w:r w:rsidRPr="00CF258F">
        <w:rPr>
          <w:rFonts w:ascii="Tahoma" w:hAnsi="Tahoma"/>
          <w:sz w:val="22"/>
          <w:szCs w:val="24"/>
          <w:lang w:val="eu-ES"/>
        </w:rPr>
        <w:t>, bai ziprinidoak harrapatzeko; baita arrain eta krustazeo exotiko inbaditzaileen espezieak kontrolatzeko eta errotik kentzeko ere, hala badagokio.</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r w:rsidRPr="00CF258F">
        <w:rPr>
          <w:rFonts w:ascii="Tahoma" w:hAnsi="Tahoma"/>
          <w:sz w:val="22"/>
          <w:szCs w:val="24"/>
          <w:lang w:val="eu-ES"/>
        </w:rPr>
        <w:t>Halaber, exotiko inbaditzailetzat jotzen diren arrain eta krustazeo espezieak kontrolatzeko, kudeatzeko eta errotik kentzeko metodotzat hartzen du arrantza, 630/2013 Errege Dekretuan barne hartuz, 42/2017 legea indarrean sartu aurretik Arabako Lurralde Historikoan sartu zirenak. Bestalde, 630/2013 Errege Dekretu horri buruzko berariazko neurriak ezartzen ditu.</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r w:rsidRPr="00CF258F">
        <w:rPr>
          <w:rFonts w:ascii="Tahoma" w:hAnsi="Tahoma"/>
          <w:sz w:val="22"/>
          <w:szCs w:val="24"/>
          <w:lang w:val="eu-ES"/>
        </w:rPr>
        <w:t>Era berean, hauek jasotzen ditu: arrantza egiteko beharrezko agiriak, arrain fauna babesteko neurriak, Kirol Eremua ezartzea, debekatutako tarteen muga, komertzializatzea debekatuta dagoen espezieak, baimenak lortzea, harrapaketen partea betetzea, ontzitik arrantzatzea eta desgaitasuna duten pertsonentzako lehentasunezko arrantza eremuen kokapena.</w:t>
      </w:r>
    </w:p>
    <w:p w:rsidR="00334BFB" w:rsidRPr="00CF258F" w:rsidRDefault="00334BFB" w:rsidP="00334BFB">
      <w:pPr>
        <w:jc w:val="both"/>
        <w:rPr>
          <w:rFonts w:ascii="Tahoma" w:hAnsi="Tahoma"/>
          <w:sz w:val="22"/>
          <w:szCs w:val="24"/>
          <w:lang w:val="eu-ES"/>
        </w:rPr>
      </w:pPr>
    </w:p>
    <w:p w:rsidR="00334BFB" w:rsidRDefault="00334BFB" w:rsidP="00334BFB">
      <w:pPr>
        <w:jc w:val="both"/>
        <w:rPr>
          <w:rFonts w:ascii="Tahoma" w:hAnsi="Tahoma"/>
          <w:sz w:val="22"/>
          <w:szCs w:val="24"/>
          <w:lang w:val="eu-ES"/>
        </w:rPr>
      </w:pPr>
      <w:r w:rsidRPr="00CF258F">
        <w:rPr>
          <w:rFonts w:ascii="Tahoma" w:hAnsi="Tahoma"/>
          <w:sz w:val="22"/>
          <w:szCs w:val="24"/>
          <w:lang w:val="eu-ES"/>
        </w:rPr>
        <w:t xml:space="preserve">Azkenik, I. eranskinean, Arabako Lurralde Historikoan dauden eta espezie exotiko inbaditzaileen Espainiako katalogoa arautzen duen 630/2013 Errege Dekretuak eragiten dituen espezie exotiko inbaditzaileak ezartzen dira. Bestalde, II. eranskinean, arrantza daitezkeen tartean ezartzen dira, arro hidrografikoko. III. eranskinean, amuarraina arrantzatzeko barrutiak adierazten dira, eta azkenik, IV. eranskinean, karramarroak kontrolatzeko eta desagerrarazteko tarteak. </w:t>
      </w:r>
    </w:p>
    <w:p w:rsidR="00334BFB" w:rsidRDefault="00334BFB" w:rsidP="00334BFB">
      <w:pPr>
        <w:jc w:val="both"/>
        <w:rPr>
          <w:rFonts w:ascii="Tahoma" w:hAnsi="Tahoma"/>
          <w:sz w:val="22"/>
          <w:szCs w:val="24"/>
          <w:lang w:val="eu-ES"/>
        </w:rPr>
      </w:pPr>
    </w:p>
    <w:p w:rsidR="00334BFB" w:rsidRDefault="00334BFB" w:rsidP="00334BFB">
      <w:pPr>
        <w:jc w:val="both"/>
        <w:rPr>
          <w:rFonts w:ascii="Tahoma" w:hAnsi="Tahoma"/>
          <w:sz w:val="22"/>
          <w:szCs w:val="24"/>
          <w:lang w:val="eu-ES"/>
        </w:rPr>
      </w:pPr>
    </w:p>
    <w:p w:rsidR="00334BFB" w:rsidRPr="00CF258F" w:rsidRDefault="00334BFB" w:rsidP="00334BFB">
      <w:pPr>
        <w:jc w:val="both"/>
        <w:rPr>
          <w:rFonts w:ascii="Tahoma" w:hAnsi="Tahoma"/>
          <w:szCs w:val="24"/>
          <w:lang w:val="eu-ES"/>
        </w:rPr>
      </w:pP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Cs w:val="24"/>
          <w:lang w:val="eu-ES"/>
        </w:rPr>
      </w:pPr>
      <w:r w:rsidRPr="00CF258F">
        <w:rPr>
          <w:rFonts w:ascii="Tahoma" w:hAnsi="Tahoma"/>
          <w:b/>
          <w:sz w:val="22"/>
          <w:szCs w:val="24"/>
          <w:lang w:val="eu-ES"/>
        </w:rPr>
        <w:lastRenderedPageBreak/>
        <w:t>VI. PROIEKTUAREN EDUKIAREN ANALISIA</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r w:rsidRPr="00CF258F">
        <w:rPr>
          <w:rFonts w:ascii="Tahoma" w:hAnsi="Tahoma"/>
          <w:sz w:val="22"/>
          <w:szCs w:val="24"/>
          <w:lang w:val="eu-ES"/>
        </w:rPr>
        <w:t>42/2007 Legeak, abenduaren 13koak, natura ondareari eta biodibertsitateari buruzkoak, ezarri zuenez “ehizatu eta ur kontinentaletan arrantzatu ahal izango diren espezieak autonomia-erkidegoek zehazten dituztenak bakarrik izango dira, eta deklarazio horrek inola ere ezingo die eragin Babes Bereziko Espezieen Zerrendan sartutako espezieei edo Europar Batasunak debekatutakoei”.</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r w:rsidRPr="00CF258F">
        <w:rPr>
          <w:rFonts w:ascii="Tahoma" w:hAnsi="Tahoma"/>
          <w:sz w:val="22"/>
          <w:szCs w:val="24"/>
          <w:lang w:val="eu-ES"/>
        </w:rPr>
        <w:t>Halaber, hauxe adierazten du: "ehiza eta arrantza kontinentala arautzean, bermatu egingo da jarduera horietarako baimenduta dauden espezieak kontserbatzea eta sustatzea; xede horietarako, autonomia-erkidegoek zehaztu egingo dute zein lursail eta uretan ehizatu eta arrantzatu ahal izango den eta zein egunetan izango den haizu espezie bakoitzarentzat".</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r w:rsidRPr="00CF258F">
        <w:rPr>
          <w:rFonts w:ascii="Tahoma" w:hAnsi="Tahoma"/>
          <w:sz w:val="22"/>
          <w:szCs w:val="24"/>
          <w:lang w:val="eu-ES"/>
        </w:rPr>
        <w:t xml:space="preserve">Apirilaren 15eko 1/2014 Legegintzako Dekretuak, Euskal Autonomia Erkidegoko natura kontserbatzeko legearen testu </w:t>
      </w:r>
      <w:proofErr w:type="spellStart"/>
      <w:r w:rsidRPr="00CF258F">
        <w:rPr>
          <w:rFonts w:ascii="Tahoma" w:hAnsi="Tahoma"/>
          <w:sz w:val="22"/>
          <w:szCs w:val="24"/>
          <w:lang w:val="eu-ES"/>
        </w:rPr>
        <w:t>bategina</w:t>
      </w:r>
      <w:proofErr w:type="spellEnd"/>
      <w:r w:rsidRPr="00CF258F">
        <w:rPr>
          <w:rFonts w:ascii="Tahoma" w:hAnsi="Tahoma"/>
          <w:sz w:val="22"/>
          <w:szCs w:val="24"/>
          <w:lang w:val="eu-ES"/>
        </w:rPr>
        <w:t xml:space="preserve"> onesten duenak, 66. artikuluan xedatzen duenez, “foru-organo eskudunek Euskal Autonomia Erkidegoko Administrazio Orokorrean natura-baliabideen antolamenduan eta naturaren kontserbazioan eskumena duen sailarekin elkar hartuta, bakoitzak bere lurralde-eremurako, arrantza-aprobetxamenduen araudia onartuko dute urtero. Jarduera horiek egin daitezkeen urak ezarriko dituzte, bai eta espezie bakoitzarentzako arrantza-garaia eta ur kontinentaletan arrantzatzeko modu eta metodoak ere”.</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r w:rsidRPr="00CF258F">
        <w:rPr>
          <w:rFonts w:ascii="Tahoma" w:hAnsi="Tahoma"/>
          <w:sz w:val="22"/>
          <w:szCs w:val="24"/>
          <w:lang w:val="eu-ES"/>
        </w:rPr>
        <w:t xml:space="preserve">Bidenabar, 630/2013 Errege Dekretuko </w:t>
      </w:r>
      <w:proofErr w:type="spellStart"/>
      <w:r w:rsidRPr="00CF258F">
        <w:rPr>
          <w:rFonts w:ascii="Tahoma" w:hAnsi="Tahoma"/>
          <w:sz w:val="22"/>
          <w:szCs w:val="24"/>
          <w:lang w:val="eu-ES"/>
        </w:rPr>
        <w:t>10.5</w:t>
      </w:r>
      <w:proofErr w:type="spellEnd"/>
      <w:r w:rsidRPr="00CF258F">
        <w:rPr>
          <w:rFonts w:ascii="Tahoma" w:hAnsi="Tahoma"/>
          <w:sz w:val="22"/>
          <w:szCs w:val="24"/>
          <w:lang w:val="eu-ES"/>
        </w:rPr>
        <w:t xml:space="preserve"> artikuluarekin bat etorriz, abuztuaren 2koa, espezie exotiko inbaditzaileen Espainiako katalogoa arautzekoa, proiektuan espezie exotiko inbaditzaile gisa sailkatutako arrain eta krustazeo espezieak kontrolatu, kudeatu eta desagerrarazteko metodo gisa ageri da arrantza, 630/2013 Errege Dekretuan jasotakoak eta 42/2007 Legea indarrean sartu aurretik iritsi zirenak Arabako Lurralde Historikora.</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Cs w:val="24"/>
          <w:lang w:val="eu-ES"/>
        </w:rPr>
      </w:pPr>
      <w:r w:rsidRPr="00CF258F">
        <w:rPr>
          <w:rFonts w:ascii="Tahoma" w:hAnsi="Tahoma"/>
          <w:sz w:val="22"/>
          <w:szCs w:val="24"/>
          <w:lang w:val="eu-ES"/>
        </w:rPr>
        <w:t xml:space="preserve">Aztertutako proiektua bat dator arrain aprobetxamenduak arautzeko lurralde historikoek urtero onartu behar duten araudiarekin, finkatu baitu jarduerak egin daitezkeen ur zatiak, espezie bakoitzerako data baliagarriak, ibaietan arrantza egiteko harrapaketa metodoak eta modalitateak. </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r w:rsidRPr="00CF258F">
        <w:rPr>
          <w:rFonts w:ascii="Tahoma" w:hAnsi="Tahoma"/>
          <w:sz w:val="22"/>
          <w:szCs w:val="24"/>
          <w:lang w:val="eu-ES"/>
        </w:rPr>
        <w:t>Aztertutako proposamenak ez dauka ibaietako arrantza araudiak babestutako ondasun juridikoarenak ez diren edo horretatik deskonektatuta dagoen bete beharreko arau edo betebeharrik.</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Cs w:val="24"/>
          <w:lang w:val="eu-ES"/>
        </w:rPr>
      </w:pPr>
      <w:r w:rsidRPr="00CF258F">
        <w:rPr>
          <w:rFonts w:ascii="Tahoma" w:hAnsi="Tahoma"/>
          <w:b/>
          <w:sz w:val="22"/>
          <w:szCs w:val="24"/>
          <w:lang w:val="eu-ES"/>
        </w:rPr>
        <w:t>VII. ONDORIOAK</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Cs w:val="24"/>
          <w:lang w:val="eu-ES"/>
        </w:rPr>
      </w:pPr>
      <w:r w:rsidRPr="00CF258F">
        <w:rPr>
          <w:rFonts w:ascii="Tahoma" w:hAnsi="Tahoma"/>
          <w:sz w:val="22"/>
          <w:szCs w:val="24"/>
          <w:lang w:val="eu-ES"/>
        </w:rPr>
        <w:t>Lehenengoa: Arabako Lurralde Historikoan, 2019/2020 kanpainan, arrantza kontinentalaren aprobetxamendua arautzen duen arautegia onartzeko Foru Aginduaren proiektuak Arabako Foru Administrazioko Aholku Batzordearen irizpena behar du.</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Cs w:val="24"/>
          <w:lang w:val="eu-ES"/>
        </w:rPr>
      </w:pPr>
      <w:r w:rsidRPr="00CF258F">
        <w:rPr>
          <w:rFonts w:ascii="Tahoma" w:hAnsi="Tahoma"/>
          <w:sz w:val="22"/>
          <w:szCs w:val="24"/>
          <w:lang w:val="eu-ES"/>
        </w:rPr>
        <w:t>Bigarrena: Foru aginduaren proiektuak ordenamendu juridikoa errespetatzen du.</w:t>
      </w: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bookmarkStart w:id="0" w:name="_GoBack"/>
      <w:bookmarkEnd w:id="0"/>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p>
    <w:p w:rsidR="00334BFB" w:rsidRPr="00CF258F" w:rsidRDefault="00334BFB" w:rsidP="00334BFB">
      <w:pPr>
        <w:jc w:val="both"/>
        <w:rPr>
          <w:rFonts w:ascii="Tahoma" w:hAnsi="Tahoma"/>
          <w:sz w:val="22"/>
          <w:szCs w:val="24"/>
          <w:lang w:val="eu-ES"/>
        </w:rPr>
      </w:pPr>
    </w:p>
    <w:p w:rsidR="000109B2" w:rsidRPr="00334BFB" w:rsidRDefault="00334BFB">
      <w:pPr>
        <w:rPr>
          <w:lang w:val="eu-ES"/>
        </w:rPr>
      </w:pPr>
    </w:p>
    <w:sectPr w:rsidR="000109B2" w:rsidRPr="00334B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BFB"/>
    <w:rsid w:val="00334BFB"/>
    <w:rsid w:val="009A68E6"/>
    <w:rsid w:val="009C21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BFB"/>
    <w:pPr>
      <w:spacing w:after="0" w:line="240" w:lineRule="auto"/>
    </w:pPr>
    <w:rPr>
      <w:rFonts w:ascii="Times New Roman" w:eastAsia="Times New Roman" w:hAnsi="Times New Roman" w:cs="Times New Roman"/>
      <w:snapToGrid w:val="0"/>
      <w:sz w:val="20"/>
      <w:szCs w:val="20"/>
      <w:lang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rsid w:val="00334BFB"/>
    <w:pPr>
      <w:jc w:val="both"/>
    </w:pPr>
    <w:rPr>
      <w:rFonts w:ascii="Arial" w:hAnsi="Arial"/>
      <w:sz w:val="22"/>
      <w:lang w:val="es-ES_tradnl"/>
    </w:rPr>
  </w:style>
  <w:style w:type="character" w:customStyle="1" w:styleId="Textoindependiente2Car">
    <w:name w:val="Texto independiente 2 Car"/>
    <w:basedOn w:val="Fuentedeprrafopredeter"/>
    <w:link w:val="Textoindependiente2"/>
    <w:uiPriority w:val="99"/>
    <w:rsid w:val="00334BFB"/>
    <w:rPr>
      <w:rFonts w:ascii="Arial" w:eastAsia="Times New Roman" w:hAnsi="Arial" w:cs="Times New Roman"/>
      <w:snapToGrid w:val="0"/>
      <w:szCs w:val="20"/>
      <w:lang w:val="es-ES_tradnl" w:eastAsia="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BFB"/>
    <w:pPr>
      <w:spacing w:after="0" w:line="240" w:lineRule="auto"/>
    </w:pPr>
    <w:rPr>
      <w:rFonts w:ascii="Times New Roman" w:eastAsia="Times New Roman" w:hAnsi="Times New Roman" w:cs="Times New Roman"/>
      <w:snapToGrid w:val="0"/>
      <w:sz w:val="20"/>
      <w:szCs w:val="20"/>
      <w:lang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rsid w:val="00334BFB"/>
    <w:pPr>
      <w:jc w:val="both"/>
    </w:pPr>
    <w:rPr>
      <w:rFonts w:ascii="Arial" w:hAnsi="Arial"/>
      <w:sz w:val="22"/>
      <w:lang w:val="es-ES_tradnl"/>
    </w:rPr>
  </w:style>
  <w:style w:type="character" w:customStyle="1" w:styleId="Textoindependiente2Car">
    <w:name w:val="Texto independiente 2 Car"/>
    <w:basedOn w:val="Fuentedeprrafopredeter"/>
    <w:link w:val="Textoindependiente2"/>
    <w:uiPriority w:val="99"/>
    <w:rsid w:val="00334BFB"/>
    <w:rPr>
      <w:rFonts w:ascii="Arial" w:eastAsia="Times New Roman" w:hAnsi="Arial" w:cs="Times New Roman"/>
      <w:snapToGrid w:val="0"/>
      <w:szCs w:val="20"/>
      <w:lang w:val="es-ES_tradnl"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2280</Words>
  <Characters>12544</Characters>
  <Application>Microsoft Office Word</Application>
  <DocSecurity>0</DocSecurity>
  <Lines>104</Lines>
  <Paragraphs>29</Paragraphs>
  <ScaleCrop>false</ScaleCrop>
  <Company>DFA-AFA</Company>
  <LinksUpToDate>false</LinksUpToDate>
  <CharactersWithSpaces>14795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DFA</cp:lastModifiedBy>
  <cp:revision>1</cp:revision>
  <dcterms:created xsi:type="dcterms:W3CDTF">2019-06-26T11:13:00Z</dcterms:created>
  <dcterms:modified xsi:type="dcterms:W3CDTF">2019-06-26T11:23:00Z</dcterms:modified>
</cp:coreProperties>
</file>