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BFB" w:rsidRPr="00CF258F" w:rsidRDefault="00334BFB" w:rsidP="00334BFB">
      <w:pPr>
        <w:jc w:val="both"/>
        <w:rPr>
          <w:rFonts w:ascii="Tahoma" w:hAnsi="Tahoma"/>
          <w:b/>
          <w:sz w:val="22"/>
          <w:szCs w:val="24"/>
        </w:rPr>
      </w:pPr>
      <w:proofErr w:type="spellStart"/>
      <w:r w:rsidRPr="00CF258F">
        <w:rPr>
          <w:rFonts w:ascii="Tahoma" w:hAnsi="Tahoma"/>
          <w:b/>
          <w:sz w:val="22"/>
          <w:szCs w:val="24"/>
          <w:lang w:val="eu-ES"/>
        </w:rPr>
        <w:t>2019KO</w:t>
      </w:r>
      <w:proofErr w:type="spellEnd"/>
      <w:r w:rsidRPr="00CF258F">
        <w:rPr>
          <w:rFonts w:ascii="Tahoma" w:hAnsi="Tahoma"/>
          <w:b/>
          <w:sz w:val="22"/>
          <w:szCs w:val="24"/>
          <w:lang w:val="eu-ES"/>
        </w:rPr>
        <w:t xml:space="preserve"> OTSAILAREN </w:t>
      </w:r>
      <w:proofErr w:type="spellStart"/>
      <w:r w:rsidRPr="00CF258F">
        <w:rPr>
          <w:rFonts w:ascii="Tahoma" w:hAnsi="Tahoma"/>
          <w:b/>
          <w:sz w:val="22"/>
          <w:szCs w:val="24"/>
          <w:lang w:val="eu-ES"/>
        </w:rPr>
        <w:t>27KO</w:t>
      </w:r>
      <w:proofErr w:type="spellEnd"/>
      <w:r w:rsidRPr="00CF258F">
        <w:rPr>
          <w:rFonts w:ascii="Tahoma" w:hAnsi="Tahoma"/>
          <w:b/>
          <w:sz w:val="22"/>
          <w:szCs w:val="24"/>
          <w:lang w:val="eu-ES"/>
        </w:rPr>
        <w:t xml:space="preserve"> IRIZPENA, 2019/2020 KANPAINAN, ARABAKO LURRALDE HISTORIKOAN ARRANTZA KONTINENTALAREN APROBETXAMENDUA ARAUTZEN DUEN ARAUTEGIA ONARTZEKO FORU AGINDUAREN PROIEKTUARI BURUZKOA </w:t>
      </w:r>
    </w:p>
    <w:p w:rsidR="00334BFB" w:rsidRPr="00CF258F" w:rsidRDefault="00334BFB" w:rsidP="00334BFB">
      <w:pPr>
        <w:jc w:val="both"/>
        <w:rPr>
          <w:rFonts w:ascii="Tahoma" w:hAnsi="Tahoma"/>
          <w:b/>
          <w:sz w:val="22"/>
          <w:szCs w:val="24"/>
        </w:rPr>
      </w:pPr>
    </w:p>
    <w:p w:rsidR="00334BFB" w:rsidRPr="00CF258F" w:rsidRDefault="00334BFB" w:rsidP="00334BFB">
      <w:pPr>
        <w:pStyle w:val="Textoindependiente2"/>
        <w:rPr>
          <w:rFonts w:ascii="Tahoma" w:hAnsi="Tahoma"/>
          <w:szCs w:val="24"/>
          <w:lang w:val="es-ES"/>
        </w:rPr>
      </w:pPr>
    </w:p>
    <w:p w:rsidR="00334BFB" w:rsidRPr="00CF258F" w:rsidRDefault="00334BFB" w:rsidP="00334BFB">
      <w:pPr>
        <w:jc w:val="both"/>
        <w:rPr>
          <w:rFonts w:ascii="Tahoma" w:hAnsi="Tahoma"/>
          <w:b/>
          <w:sz w:val="22"/>
          <w:szCs w:val="24"/>
        </w:rPr>
      </w:pPr>
      <w:r w:rsidRPr="00CF258F">
        <w:rPr>
          <w:rFonts w:ascii="Tahoma" w:hAnsi="Tahoma"/>
          <w:b/>
          <w:sz w:val="22"/>
          <w:szCs w:val="24"/>
          <w:lang w:val="eu-ES"/>
        </w:rPr>
        <w:t>I. AURREKARIAK</w:t>
      </w:r>
    </w:p>
    <w:p w:rsidR="00334BFB" w:rsidRPr="00CF258F" w:rsidRDefault="00334BFB" w:rsidP="00334BFB">
      <w:pPr>
        <w:jc w:val="both"/>
        <w:rPr>
          <w:rFonts w:ascii="Tahoma" w:hAnsi="Tahoma"/>
          <w:b/>
          <w:sz w:val="22"/>
          <w:szCs w:val="24"/>
        </w:rPr>
      </w:pPr>
    </w:p>
    <w:p w:rsidR="00334BFB" w:rsidRPr="00CF258F" w:rsidRDefault="00334BFB" w:rsidP="00334BFB">
      <w:pPr>
        <w:jc w:val="both"/>
        <w:rPr>
          <w:rFonts w:ascii="Tahoma" w:hAnsi="Tahoma"/>
          <w:sz w:val="22"/>
          <w:szCs w:val="24"/>
          <w:lang w:val="eu-ES"/>
        </w:rPr>
      </w:pPr>
      <w:r w:rsidRPr="00CF258F">
        <w:rPr>
          <w:rFonts w:ascii="Tahoma" w:hAnsi="Tahoma"/>
          <w:sz w:val="22"/>
          <w:szCs w:val="24"/>
        </w:rPr>
        <w:t xml:space="preserve">1. </w:t>
      </w:r>
      <w:r w:rsidRPr="00CF258F">
        <w:rPr>
          <w:rFonts w:ascii="Tahoma" w:hAnsi="Tahoma"/>
          <w:sz w:val="22"/>
          <w:szCs w:val="24"/>
          <w:lang w:val="eu-ES"/>
        </w:rPr>
        <w:t xml:space="preserve">Otsailaren 6an Nekazaritzako zuzendariak egindako irizpen eskaera sartu zen Aholku Batzordearen erregistroan. Horren bidez, 2019/2020 kanpainan, Arabako Lurralde Historikoan arrantza kontinentalaren aprobetxamendua arautzen duen arautegia onartzeko Foru Agindu proiektuari buruzko irizpena eskatu zuen, xedapen orokorrak arautzen dituen arautegian ezarritako txosten eta agiriekin batera.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b/>
          <w:sz w:val="22"/>
          <w:szCs w:val="24"/>
          <w:lang w:val="eu-ES"/>
        </w:rPr>
        <w:t>II. BATZORDEAREN ESKUMENA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Espainiako Konstituzioak 148. artikuluan aurreikusi zuenez, “Erkidego Autonomoek har ditzaketen konpetentziak alor honetakoak dira: (…) 11. Itsas bazterreko arrantza, </w:t>
      </w:r>
      <w:proofErr w:type="spellStart"/>
      <w:r w:rsidRPr="00CF258F">
        <w:rPr>
          <w:rFonts w:ascii="Tahoma" w:hAnsi="Tahoma"/>
          <w:sz w:val="22"/>
          <w:szCs w:val="24"/>
          <w:lang w:val="eu-ES"/>
        </w:rPr>
        <w:t>itsaskikintza</w:t>
      </w:r>
      <w:proofErr w:type="spellEnd"/>
      <w:r w:rsidRPr="00CF258F">
        <w:rPr>
          <w:rFonts w:ascii="Tahoma" w:hAnsi="Tahoma"/>
          <w:sz w:val="22"/>
          <w:szCs w:val="24"/>
          <w:lang w:val="eu-ES"/>
        </w:rPr>
        <w:t xml:space="preserve">, </w:t>
      </w:r>
      <w:proofErr w:type="spellStart"/>
      <w:r w:rsidRPr="00CF258F">
        <w:rPr>
          <w:rFonts w:ascii="Tahoma" w:hAnsi="Tahoma"/>
          <w:sz w:val="22"/>
          <w:szCs w:val="24"/>
          <w:lang w:val="eu-ES"/>
        </w:rPr>
        <w:t>arrainzaintza</w:t>
      </w:r>
      <w:proofErr w:type="spellEnd"/>
      <w:r w:rsidRPr="00CF258F">
        <w:rPr>
          <w:rFonts w:ascii="Tahoma" w:hAnsi="Tahoma"/>
          <w:sz w:val="22"/>
          <w:szCs w:val="24"/>
          <w:lang w:val="eu-ES"/>
        </w:rPr>
        <w:t>, ehiza eta ibai-arrantza”.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 xml:space="preserve">3/1979 Lege Organikoak, abenduaren 18koak, Euskal Herriaren Autonomia Estatutuarenak, </w:t>
      </w:r>
      <w:proofErr w:type="spellStart"/>
      <w:r w:rsidRPr="00CF258F">
        <w:rPr>
          <w:rFonts w:ascii="Tahoma" w:hAnsi="Tahoma"/>
          <w:sz w:val="22"/>
          <w:szCs w:val="24"/>
          <w:lang w:val="eu-ES"/>
        </w:rPr>
        <w:t>10.10</w:t>
      </w:r>
      <w:proofErr w:type="spellEnd"/>
      <w:r w:rsidRPr="00CF258F">
        <w:rPr>
          <w:rFonts w:ascii="Tahoma" w:hAnsi="Tahoma"/>
          <w:sz w:val="22"/>
          <w:szCs w:val="24"/>
          <w:lang w:val="eu-ES"/>
        </w:rPr>
        <w:t xml:space="preserve"> artikuluan azaldu zuenez, “Euskal Herriko Autonomia Erkidegoak bakarreko eskumena du honako gai hauetan: … 10. Barne-uretako arrantza, itsaski-bilketa eta arrain-hazkuntza, ehiza eta ibai eta aintziretako arrantza”.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Azaroaren 25eko 27/1983 Legeak, Euskal Autonomia Erkidego osorako erakundeen eta Lurralde Historikoetako foru erakundeen arteko harremanei buruzkoak, </w:t>
      </w:r>
      <w:proofErr w:type="spellStart"/>
      <w:r w:rsidRPr="00CF258F">
        <w:rPr>
          <w:rFonts w:ascii="Tahoma" w:hAnsi="Tahoma"/>
          <w:sz w:val="22"/>
          <w:szCs w:val="24"/>
          <w:lang w:val="eu-ES"/>
        </w:rPr>
        <w:t>7.b</w:t>
      </w:r>
      <w:proofErr w:type="spellEnd"/>
      <w:r w:rsidRPr="00CF258F">
        <w:rPr>
          <w:rFonts w:ascii="Tahoma" w:hAnsi="Tahoma"/>
          <w:sz w:val="22"/>
          <w:szCs w:val="24"/>
          <w:lang w:val="eu-ES"/>
        </w:rPr>
        <w:t>. artikuluan hauxe ezartzen du: "Lurralde Historikoei dagokie Erakunde erkideen arauak garatzea eta gauzatzea, arlo hauetan:...3. Ibaietako arrain aberastasunaren aprobetxamendu araubidea".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 xml:space="preserve">Abenduaren 13ko 42/2007 Legeak, natura ondare eta biodibertsitatearenak, zeina oinarrizkoa baita haren 1. artikuluaren eta bigarren azken xedapenaren arabera, hau ezartzen du 65. artikuluan: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1. Ehizatu  eta  ur  kontinentaletan  arrantzatu  ahal  izango  diren  espezieak  autonomia-erkidegoek zehazten dituztenak bakarrik izango dira, eta deklarazio horrek inola ere ezingo die eragin Babes Bereziko Espezieen Zerrendan sartutako espezieei edo Europar Batasunak debekatutakoei.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2. Nolanahi ere, ehiza eta arrantza kontinentala arautzean, bermatu egingo da jarduera horietarako baimenduta dauden espezieak kontserbatzea eta sustatzea; xede horietarako, autonomia-erkidegoek zehaztu egingo dute zein lursail eta uretan ehizatu eta arrantzatu ahal izango den eta zein egunetan izango den haizu espezie bakoitzarentzat.</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Lurralde historikoei dagokienez, apirilaren 15eko 1/2014 Legegintzako Dekretuak, Euskal Autonomia Erkidegoko natura kontserbatzeko legearen testu </w:t>
      </w:r>
      <w:proofErr w:type="spellStart"/>
      <w:r w:rsidRPr="00CF258F">
        <w:rPr>
          <w:rFonts w:ascii="Tahoma" w:hAnsi="Tahoma"/>
          <w:sz w:val="22"/>
          <w:szCs w:val="24"/>
          <w:lang w:val="eu-ES"/>
        </w:rPr>
        <w:t>bategina</w:t>
      </w:r>
      <w:proofErr w:type="spellEnd"/>
      <w:r w:rsidRPr="00CF258F">
        <w:rPr>
          <w:rFonts w:ascii="Tahoma" w:hAnsi="Tahoma"/>
          <w:sz w:val="22"/>
          <w:szCs w:val="24"/>
          <w:lang w:val="eu-ES"/>
        </w:rPr>
        <w:t xml:space="preserve"> onesten duenak, bere 66. artikuluan xedatzen duenez, “foru-organo eskudunek Euskal Autonomia Erkidegoko Administrazio Orokorrean natura-baliabideen antolamenduan eta naturaren kontserbazioan eskumena duen sailarekin elkar hartuta, bakoitzak bere lurralde-eremurako, arrantza-aprobetxamenduen araudia onartuko dute urtero. </w:t>
      </w:r>
      <w:r w:rsidRPr="00CF258F">
        <w:rPr>
          <w:rFonts w:ascii="Tahoma" w:hAnsi="Tahoma"/>
          <w:sz w:val="22"/>
          <w:szCs w:val="24"/>
          <w:lang w:val="eu-ES"/>
        </w:rPr>
        <w:lastRenderedPageBreak/>
        <w:t>Jarduera horiek egin daitezkeen urak ezarriko dituzte, bai eta espezie bakoitzarentzako arrantza-garaia eta ur kontinentaletan arrantzatzeko modu eta metodoak ere”.</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Azkenik, 630/2013 Errege Dekretuko </w:t>
      </w:r>
      <w:proofErr w:type="spellStart"/>
      <w:r w:rsidRPr="00CF258F">
        <w:rPr>
          <w:rFonts w:ascii="Tahoma" w:hAnsi="Tahoma"/>
          <w:sz w:val="22"/>
          <w:szCs w:val="24"/>
          <w:lang w:val="eu-ES"/>
        </w:rPr>
        <w:t>10.5</w:t>
      </w:r>
      <w:proofErr w:type="spellEnd"/>
      <w:r w:rsidRPr="00CF258F">
        <w:rPr>
          <w:rFonts w:ascii="Tahoma" w:hAnsi="Tahoma"/>
          <w:sz w:val="22"/>
          <w:szCs w:val="24"/>
          <w:lang w:val="eu-ES"/>
        </w:rPr>
        <w:t xml:space="preserve"> artikuluak, abuztuaren 2koak, espezie exotiko inbaditzaileen Espainiako katalogoa arautzen duenak (ingurumena zaintzeari buruzko oinarrizko legedi izaera, Konstituzioko </w:t>
      </w:r>
      <w:proofErr w:type="spellStart"/>
      <w:r w:rsidRPr="00CF258F">
        <w:rPr>
          <w:rFonts w:ascii="Tahoma" w:hAnsi="Tahoma"/>
          <w:sz w:val="22"/>
          <w:szCs w:val="24"/>
          <w:lang w:val="eu-ES"/>
        </w:rPr>
        <w:t>149.1.23</w:t>
      </w:r>
      <w:proofErr w:type="spellEnd"/>
      <w:r w:rsidRPr="00CF258F">
        <w:rPr>
          <w:rFonts w:ascii="Tahoma" w:hAnsi="Tahoma"/>
          <w:sz w:val="22"/>
          <w:szCs w:val="24"/>
          <w:lang w:val="eu-ES"/>
        </w:rPr>
        <w:t>. artikuluan ezarritakoarekin bat etorriz, Errege Dekretuaren beraren azken xedapenetako lehenengoan ageri da), azaldu zuenez, “Arrantza eta ehiza katalogoan jasotako espezieak kontrolatu, kudeatu eta desagerrarazteko metodo gisa aurreikusi ahalko dira, abenduaren 13ko 42/2007 Legea indarrean sartu aurretik sartutakoak, helburua ehiza eta arrantza arautzeko tresnetan ageri denean eta data horren aurretik espezie horiek okupatutako banaketa areatara mugatzen denean.”</w:t>
      </w:r>
    </w:p>
    <w:p w:rsidR="00334BFB" w:rsidRPr="00CF258F" w:rsidRDefault="00334BFB" w:rsidP="00334BFB">
      <w:pPr>
        <w:jc w:val="both"/>
        <w:rPr>
          <w:rFonts w:ascii="Tahoma" w:hAnsi="Tahoma"/>
          <w:sz w:val="22"/>
          <w:szCs w:val="24"/>
          <w:lang w:val="eu-ES"/>
        </w:rPr>
      </w:pPr>
    </w:p>
    <w:p w:rsidR="00334BFB" w:rsidRPr="00116345" w:rsidRDefault="00334BFB" w:rsidP="00334BFB">
      <w:pPr>
        <w:jc w:val="both"/>
        <w:rPr>
          <w:rFonts w:ascii="Tahoma" w:hAnsi="Tahoma"/>
          <w:sz w:val="22"/>
          <w:szCs w:val="24"/>
          <w:lang w:val="eu-ES"/>
        </w:rPr>
      </w:pPr>
      <w:r w:rsidRPr="00CF258F">
        <w:rPr>
          <w:rFonts w:ascii="Tahoma" w:hAnsi="Tahoma"/>
          <w:sz w:val="22"/>
          <w:szCs w:val="24"/>
          <w:lang w:val="eu-ES"/>
        </w:rPr>
        <w:t>Azaldutako guztia ikusita ondorioztatu da Lurralde Historikoak baduela ibaietako arrain aberastasunaren aprobetxamendu araubidearen arloan araudiak garatzeko eskumena.</w:t>
      </w:r>
    </w:p>
    <w:p w:rsidR="00334BFB" w:rsidRPr="00116345" w:rsidRDefault="00334BFB" w:rsidP="00334BFB">
      <w:pPr>
        <w:jc w:val="both"/>
        <w:rPr>
          <w:rFonts w:ascii="Tahoma" w:hAnsi="Tahoma"/>
          <w:sz w:val="22"/>
          <w:szCs w:val="24"/>
          <w:lang w:val="eu-ES"/>
        </w:rPr>
      </w:pPr>
    </w:p>
    <w:p w:rsidR="00334BFB" w:rsidRPr="00116345" w:rsidRDefault="00334BFB" w:rsidP="00334BFB">
      <w:pPr>
        <w:jc w:val="both"/>
        <w:rPr>
          <w:rFonts w:ascii="Tahoma" w:hAnsi="Tahoma"/>
          <w:sz w:val="22"/>
          <w:szCs w:val="24"/>
          <w:lang w:val="eu-ES"/>
        </w:rPr>
      </w:pPr>
      <w:r w:rsidRPr="00CF258F">
        <w:rPr>
          <w:rFonts w:ascii="Tahoma" w:hAnsi="Tahoma"/>
          <w:sz w:val="22"/>
          <w:szCs w:val="24"/>
          <w:lang w:val="eu-ES"/>
        </w:rPr>
        <w:t xml:space="preserve">Beste alde batetik, Arabako Foru Administrazioaren Aholku Batzordea sortu zuen Diputatuen Kontseiluaren martxoaren 30eko 40/1999 Foru Dekretuak </w:t>
      </w:r>
      <w:proofErr w:type="spellStart"/>
      <w:r w:rsidRPr="00CF258F">
        <w:rPr>
          <w:rFonts w:ascii="Tahoma" w:hAnsi="Tahoma"/>
          <w:sz w:val="22"/>
          <w:szCs w:val="24"/>
          <w:lang w:val="eu-ES"/>
        </w:rPr>
        <w:t>3.1.b</w:t>
      </w:r>
      <w:proofErr w:type="spellEnd"/>
      <w:r w:rsidRPr="00CF258F">
        <w:rPr>
          <w:rFonts w:ascii="Tahoma" w:hAnsi="Tahoma"/>
          <w:sz w:val="22"/>
          <w:szCs w:val="24"/>
          <w:lang w:val="eu-ES"/>
        </w:rPr>
        <w:t xml:space="preserve"> artikuluan ezarri zuen Aholku Batzordeak nahitaezko irizpena eman beharko zuela Lurralde Historikoaren eskumen esklusiboak diren gaiak arautzeko foru arauak gauzatzean emandako araudi xedapenen proiektuetan, edo autonomia erkidegoko legeak garatzean, horien araudi garapena Lurralde Historikoaren eskumena denean.</w:t>
      </w:r>
    </w:p>
    <w:p w:rsidR="00334BFB" w:rsidRPr="00116345" w:rsidRDefault="00334BFB" w:rsidP="00334BFB">
      <w:pPr>
        <w:jc w:val="both"/>
        <w:rPr>
          <w:rFonts w:ascii="Tahoma" w:hAnsi="Tahoma"/>
          <w:sz w:val="22"/>
          <w:szCs w:val="24"/>
          <w:lang w:val="eu-ES"/>
        </w:rPr>
      </w:pPr>
    </w:p>
    <w:p w:rsidR="00334BFB" w:rsidRPr="00116345" w:rsidRDefault="00334BFB" w:rsidP="00334BFB">
      <w:pPr>
        <w:jc w:val="both"/>
        <w:rPr>
          <w:rFonts w:ascii="Tahoma" w:hAnsi="Tahoma"/>
          <w:sz w:val="22"/>
          <w:szCs w:val="24"/>
          <w:lang w:val="eu-ES"/>
        </w:rPr>
      </w:pPr>
      <w:r w:rsidRPr="00CF258F">
        <w:rPr>
          <w:rFonts w:ascii="Tahoma" w:hAnsi="Tahoma"/>
          <w:sz w:val="22"/>
          <w:szCs w:val="24"/>
          <w:lang w:val="eu-ES"/>
        </w:rPr>
        <w:t>Horrenbestez, ondorioztatu behar da arlo honetan autonomia erkidegoko legeak araudiari dagokionez garatzeko eskumena Lurralde Historikoarena denez, Arabako Foru Aldundiak daukala araudi ahalmena eta, hortaz, Aholku Batzordeak irizpena ematea nahitaezkoa dela.</w:t>
      </w:r>
    </w:p>
    <w:p w:rsidR="00334BFB" w:rsidRPr="00116345"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rPr>
      </w:pPr>
      <w:r w:rsidRPr="00CF258F">
        <w:rPr>
          <w:rFonts w:ascii="Tahoma" w:hAnsi="Tahoma"/>
          <w:b/>
          <w:sz w:val="22"/>
          <w:szCs w:val="24"/>
          <w:lang w:val="eu-ES"/>
        </w:rPr>
        <w:t>III.</w:t>
      </w:r>
      <w:r w:rsidRPr="00CF258F">
        <w:rPr>
          <w:rFonts w:ascii="Tahoma" w:hAnsi="Tahoma"/>
          <w:b/>
          <w:sz w:val="22"/>
          <w:szCs w:val="24"/>
        </w:rPr>
        <w:t xml:space="preserve"> </w:t>
      </w:r>
      <w:r w:rsidRPr="00CF258F">
        <w:rPr>
          <w:rFonts w:ascii="Tahoma" w:hAnsi="Tahoma"/>
          <w:b/>
          <w:sz w:val="22"/>
          <w:szCs w:val="24"/>
          <w:lang w:val="eu-ES"/>
        </w:rPr>
        <w:t>ARAUDI GAIKUNTZA ETA ERAKUNDE ESKUMENA</w:t>
      </w:r>
      <w:r w:rsidRPr="00CF258F">
        <w:rPr>
          <w:rFonts w:ascii="Tahoma" w:hAnsi="Tahoma"/>
          <w:b/>
          <w:sz w:val="22"/>
          <w:szCs w:val="24"/>
        </w:rPr>
        <w:t xml:space="preserve"> </w:t>
      </w:r>
    </w:p>
    <w:p w:rsidR="00334BFB" w:rsidRPr="00CF258F" w:rsidRDefault="00334BFB" w:rsidP="00334BFB">
      <w:pPr>
        <w:jc w:val="both"/>
        <w:rPr>
          <w:rFonts w:ascii="Tahoma" w:hAnsi="Tahoma"/>
          <w:b/>
          <w:sz w:val="22"/>
          <w:szCs w:val="24"/>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 xml:space="preserve">Apirilaren 15eko 1/2014 Legegintzako Dekretuak, Euskal Autonomia Erkidegoko natura kontserbatzeko legearen testu </w:t>
      </w:r>
      <w:proofErr w:type="spellStart"/>
      <w:r w:rsidRPr="00CF258F">
        <w:rPr>
          <w:rFonts w:ascii="Tahoma" w:hAnsi="Tahoma"/>
          <w:sz w:val="22"/>
          <w:szCs w:val="24"/>
          <w:lang w:val="eu-ES"/>
        </w:rPr>
        <w:t>bategina</w:t>
      </w:r>
      <w:proofErr w:type="spellEnd"/>
      <w:r w:rsidRPr="00CF258F">
        <w:rPr>
          <w:rFonts w:ascii="Tahoma" w:hAnsi="Tahoma"/>
          <w:sz w:val="22"/>
          <w:szCs w:val="24"/>
          <w:lang w:val="eu-ES"/>
        </w:rPr>
        <w:t xml:space="preserve"> onesten duenak, 66. artikuluan xedatzen duenez, “foru-organo eskudunek Euskal Autonomia Erkidegoko Administrazio Orokorrean natura-baliabideen antolamenduan eta naturaren kontserbazioan eskumena duen sailarekin elkar hartuta, bakoitzak bere lurralde-eremurako, arrantza-aprobetxamenduen araudia onartuko dute urtero. Jarduera horiek egin daitezkeen urak ezarriko dituzte, bai eta espezie bakoitzarentzako arrantza-garaia eta ur kontinentaletan arrantzatzeko modu eta metodoak ere”.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proofErr w:type="spellStart"/>
      <w:r w:rsidRPr="00CF258F">
        <w:rPr>
          <w:rFonts w:ascii="Tahoma" w:hAnsi="Tahoma"/>
          <w:sz w:val="22"/>
          <w:szCs w:val="24"/>
          <w:lang w:val="eu-ES"/>
        </w:rPr>
        <w:t>7.b.3</w:t>
      </w:r>
      <w:proofErr w:type="spellEnd"/>
      <w:r w:rsidRPr="00CF258F">
        <w:rPr>
          <w:rFonts w:ascii="Tahoma" w:hAnsi="Tahoma"/>
          <w:sz w:val="22"/>
          <w:szCs w:val="24"/>
          <w:lang w:val="eu-ES"/>
        </w:rPr>
        <w:t xml:space="preserve">. artikuluak dio ibaietako arrain aberastasunaren aprobetxamendu araubidearen arloan Lurralde Historikoei dagokiela Erakunde erkideek ezarritako arauak garatzea eta gauzatzea, eta </w:t>
      </w:r>
      <w:proofErr w:type="spellStart"/>
      <w:r w:rsidRPr="00CF258F">
        <w:rPr>
          <w:rFonts w:ascii="Tahoma" w:hAnsi="Tahoma"/>
          <w:sz w:val="22"/>
          <w:szCs w:val="24"/>
          <w:lang w:val="eu-ES"/>
        </w:rPr>
        <w:t>8.2</w:t>
      </w:r>
      <w:proofErr w:type="spellEnd"/>
      <w:r w:rsidRPr="00CF258F">
        <w:rPr>
          <w:rFonts w:ascii="Tahoma" w:hAnsi="Tahoma"/>
          <w:sz w:val="22"/>
          <w:szCs w:val="24"/>
          <w:lang w:val="eu-ES"/>
        </w:rPr>
        <w:t>. artikuluaren arabera, arautegia eta araudi ahala garatzeko eskumena dutela. Dena den, ez du adierazten Aldundiaren zein organori dagokion azken hori.  Horrez gain, arlo honetan ez da araudi garapeneko ahalmena erabili; araudi ahala zein erakunderi dagokion zehaztu zitekeen.</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Proposamena izapidetzeari dagokionez, eskumeneko organoak egin du, hots, Arabako Foru Aldundiaren Nekazaritza Sailak, 14/2016 Foru Dekretua, otsailaren 9koan, Diputatuen Kontseiluarenean, ezarritakoaren arabera. Horren bidez, Nekazaritza Sailaren egitura organiko eta funtzionala onartzen da, Mendi Zerbitzuari, besteak beste eginkizun hauek ematen dizkionak: basoko flora eta fauna antolatzea, kontserbatzea, kudeatzea eta sustatzea. Bestalde, Ehiza eta Arrantza atalaren funtzioak hauek dira: </w:t>
      </w:r>
      <w:r w:rsidRPr="00CF258F">
        <w:rPr>
          <w:rFonts w:ascii="Tahoma" w:hAnsi="Tahoma"/>
          <w:sz w:val="22"/>
          <w:szCs w:val="24"/>
          <w:lang w:val="eu-ES"/>
        </w:rPr>
        <w:lastRenderedPageBreak/>
        <w:t>ehiza eta arrantza debekualdien agindu orokorrak, eta haren arautegi osagarria aztertzea eta proposatzea.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 xml:space="preserve">Proiektua onartzeko erakunde eskumenari dagokionez, 52/1992 Foru Arauak, abenduaren 18koak, Arabako Foru Aldundiaren antolaketa, funtzionamendu eta lege erregimenari buruzkoak, Foru Gobernu Kontseiluari esleitu zion araudi ahala (3. eta </w:t>
      </w:r>
      <w:proofErr w:type="spellStart"/>
      <w:r w:rsidRPr="00CF258F">
        <w:rPr>
          <w:rFonts w:ascii="Tahoma" w:hAnsi="Tahoma"/>
          <w:sz w:val="22"/>
          <w:szCs w:val="24"/>
          <w:lang w:val="eu-ES"/>
        </w:rPr>
        <w:t>7.2</w:t>
      </w:r>
      <w:proofErr w:type="spellEnd"/>
      <w:r w:rsidRPr="00CF258F">
        <w:rPr>
          <w:rFonts w:ascii="Tahoma" w:hAnsi="Tahoma"/>
          <w:sz w:val="22"/>
          <w:szCs w:val="24"/>
          <w:lang w:val="eu-ES"/>
        </w:rPr>
        <w:t xml:space="preserve"> artikuluak eta hirugarren xedapen gehigarria), baina foru diputatuei ere eman zien, honako hau ezarriz: "Foru diputatuei dagokie: … 11.</w:t>
      </w:r>
      <w:r w:rsidRPr="00CF258F">
        <w:rPr>
          <w:rFonts w:ascii="Tahoma" w:hAnsi="Tahoma"/>
          <w:sz w:val="22"/>
          <w:szCs w:val="24"/>
          <w:lang w:val="eu-ES"/>
        </w:rPr>
        <w:tab/>
        <w:t>Araudiak egiteko eta zigortzeko ahalmena erabiltzea, Aldundiko beste organoek haren sailaren gaietan eta berariazko trebakuntza duten gaietan dauzkaten aginpideen kaltetan gabe.”</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Horrenbestez, ezin da ondorioztatu foru aginduaren maila egokia ez denik araudi ahala gauzatzeko.</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b/>
          <w:sz w:val="22"/>
          <w:szCs w:val="24"/>
          <w:lang w:val="eu-ES"/>
        </w:rPr>
        <w:t>IV. PROIEKTUA IZAPIDETZEAN JARRAITUTAKO PROZEDURA</w:t>
      </w:r>
    </w:p>
    <w:p w:rsidR="00334BFB" w:rsidRPr="00CF258F" w:rsidRDefault="00334BFB" w:rsidP="00334BFB">
      <w:pPr>
        <w:jc w:val="both"/>
        <w:rPr>
          <w:rFonts w:ascii="Tahoma" w:hAnsi="Tahoma"/>
          <w:b/>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1. Proiektua prestatzean oro har Foru Gobernu Kontseiluaren 29/2017 Foru Dekretuan ezarritako prozedura jarraitu dela, maiatzaren 23koa.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Aurretiko kontsulta publikoaren izapideari dagokionez, txosten honen xede den foru agindua premiaz onartu behar denez, eta arautegia aurreko denboraldikoaren berdina denez, esanguratsuak ez diren aldaketa txikirekin, maiatzaren 23ko 29/2017 Foru Dekretuaren </w:t>
      </w:r>
      <w:proofErr w:type="spellStart"/>
      <w:r w:rsidRPr="00CF258F">
        <w:rPr>
          <w:rFonts w:ascii="Tahoma" w:hAnsi="Tahoma"/>
          <w:sz w:val="22"/>
          <w:szCs w:val="24"/>
          <w:lang w:val="eu-ES"/>
        </w:rPr>
        <w:t>10.g</w:t>
      </w:r>
      <w:proofErr w:type="spellEnd"/>
      <w:r w:rsidRPr="00CF258F">
        <w:rPr>
          <w:rFonts w:ascii="Tahoma" w:hAnsi="Tahoma"/>
          <w:sz w:val="22"/>
          <w:szCs w:val="24"/>
          <w:lang w:val="eu-ES"/>
        </w:rPr>
        <w:t>. artikuluan ezarritakoaren arabera, Foru Agindu horrek aurretiko kontsulta publikoaren izapidea salbuetsita utzi du, abenduaren 21eko 493/2018 Foru Aginduan, Foru Aginduaren proiektu hau egiteko prozedura hastekoan, onartu zen moduan.</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Halaber, premiaz onartu behar denez, arrantzarako aldia martxoaren 23an hasten delako, 2018ko abenduaren 19an Lurraldeko Arrantza Kontseiluan, BFAko Nekazaritza Sailak eta Ingurumen eta Hirigintza Sailak, Arabako Arrantzaleen Elkarte handienak, Ehiztaria eta Arrantzalea Defendatzeko Elkartea (</w:t>
      </w:r>
      <w:proofErr w:type="spellStart"/>
      <w:r w:rsidRPr="00CF258F">
        <w:rPr>
          <w:rFonts w:ascii="Tahoma" w:hAnsi="Tahoma"/>
          <w:sz w:val="22"/>
          <w:szCs w:val="24"/>
          <w:lang w:val="eu-ES"/>
        </w:rPr>
        <w:t>ADECAP</w:t>
      </w:r>
      <w:proofErr w:type="spellEnd"/>
      <w:r w:rsidRPr="00CF258F">
        <w:rPr>
          <w:rFonts w:ascii="Tahoma" w:hAnsi="Tahoma"/>
          <w:sz w:val="22"/>
          <w:szCs w:val="24"/>
          <w:lang w:val="eu-ES"/>
        </w:rPr>
        <w:t xml:space="preserve">), Eusko Jaurlaritzako Barne Sailak, Euskal Herriko Unibertsitateak, Arabako Nekazaritza eta Natura Elkarteek, Arabako Udalen Elkarte handienak eta Arabako Kontzejuen Elkarte handienak osatutakoan, erabakitakoari jarraituz, jendaurreko entzunaldi eta informaziorako epea zortzi egun naturalera murrizten da, aurretik aipatutako </w:t>
      </w:r>
      <w:proofErr w:type="spellStart"/>
      <w:r w:rsidRPr="00CF258F">
        <w:rPr>
          <w:rFonts w:ascii="Tahoma" w:hAnsi="Tahoma"/>
          <w:sz w:val="22"/>
          <w:szCs w:val="24"/>
          <w:lang w:val="eu-ES"/>
        </w:rPr>
        <w:t>13.3</w:t>
      </w:r>
      <w:proofErr w:type="spellEnd"/>
      <w:r w:rsidRPr="00CF258F">
        <w:rPr>
          <w:rFonts w:ascii="Tahoma" w:hAnsi="Tahoma"/>
          <w:sz w:val="22"/>
          <w:szCs w:val="24"/>
          <w:lang w:val="eu-ES"/>
        </w:rPr>
        <w:t xml:space="preserve">. artikuluan ezarritakoaren arabera.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 xml:space="preserve">Azkenik, proiektua ez da barne hartu 2019ko urteko araugintza planean, urtarrilaren 22ko Foru Gobernu Kontseiluaren 15/2019 erabakiaren bidez onartutakoan. Hala ere, 29/2017 </w:t>
      </w:r>
      <w:proofErr w:type="spellStart"/>
      <w:r w:rsidRPr="00CF258F">
        <w:rPr>
          <w:rFonts w:ascii="Tahoma" w:hAnsi="Tahoma"/>
          <w:sz w:val="22"/>
          <w:szCs w:val="24"/>
          <w:lang w:val="eu-ES"/>
        </w:rPr>
        <w:t>FDko</w:t>
      </w:r>
      <w:proofErr w:type="spellEnd"/>
      <w:r w:rsidRPr="00CF258F">
        <w:rPr>
          <w:rFonts w:ascii="Tahoma" w:hAnsi="Tahoma"/>
          <w:sz w:val="22"/>
          <w:szCs w:val="24"/>
          <w:lang w:val="eu-ES"/>
        </w:rPr>
        <w:t xml:space="preserve"> 4. artikuluko 2. idatz zatian ezarritakoarekin bat etorriz, (“Organo eskudunak urteko araugintza planean ageri ez den araugintzako proposamenen bat aurkezten badu onartzeko, arau horren premia edo presa justifikatu beharko da izaera orokorreko xedapen hori egiteko prozedura abiarazten duen ebazpenean”), prozedura hasteko Foru Aginduan, proiektua Urteko Araugintza Planean jaso ez izana aipatu ez bada ere, erregulazio beharra justifikatu da.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b/>
          <w:sz w:val="22"/>
          <w:szCs w:val="24"/>
          <w:lang w:val="eu-ES"/>
        </w:rPr>
      </w:pPr>
      <w:r w:rsidRPr="00CF258F">
        <w:rPr>
          <w:rFonts w:ascii="Tahoma" w:hAnsi="Tahoma"/>
          <w:b/>
          <w:sz w:val="22"/>
          <w:szCs w:val="24"/>
          <w:lang w:val="eu-ES"/>
        </w:rPr>
        <w:t>V. PROIEKTUAREN DESKRIBAPENA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1. Foru Aginduaren proiektu honen helburua da Arabako Lurralde Historikoan ibaietako arrantzaren aprobetxamendua arautzen araudia onartzea 2019/2020 kanpainarako.</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lastRenderedPageBreak/>
        <w:t xml:space="preserve">2019-2020 denboraldirako ezarri nahi den arautegia aurreko denboraldikoaren berdina da, garrantzitsuak ez diren zenbait aldaketekin: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da-DK"/>
        </w:rPr>
      </w:pPr>
      <w:r w:rsidRPr="00CF258F">
        <w:rPr>
          <w:rFonts w:ascii="Tahoma" w:hAnsi="Tahoma"/>
          <w:sz w:val="22"/>
          <w:szCs w:val="24"/>
          <w:lang w:val="eu-ES"/>
        </w:rPr>
        <w:t>- Karramarroak harrapatzeko uzten den sare-saski kopurua 5etik 6ra handitzen da (</w:t>
      </w:r>
      <w:proofErr w:type="spellStart"/>
      <w:r w:rsidRPr="00CF258F">
        <w:rPr>
          <w:rFonts w:ascii="Tahoma" w:hAnsi="Tahoma"/>
          <w:sz w:val="22"/>
          <w:szCs w:val="24"/>
          <w:lang w:val="eu-ES"/>
        </w:rPr>
        <w:t>7.2</w:t>
      </w:r>
      <w:proofErr w:type="spellEnd"/>
      <w:r w:rsidRPr="00CF258F">
        <w:rPr>
          <w:rFonts w:ascii="Tahoma" w:hAnsi="Tahoma"/>
          <w:sz w:val="22"/>
          <w:szCs w:val="24"/>
          <w:lang w:val="eu-ES"/>
        </w:rPr>
        <w:t xml:space="preserve">. </w:t>
      </w:r>
      <w:proofErr w:type="spellStart"/>
      <w:r w:rsidRPr="00CF258F">
        <w:rPr>
          <w:rFonts w:ascii="Tahoma" w:hAnsi="Tahoma"/>
          <w:sz w:val="22"/>
          <w:szCs w:val="24"/>
          <w:lang w:val="eu-ES"/>
        </w:rPr>
        <w:t>art</w:t>
      </w:r>
      <w:proofErr w:type="spellEnd"/>
      <w:r w:rsidRPr="00CF258F">
        <w:rPr>
          <w:rFonts w:ascii="Tahoma" w:hAnsi="Tahoma"/>
          <w:sz w:val="22"/>
          <w:szCs w:val="24"/>
          <w:lang w:val="eu-ES"/>
        </w:rPr>
        <w:t>.).</w:t>
      </w:r>
    </w:p>
    <w:p w:rsidR="00334BFB" w:rsidRPr="00CF258F" w:rsidRDefault="00334BFB" w:rsidP="00334BFB">
      <w:pPr>
        <w:jc w:val="both"/>
        <w:rPr>
          <w:rFonts w:ascii="Tahoma" w:hAnsi="Tahoma"/>
          <w:sz w:val="22"/>
          <w:szCs w:val="24"/>
          <w:lang w:val="da-DK"/>
        </w:rPr>
      </w:pPr>
      <w:r w:rsidRPr="00CF258F">
        <w:rPr>
          <w:rFonts w:ascii="Tahoma" w:hAnsi="Tahoma"/>
          <w:sz w:val="22"/>
          <w:szCs w:val="24"/>
          <w:lang w:val="eu-ES"/>
        </w:rPr>
        <w:t xml:space="preserve">- </w:t>
      </w:r>
      <w:proofErr w:type="spellStart"/>
      <w:r w:rsidRPr="00CF258F">
        <w:rPr>
          <w:rFonts w:ascii="Tahoma" w:hAnsi="Tahoma"/>
          <w:sz w:val="22"/>
          <w:szCs w:val="24"/>
          <w:lang w:val="eu-ES"/>
        </w:rPr>
        <w:t>7.3.b</w:t>
      </w:r>
      <w:proofErr w:type="spellEnd"/>
      <w:r w:rsidRPr="00CF258F">
        <w:rPr>
          <w:rFonts w:ascii="Tahoma" w:hAnsi="Tahoma"/>
          <w:sz w:val="22"/>
          <w:szCs w:val="24"/>
          <w:lang w:val="eu-ES"/>
        </w:rPr>
        <w:t xml:space="preserve">). artikulua ezabatzen da, zebra muskuilua dagoela ikusi den ur masetan elementu osagarriak erabiltzeko debekuari buruzkoa, </w:t>
      </w:r>
      <w:proofErr w:type="spellStart"/>
      <w:r w:rsidRPr="00CF258F">
        <w:rPr>
          <w:rFonts w:ascii="Tahoma" w:hAnsi="Tahoma"/>
          <w:sz w:val="22"/>
          <w:szCs w:val="24"/>
          <w:lang w:val="eu-ES"/>
        </w:rPr>
        <w:t>Sobrón</w:t>
      </w:r>
      <w:proofErr w:type="spellEnd"/>
      <w:r w:rsidRPr="00CF258F">
        <w:rPr>
          <w:rFonts w:ascii="Tahoma" w:hAnsi="Tahoma"/>
          <w:sz w:val="22"/>
          <w:szCs w:val="24"/>
          <w:lang w:val="eu-ES"/>
        </w:rPr>
        <w:t xml:space="preserve">, </w:t>
      </w:r>
      <w:proofErr w:type="spellStart"/>
      <w:r w:rsidRPr="00CF258F">
        <w:rPr>
          <w:rFonts w:ascii="Tahoma" w:hAnsi="Tahoma"/>
          <w:sz w:val="22"/>
          <w:szCs w:val="24"/>
          <w:lang w:val="eu-ES"/>
        </w:rPr>
        <w:t>Uribarri-Ganboa</w:t>
      </w:r>
      <w:proofErr w:type="spellEnd"/>
      <w:r w:rsidRPr="00CF258F">
        <w:rPr>
          <w:rFonts w:ascii="Tahoma" w:hAnsi="Tahoma"/>
          <w:sz w:val="22"/>
          <w:szCs w:val="24"/>
          <w:lang w:val="eu-ES"/>
        </w:rPr>
        <w:t xml:space="preserve"> eta Urrunagako urtegietan izan zen, hor, "arrantzarako grip-a" erabiltzea uzten zelako.</w:t>
      </w:r>
    </w:p>
    <w:p w:rsidR="00334BFB" w:rsidRPr="00CF258F" w:rsidRDefault="00334BFB" w:rsidP="00334BFB">
      <w:pPr>
        <w:jc w:val="both"/>
        <w:rPr>
          <w:rFonts w:ascii="Tahoma" w:hAnsi="Tahoma"/>
          <w:szCs w:val="24"/>
          <w:lang w:val="da-DK"/>
        </w:rPr>
      </w:pPr>
      <w:r w:rsidRPr="00CF258F">
        <w:rPr>
          <w:rFonts w:ascii="Tahoma" w:hAnsi="Tahoma"/>
          <w:sz w:val="22"/>
          <w:szCs w:val="24"/>
          <w:lang w:val="eu-ES"/>
        </w:rPr>
        <w:t xml:space="preserve">- Berariaz adierazten da </w:t>
      </w:r>
      <w:proofErr w:type="spellStart"/>
      <w:r w:rsidRPr="00CF258F">
        <w:rPr>
          <w:rFonts w:ascii="Tahoma" w:hAnsi="Tahoma"/>
          <w:sz w:val="22"/>
          <w:szCs w:val="24"/>
          <w:lang w:val="eu-ES"/>
        </w:rPr>
        <w:t>Langraizko</w:t>
      </w:r>
      <w:proofErr w:type="spellEnd"/>
      <w:r w:rsidRPr="00CF258F">
        <w:rPr>
          <w:rFonts w:ascii="Tahoma" w:hAnsi="Tahoma"/>
          <w:sz w:val="22"/>
          <w:szCs w:val="24"/>
          <w:lang w:val="eu-ES"/>
        </w:rPr>
        <w:t xml:space="preserve"> kirol tartea edozein arrantzalek erabil dezakeela arrantza sustatu edo irakasteko jarduerak egiten diren egunetan ez bada (</w:t>
      </w:r>
      <w:proofErr w:type="spellStart"/>
      <w:r w:rsidRPr="00CF258F">
        <w:rPr>
          <w:rFonts w:ascii="Tahoma" w:hAnsi="Tahoma"/>
          <w:sz w:val="22"/>
          <w:szCs w:val="24"/>
          <w:lang w:val="eu-ES"/>
        </w:rPr>
        <w:t>13.3</w:t>
      </w:r>
      <w:proofErr w:type="spellEnd"/>
      <w:r w:rsidRPr="00CF258F">
        <w:rPr>
          <w:rFonts w:ascii="Tahoma" w:hAnsi="Tahoma"/>
          <w:sz w:val="22"/>
          <w:szCs w:val="24"/>
          <w:lang w:val="eu-ES"/>
        </w:rPr>
        <w:t xml:space="preserve">. </w:t>
      </w:r>
      <w:proofErr w:type="spellStart"/>
      <w:r w:rsidRPr="00CF258F">
        <w:rPr>
          <w:rFonts w:ascii="Tahoma" w:hAnsi="Tahoma"/>
          <w:sz w:val="22"/>
          <w:szCs w:val="24"/>
          <w:lang w:val="eu-ES"/>
        </w:rPr>
        <w:t>art</w:t>
      </w:r>
      <w:proofErr w:type="spellEnd"/>
      <w:r w:rsidRPr="00CF258F">
        <w:rPr>
          <w:rFonts w:ascii="Tahoma" w:hAnsi="Tahoma"/>
          <w:sz w:val="22"/>
          <w:szCs w:val="24"/>
          <w:lang w:val="eu-ES"/>
        </w:rPr>
        <w:t>.).</w:t>
      </w:r>
    </w:p>
    <w:p w:rsidR="00334BFB" w:rsidRPr="00CF258F" w:rsidRDefault="00334BFB" w:rsidP="00334BFB">
      <w:pPr>
        <w:jc w:val="both"/>
        <w:rPr>
          <w:rFonts w:ascii="Tahoma" w:hAnsi="Tahoma"/>
          <w:szCs w:val="24"/>
          <w:lang w:val="eu-ES"/>
        </w:rPr>
      </w:pPr>
      <w:r w:rsidRPr="00CF258F">
        <w:rPr>
          <w:rFonts w:ascii="Tahoma" w:hAnsi="Tahoma"/>
          <w:sz w:val="22"/>
          <w:szCs w:val="24"/>
          <w:lang w:val="eu-ES"/>
        </w:rPr>
        <w:t>- Harrapaketen parteak ez entregatzearen ondorioak aldatzen dira. Horrela, aurreko denboraldian ezarritako zegoen moduan, ez da arau haustetzat hartzen; amuarrain edota karramarroen zozketetan parte hartzeko ezinbesteko baldintza izatera pasatzen da (</w:t>
      </w:r>
      <w:proofErr w:type="spellStart"/>
      <w:r w:rsidRPr="00CF258F">
        <w:rPr>
          <w:rFonts w:ascii="Tahoma" w:hAnsi="Tahoma"/>
          <w:sz w:val="22"/>
          <w:szCs w:val="24"/>
          <w:lang w:val="eu-ES"/>
        </w:rPr>
        <w:t>18.4</w:t>
      </w:r>
      <w:proofErr w:type="spellEnd"/>
      <w:r w:rsidRPr="00CF258F">
        <w:rPr>
          <w:rFonts w:ascii="Tahoma" w:hAnsi="Tahoma"/>
          <w:sz w:val="22"/>
          <w:szCs w:val="24"/>
          <w:lang w:val="eu-ES"/>
        </w:rPr>
        <w:t xml:space="preserve">. </w:t>
      </w:r>
      <w:proofErr w:type="spellStart"/>
      <w:r w:rsidRPr="00CF258F">
        <w:rPr>
          <w:rFonts w:ascii="Tahoma" w:hAnsi="Tahoma"/>
          <w:sz w:val="22"/>
          <w:szCs w:val="24"/>
          <w:lang w:val="eu-ES"/>
        </w:rPr>
        <w:t>art</w:t>
      </w:r>
      <w:proofErr w:type="spellEnd"/>
      <w:r w:rsidRPr="00CF258F">
        <w:rPr>
          <w:rFonts w:ascii="Tahoma" w:hAnsi="Tahoma"/>
          <w:sz w:val="22"/>
          <w:szCs w:val="24"/>
          <w:lang w:val="eu-ES"/>
        </w:rPr>
        <w:t>.).</w:t>
      </w: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 Beste modu batera arautzen dira zebra muskuiluaren berariazko neurriak (20. </w:t>
      </w:r>
      <w:proofErr w:type="spellStart"/>
      <w:r w:rsidRPr="00CF258F">
        <w:rPr>
          <w:rFonts w:ascii="Tahoma" w:hAnsi="Tahoma"/>
          <w:sz w:val="22"/>
          <w:szCs w:val="24"/>
          <w:lang w:val="eu-ES"/>
        </w:rPr>
        <w:t>art</w:t>
      </w:r>
      <w:proofErr w:type="spellEnd"/>
      <w:r w:rsidRPr="00CF258F">
        <w:rPr>
          <w:rFonts w:ascii="Tahoma" w:hAnsi="Tahoma"/>
          <w:sz w:val="22"/>
          <w:szCs w:val="24"/>
          <w:lang w:val="eu-ES"/>
        </w:rPr>
        <w:t>.).</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2. Ekimenak hauek barne hartzen ditu: zioen zatia, bi artikulu (batek, arautegia onartzen du, eta horretarako, Foru Aginduaren Eranskin batera jotzen du; besteak, indarrean sartzea ezarri eta 257/2018 Foru Agindua, ekainaren 6koa, otsailaren 1eko 43/2017 Foru Agindua aldatzen du, Arabako Lurralde Historikoan, 2017-2018 denboraldian, arrantza kontinentalaren aprobetxamendua arautzen duen arautegia onartzen duena, 2018-2019 kanpainan aplikatzeko).</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Horrez gain, xedapenaren testu osoa jasotzen duen eranskin horrek, irizpide horren II- atalean aipatutako arautegia aplikatuz, zer espezie arrantza daitezkeen, harrapaketa kopurua, harrapaketen dimentsioak, arrantza tresnak, elementu osagarriak eta amuak eta beitak ezartzen ditu, bai </w:t>
      </w:r>
      <w:proofErr w:type="spellStart"/>
      <w:r w:rsidRPr="00CF258F">
        <w:rPr>
          <w:rFonts w:ascii="Tahoma" w:hAnsi="Tahoma"/>
          <w:sz w:val="22"/>
          <w:szCs w:val="24"/>
          <w:lang w:val="eu-ES"/>
        </w:rPr>
        <w:t>salmonidoak</w:t>
      </w:r>
      <w:proofErr w:type="spellEnd"/>
      <w:r w:rsidRPr="00CF258F">
        <w:rPr>
          <w:rFonts w:ascii="Tahoma" w:hAnsi="Tahoma"/>
          <w:sz w:val="22"/>
          <w:szCs w:val="24"/>
          <w:lang w:val="eu-ES"/>
        </w:rPr>
        <w:t>, bai ziprinidoak harrapatzeko; baita arrain eta krustazeo exotiko inbaditzaileen espezieak kontrolatzeko eta errotik kentzeko ere, hala badagokio.</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Halaber, exotiko inbaditzailetzat jotzen diren arrain eta krustazeo espezieak kontrolatzeko, kudeatzeko eta errotik kentzeko metodotzat hartzen du arrantza, 630/2013 Errege Dekretuan barne hartuz, 42/2017 legea indarrean sartu aurretik Arabako Lurralde Historikoan sartu zirenak. Bestalde, 630/2013 Errege Dekretu horri buruzko berariazko neurriak ezartzen ditu.</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Era berean, hauek jasotzen ditu: arrantza egiteko beharrezko agiriak, arrain fauna babesteko neurriak, Kirol Eremua ezartzea, debekatutako tarteen muga, komertzializatzea debekatuta dagoen espezieak, baimenak lortzea, harrapaketen partea betetzea, ontzitik arrantzatzea eta desgaitasuna duten pertsonentzako lehentasunezko arrantza eremuen kokapena.</w:t>
      </w:r>
    </w:p>
    <w:p w:rsidR="00334BFB" w:rsidRPr="00CF258F" w:rsidRDefault="00334BFB" w:rsidP="00334BFB">
      <w:pPr>
        <w:jc w:val="both"/>
        <w:rPr>
          <w:rFonts w:ascii="Tahoma" w:hAnsi="Tahoma"/>
          <w:sz w:val="22"/>
          <w:szCs w:val="24"/>
          <w:lang w:val="eu-ES"/>
        </w:rPr>
      </w:pPr>
    </w:p>
    <w:p w:rsidR="00334BFB" w:rsidRDefault="00334BFB" w:rsidP="00334BFB">
      <w:pPr>
        <w:jc w:val="both"/>
        <w:rPr>
          <w:rFonts w:ascii="Tahoma" w:hAnsi="Tahoma"/>
          <w:sz w:val="22"/>
          <w:szCs w:val="24"/>
          <w:lang w:val="eu-ES"/>
        </w:rPr>
      </w:pPr>
      <w:r w:rsidRPr="00CF258F">
        <w:rPr>
          <w:rFonts w:ascii="Tahoma" w:hAnsi="Tahoma"/>
          <w:sz w:val="22"/>
          <w:szCs w:val="24"/>
          <w:lang w:val="eu-ES"/>
        </w:rPr>
        <w:t xml:space="preserve">Azkenik, I. eranskinean, Arabako Lurralde Historikoan dauden eta espezie exotiko inbaditzaileen Espainiako katalogoa arautzen duen 630/2013 Errege Dekretuak eragiten dituen espezie exotiko inbaditzaileak ezartzen dira. Bestalde, II. eranskinean, arrantza daitezkeen tartean ezartzen dira, arro hidrografikoko. III. eranskinean, amuarraina arrantzatzeko barrutiak adierazten dira, eta azkenik, IV. eranskinean, karramarroak kontrolatzeko eta desagerrarazteko tarteak. </w:t>
      </w:r>
    </w:p>
    <w:p w:rsidR="00334BFB" w:rsidRDefault="00334BFB" w:rsidP="00334BFB">
      <w:pPr>
        <w:jc w:val="both"/>
        <w:rPr>
          <w:rFonts w:ascii="Tahoma" w:hAnsi="Tahoma"/>
          <w:sz w:val="22"/>
          <w:szCs w:val="24"/>
          <w:lang w:val="eu-ES"/>
        </w:rPr>
      </w:pPr>
    </w:p>
    <w:p w:rsidR="00334BFB"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b/>
          <w:sz w:val="22"/>
          <w:szCs w:val="24"/>
          <w:lang w:val="eu-ES"/>
        </w:rPr>
        <w:lastRenderedPageBreak/>
        <w:t>VI. PROIEKTUAREN EDUKIAREN ANALISIA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42/2007 Legeak, abenduaren 13koak, natura ondareari eta biodibertsitateari buruzkoak, ezarri zuenez “ehizatu eta ur kontinentaletan arrantzatu ahal izango diren espezieak autonomia-erkidegoek zehazten dituztenak bakarrik izango dira, eta deklarazio horrek inola ere ezingo die eragin Babes Bereziko Espezieen Zerrendan sartutako espezieei edo Europar Batasunak debekatutakoei”.</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Halaber, hauxe adierazten du: "ehiza eta arrantza kontinentala arautzean, bermatu egingo da jarduera horietarako baimenduta dauden espezieak kontserbatzea eta sustatzea; xede horietarako, autonomia-erkidegoek zehaztu egingo dute zein lursail eta uretan ehizatu eta arrantzatu ahal izango den eta zein egunetan izango den haizu espezie bakoitzarentzat".</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Apirilaren 15eko 1/2014 Legegintzako Dekretuak, Euskal Autonomia Erkidegoko natura kontserbatzeko legearen testu </w:t>
      </w:r>
      <w:proofErr w:type="spellStart"/>
      <w:r w:rsidRPr="00CF258F">
        <w:rPr>
          <w:rFonts w:ascii="Tahoma" w:hAnsi="Tahoma"/>
          <w:sz w:val="22"/>
          <w:szCs w:val="24"/>
          <w:lang w:val="eu-ES"/>
        </w:rPr>
        <w:t>bategina</w:t>
      </w:r>
      <w:proofErr w:type="spellEnd"/>
      <w:r w:rsidRPr="00CF258F">
        <w:rPr>
          <w:rFonts w:ascii="Tahoma" w:hAnsi="Tahoma"/>
          <w:sz w:val="22"/>
          <w:szCs w:val="24"/>
          <w:lang w:val="eu-ES"/>
        </w:rPr>
        <w:t xml:space="preserve"> onesten duenak, 66. artikuluan xedatzen duenez, “foru-organo eskudunek Euskal Autonomia Erkidegoko Administrazio Orokorrean natura-baliabideen antolamenduan eta naturaren kontserbazioan eskumena duen sailarekin elkar hartuta, bakoitzak bere lurralde-eremurako, arrantza-aprobetxamenduen araudia onartuko dute urtero. Jarduera horiek egin daitezkeen urak ezarriko dituzte, bai eta espezie bakoitzarentzako arrantza-garaia eta ur kontinentaletan arrantzatzeko modu eta metodoak ere”.</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 xml:space="preserve">Bidenabar, 630/2013 Errege Dekretuko </w:t>
      </w:r>
      <w:proofErr w:type="spellStart"/>
      <w:r w:rsidRPr="00CF258F">
        <w:rPr>
          <w:rFonts w:ascii="Tahoma" w:hAnsi="Tahoma"/>
          <w:sz w:val="22"/>
          <w:szCs w:val="24"/>
          <w:lang w:val="eu-ES"/>
        </w:rPr>
        <w:t>10.5</w:t>
      </w:r>
      <w:proofErr w:type="spellEnd"/>
      <w:r w:rsidRPr="00CF258F">
        <w:rPr>
          <w:rFonts w:ascii="Tahoma" w:hAnsi="Tahoma"/>
          <w:sz w:val="22"/>
          <w:szCs w:val="24"/>
          <w:lang w:val="eu-ES"/>
        </w:rPr>
        <w:t xml:space="preserve"> artikuluarekin bat etorriz, abuztuaren 2koa, espezie exotiko inbaditzaileen Espainiako katalogoa arautzekoa, proiektuan espezie exotiko inbaditzaile gisa sailkatutako arrain eta krustazeo espezieak kontrolatu, kudeatu eta desagerrarazteko metodo gisa ageri da arrantza, 630/2013 Errege Dekretuan jasotakoak eta 42/2007 Legea indarrean sartu aurretik iritsi zirenak Arabako Lurralde Historikora.</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 xml:space="preserve">Aztertutako proiektua bat dator arrain aprobetxamenduak arautzeko lurralde historikoek urtero onartu behar duten araudiarekin, finkatu baitu jarduerak egin daitezkeen ur zatiak, espezie bakoitzerako data baliagarriak, ibaietan arrantza egiteko harrapaketa metodoak eta modalitateak. </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r w:rsidRPr="00CF258F">
        <w:rPr>
          <w:rFonts w:ascii="Tahoma" w:hAnsi="Tahoma"/>
          <w:sz w:val="22"/>
          <w:szCs w:val="24"/>
          <w:lang w:val="eu-ES"/>
        </w:rPr>
        <w:t>Aztertutako proposamenak ez dauka ibaietako arrantza araudiak babestutako ondasun juridikoarenak ez diren edo horretatik deskonektatuta dagoen bete beharreko arau edo betebeharrik.</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b/>
          <w:sz w:val="22"/>
          <w:szCs w:val="24"/>
          <w:lang w:val="eu-ES"/>
        </w:rPr>
        <w:t>VII. ONDORIOAK</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Lehenengoa: Arabako Lurralde Historikoan, 2019/2020 kanpainan, arrantza kontinentalaren aprobetxamendua arautzen duen arautegia onartzeko Foru Aginduaren proiektuak Arabako Foru Administrazioko Aholku Batzordearen irizpena behar du.</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Cs w:val="24"/>
          <w:lang w:val="eu-ES"/>
        </w:rPr>
      </w:pPr>
      <w:r w:rsidRPr="00CF258F">
        <w:rPr>
          <w:rFonts w:ascii="Tahoma" w:hAnsi="Tahoma"/>
          <w:sz w:val="22"/>
          <w:szCs w:val="24"/>
          <w:lang w:val="eu-ES"/>
        </w:rPr>
        <w:t>Bigarrena: Foru aginduaren proiektuak ordenamendu juridikoa errespetatzen du.</w:t>
      </w: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bookmarkStart w:id="0" w:name="_GoBack"/>
      <w:bookmarkEnd w:id="0"/>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334BFB" w:rsidRPr="00CF258F" w:rsidRDefault="00334BFB" w:rsidP="00334BFB">
      <w:pPr>
        <w:jc w:val="both"/>
        <w:rPr>
          <w:rFonts w:ascii="Tahoma" w:hAnsi="Tahoma"/>
          <w:sz w:val="22"/>
          <w:szCs w:val="24"/>
          <w:lang w:val="eu-ES"/>
        </w:rPr>
      </w:pPr>
    </w:p>
    <w:p w:rsidR="000109B2" w:rsidRPr="00334BFB" w:rsidRDefault="00334BFB">
      <w:pPr>
        <w:rPr>
          <w:lang w:val="eu-ES"/>
        </w:rPr>
      </w:pPr>
    </w:p>
    <w:sectPr w:rsidR="000109B2" w:rsidRPr="00334B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BFB"/>
    <w:rsid w:val="00334BFB"/>
    <w:rsid w:val="009A68E6"/>
    <w:rsid w:val="009C2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FB"/>
    <w:pPr>
      <w:spacing w:after="0" w:line="240" w:lineRule="auto"/>
    </w:pPr>
    <w:rPr>
      <w:rFonts w:ascii="Times New Roman" w:eastAsia="Times New Roman" w:hAnsi="Times New Roman" w:cs="Times New Roman"/>
      <w:snapToGrid w:val="0"/>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334BFB"/>
    <w:pPr>
      <w:jc w:val="both"/>
    </w:pPr>
    <w:rPr>
      <w:rFonts w:ascii="Arial" w:hAnsi="Arial"/>
      <w:sz w:val="22"/>
      <w:lang w:val="es-ES_tradnl"/>
    </w:rPr>
  </w:style>
  <w:style w:type="character" w:customStyle="1" w:styleId="Textoindependiente2Car">
    <w:name w:val="Texto independiente 2 Car"/>
    <w:basedOn w:val="Fuentedeprrafopredeter"/>
    <w:link w:val="Textoindependiente2"/>
    <w:uiPriority w:val="99"/>
    <w:rsid w:val="00334BFB"/>
    <w:rPr>
      <w:rFonts w:ascii="Arial" w:eastAsia="Times New Roman" w:hAnsi="Arial" w:cs="Times New Roman"/>
      <w:snapToGrid w:val="0"/>
      <w:szCs w:val="20"/>
      <w:lang w:val="es-ES_tradnl"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FB"/>
    <w:pPr>
      <w:spacing w:after="0" w:line="240" w:lineRule="auto"/>
    </w:pPr>
    <w:rPr>
      <w:rFonts w:ascii="Times New Roman" w:eastAsia="Times New Roman" w:hAnsi="Times New Roman" w:cs="Times New Roman"/>
      <w:snapToGrid w:val="0"/>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334BFB"/>
    <w:pPr>
      <w:jc w:val="both"/>
    </w:pPr>
    <w:rPr>
      <w:rFonts w:ascii="Arial" w:hAnsi="Arial"/>
      <w:sz w:val="22"/>
      <w:lang w:val="es-ES_tradnl"/>
    </w:rPr>
  </w:style>
  <w:style w:type="character" w:customStyle="1" w:styleId="Textoindependiente2Car">
    <w:name w:val="Texto independiente 2 Car"/>
    <w:basedOn w:val="Fuentedeprrafopredeter"/>
    <w:link w:val="Textoindependiente2"/>
    <w:uiPriority w:val="99"/>
    <w:rsid w:val="00334BFB"/>
    <w:rPr>
      <w:rFonts w:ascii="Arial" w:eastAsia="Times New Roman" w:hAnsi="Arial" w:cs="Times New Roman"/>
      <w:snapToGrid w:val="0"/>
      <w:szCs w:val="20"/>
      <w:lang w:val="es-ES_tradnl"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2280</Words>
  <Characters>12544</Characters>
  <Application>Microsoft Office Word</Application>
  <DocSecurity>0</DocSecurity>
  <Lines>104</Lines>
  <Paragraphs>29</Paragraphs>
  <ScaleCrop>false</ScaleCrop>
  <Company>DFA-AFA</Company>
  <LinksUpToDate>false</LinksUpToDate>
  <CharactersWithSpaces>14795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1</cp:revision>
  <dcterms:created xsi:type="dcterms:W3CDTF">2019-06-26T11:13:00Z</dcterms:created>
  <dcterms:modified xsi:type="dcterms:W3CDTF">2019-06-26T11:23:00Z</dcterms:modified>
</cp:coreProperties>
</file>