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65F" w:rsidRPr="009842A3" w:rsidRDefault="0007365F" w:rsidP="0007365F">
      <w:pPr>
        <w:jc w:val="both"/>
        <w:rPr>
          <w:rFonts w:ascii="Tahoma" w:hAnsi="Tahoma" w:cs="Tahoma"/>
          <w:b/>
          <w:sz w:val="22"/>
          <w:szCs w:val="22"/>
        </w:rPr>
      </w:pPr>
      <w:r w:rsidRPr="009842A3">
        <w:rPr>
          <w:rFonts w:ascii="Tahoma" w:hAnsi="Tahoma" w:cs="Tahoma"/>
          <w:b/>
          <w:sz w:val="22"/>
          <w:szCs w:val="22"/>
        </w:rPr>
        <w:t>DICTAMEN</w:t>
      </w:r>
      <w:r>
        <w:rPr>
          <w:rFonts w:ascii="Tahoma" w:hAnsi="Tahoma" w:cs="Tahoma"/>
          <w:b/>
          <w:sz w:val="22"/>
          <w:szCs w:val="22"/>
        </w:rPr>
        <w:t xml:space="preserve"> DE 29 DE ENERO DE 2019 </w:t>
      </w:r>
      <w:r w:rsidRPr="009842A3">
        <w:rPr>
          <w:rFonts w:ascii="Tahoma" w:hAnsi="Tahoma" w:cs="Tahoma"/>
          <w:b/>
          <w:sz w:val="22"/>
          <w:szCs w:val="22"/>
        </w:rPr>
        <w:t xml:space="preserve"> RELATIVO AL </w:t>
      </w:r>
      <w:r w:rsidRPr="009842A3">
        <w:rPr>
          <w:rFonts w:ascii="Tahoma" w:hAnsi="Tahoma" w:cs="Tahoma"/>
          <w:b/>
          <w:sz w:val="22"/>
          <w:szCs w:val="22"/>
          <w:lang w:val="es-ES_tradnl"/>
        </w:rPr>
        <w:t>PROYECTO DE DECRETO FORAL  DE MODIFICACIÓN DEL DECRETO FORAL 110/2008, DE 23 DE DICIEMBRE, QUE REGULA LAS CONDICIONES Y REQUISITOS GENERALES PARA LA PRESENTACIÓN DE DECLARACIONES Y AUTOLIQUIDACIONES POR VÍA TELEMÁTICA ANTE LA HACIENDA FORAL</w:t>
      </w:r>
      <w:r w:rsidRPr="009842A3">
        <w:rPr>
          <w:rFonts w:ascii="Tahoma" w:hAnsi="Tahoma" w:cs="Tahoma"/>
          <w:b/>
          <w:sz w:val="22"/>
          <w:szCs w:val="22"/>
        </w:rPr>
        <w:t>.</w:t>
      </w:r>
    </w:p>
    <w:p w:rsidR="0007365F" w:rsidRDefault="0007365F" w:rsidP="0007365F">
      <w:pPr>
        <w:jc w:val="both"/>
        <w:rPr>
          <w:rFonts w:ascii="Tahoma" w:hAnsi="Tahoma" w:cs="Tahoma"/>
          <w:b/>
          <w:sz w:val="22"/>
          <w:szCs w:val="22"/>
        </w:rPr>
      </w:pPr>
    </w:p>
    <w:p w:rsidR="0007365F" w:rsidRDefault="0007365F" w:rsidP="0007365F">
      <w:pPr>
        <w:jc w:val="both"/>
        <w:rPr>
          <w:rFonts w:ascii="Tahoma" w:hAnsi="Tahoma" w:cs="Tahoma"/>
          <w:b/>
          <w:sz w:val="22"/>
          <w:szCs w:val="22"/>
        </w:rPr>
      </w:pPr>
      <w:r>
        <w:rPr>
          <w:rFonts w:ascii="Tahoma" w:hAnsi="Tahoma" w:cs="Tahoma"/>
          <w:b/>
          <w:sz w:val="22"/>
          <w:szCs w:val="22"/>
        </w:rPr>
        <w:t xml:space="preserve"> </w:t>
      </w:r>
    </w:p>
    <w:p w:rsidR="0007365F" w:rsidRDefault="0007365F" w:rsidP="0007365F">
      <w:pPr>
        <w:pStyle w:val="Textoindependiente2"/>
        <w:rPr>
          <w:rFonts w:ascii="Tahoma" w:hAnsi="Tahoma" w:cs="Tahoma"/>
          <w:sz w:val="22"/>
          <w:szCs w:val="22"/>
        </w:rPr>
      </w:pPr>
    </w:p>
    <w:p w:rsidR="0007365F" w:rsidRPr="00D74B21" w:rsidRDefault="0007365F" w:rsidP="0007365F">
      <w:pPr>
        <w:spacing w:after="240"/>
        <w:jc w:val="both"/>
        <w:rPr>
          <w:rFonts w:ascii="Tahoma" w:eastAsia="Calibri" w:hAnsi="Tahoma" w:cs="Tahoma"/>
          <w:b/>
          <w:sz w:val="22"/>
          <w:szCs w:val="22"/>
        </w:rPr>
      </w:pPr>
      <w:proofErr w:type="gramStart"/>
      <w:r w:rsidRPr="00D74B21">
        <w:rPr>
          <w:rFonts w:ascii="Tahoma" w:hAnsi="Tahoma" w:cs="Tahoma"/>
          <w:b/>
          <w:sz w:val="22"/>
          <w:szCs w:val="22"/>
        </w:rPr>
        <w:t>I</w:t>
      </w:r>
      <w:r w:rsidRPr="00D74B21">
        <w:rPr>
          <w:rFonts w:ascii="Tahoma" w:eastAsia="Calibri" w:hAnsi="Tahoma" w:cs="Tahoma"/>
          <w:b/>
          <w:sz w:val="22"/>
          <w:szCs w:val="22"/>
        </w:rPr>
        <w:t xml:space="preserve"> .</w:t>
      </w:r>
      <w:proofErr w:type="gramEnd"/>
      <w:r w:rsidRPr="00D74B21">
        <w:rPr>
          <w:rFonts w:ascii="Tahoma" w:eastAsia="Calibri" w:hAnsi="Tahoma" w:cs="Tahoma"/>
          <w:b/>
          <w:sz w:val="22"/>
          <w:szCs w:val="22"/>
        </w:rPr>
        <w:t>- ANTECEDENTES DE HECHO</w:t>
      </w:r>
    </w:p>
    <w:p w:rsidR="0007365F" w:rsidRPr="00D74B21" w:rsidRDefault="0007365F" w:rsidP="0007365F">
      <w:pPr>
        <w:spacing w:after="200" w:line="276" w:lineRule="auto"/>
        <w:jc w:val="both"/>
        <w:rPr>
          <w:rFonts w:ascii="Tahoma" w:eastAsia="Calibri" w:hAnsi="Tahoma" w:cs="Tahoma"/>
          <w:sz w:val="22"/>
          <w:szCs w:val="22"/>
        </w:rPr>
      </w:pPr>
      <w:r w:rsidRPr="00D74B21">
        <w:rPr>
          <w:rFonts w:ascii="Tahoma" w:eastAsia="Calibri" w:hAnsi="Tahoma" w:cs="Tahoma"/>
          <w:sz w:val="22"/>
          <w:szCs w:val="22"/>
        </w:rPr>
        <w:t xml:space="preserve">El proyecto de Decreto Foral objeto del presente Dictamen de Modificación del Decreto Foral 110/2008, de 23 de diciembre, que regula las condiciones y requisitos generales para la presentación de declaraciones y autoliquidaciones por vía telemática ante la Hacienda Foral, ha sido remitido a esta Comisión Consultiva por el Diputado Foral del Departamento de Hacienda, Finanzas y Presupuestos, de conformidad con lo previsto en el artículo 17, apartado 1 del Decreto Foral del Consejo de Diputados 40/1999, de 30 de marzo. </w:t>
      </w:r>
    </w:p>
    <w:p w:rsidR="0007365F" w:rsidRPr="00D74B21" w:rsidRDefault="0007365F" w:rsidP="0007365F">
      <w:pPr>
        <w:spacing w:after="200" w:line="276" w:lineRule="auto"/>
        <w:jc w:val="both"/>
        <w:rPr>
          <w:rFonts w:ascii="Tahoma" w:eastAsia="Calibri" w:hAnsi="Tahoma" w:cs="Tahoma"/>
          <w:sz w:val="22"/>
          <w:szCs w:val="22"/>
        </w:rPr>
      </w:pPr>
      <w:r w:rsidRPr="00D74B21">
        <w:rPr>
          <w:rFonts w:ascii="Tahoma" w:eastAsia="Calibri" w:hAnsi="Tahoma" w:cs="Tahoma"/>
          <w:sz w:val="22"/>
          <w:szCs w:val="22"/>
        </w:rPr>
        <w:t>A la solicitud de dictamen se acompaña informe de impacto normativo y un informe de evaluación previa de impacto del género elaborados por el Servicio de Normativa Tributaria, informe económico,  memoria con los resultados de los trámites de audiencia e información pública.</w:t>
      </w:r>
    </w:p>
    <w:p w:rsidR="0007365F" w:rsidRPr="00D74B21" w:rsidRDefault="0007365F" w:rsidP="0007365F">
      <w:pPr>
        <w:spacing w:after="200" w:line="276" w:lineRule="auto"/>
        <w:jc w:val="both"/>
        <w:rPr>
          <w:rFonts w:ascii="Tahoma" w:eastAsia="Calibri" w:hAnsi="Tahoma" w:cs="Tahoma"/>
          <w:sz w:val="22"/>
          <w:szCs w:val="22"/>
        </w:rPr>
      </w:pPr>
      <w:r w:rsidRPr="00D74B21">
        <w:rPr>
          <w:rFonts w:ascii="Tahoma" w:eastAsia="Calibri" w:hAnsi="Tahoma" w:cs="Tahoma"/>
          <w:sz w:val="22"/>
          <w:szCs w:val="22"/>
        </w:rPr>
        <w:t>El presente Decreto Foral tiene por objeto actualizar las condiciones y requisitos generales para la presentación por vía telemática a la Hacienda Foral de declaraciones y autoliquidaciones.</w:t>
      </w:r>
    </w:p>
    <w:p w:rsidR="0007365F" w:rsidRPr="00D74B21" w:rsidRDefault="0007365F" w:rsidP="0007365F">
      <w:pPr>
        <w:spacing w:after="200" w:line="276" w:lineRule="auto"/>
        <w:jc w:val="both"/>
        <w:rPr>
          <w:rFonts w:ascii="Tahoma" w:eastAsia="Calibri" w:hAnsi="Tahoma" w:cs="Tahoma"/>
          <w:sz w:val="22"/>
          <w:szCs w:val="22"/>
        </w:rPr>
      </w:pPr>
      <w:r w:rsidRPr="00D74B21">
        <w:rPr>
          <w:rFonts w:ascii="Tahoma" w:eastAsia="Calibri" w:hAnsi="Tahoma" w:cs="Tahoma"/>
          <w:sz w:val="22"/>
          <w:szCs w:val="22"/>
        </w:rPr>
        <w:t>El Presidente de la Comisión Consultiva, de acuerdo con lo dispuesto en los artículos 9.1,d) y 19.1 de su Reglamento Orgánico, aprobado mediante Decreto Foral 40/1999 del Consejo de Diputados, designa al Vocal que suscribe para la elaboración de propuesta de dictamen.</w:t>
      </w:r>
    </w:p>
    <w:p w:rsidR="0007365F" w:rsidRPr="00D74B21" w:rsidRDefault="0007365F" w:rsidP="0007365F">
      <w:pPr>
        <w:spacing w:line="276" w:lineRule="auto"/>
        <w:jc w:val="both"/>
        <w:rPr>
          <w:rFonts w:ascii="Tahoma" w:eastAsia="Calibri" w:hAnsi="Tahoma" w:cs="Tahoma"/>
          <w:sz w:val="22"/>
          <w:szCs w:val="22"/>
        </w:rPr>
      </w:pPr>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t>II.- CONSIDERACIONES JURÍDICAS</w:t>
      </w:r>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t>II.1. COMPETENCIA DE LA COMISION CONSULTIVA PARA LA EMISIÓN DEL DICTAMEN</w:t>
      </w:r>
    </w:p>
    <w:p w:rsidR="0007365F" w:rsidRDefault="0007365F" w:rsidP="0007365F">
      <w:pPr>
        <w:spacing w:after="200" w:line="276" w:lineRule="auto"/>
        <w:jc w:val="both"/>
        <w:rPr>
          <w:rFonts w:ascii="Tahoma" w:eastAsia="Calibri" w:hAnsi="Tahoma" w:cs="Tahoma"/>
          <w:sz w:val="22"/>
          <w:szCs w:val="22"/>
        </w:rPr>
      </w:pPr>
      <w:r w:rsidRPr="00D74B21">
        <w:rPr>
          <w:rFonts w:ascii="Tahoma" w:eastAsia="Calibri" w:hAnsi="Tahoma" w:cs="Tahoma"/>
          <w:sz w:val="22"/>
          <w:szCs w:val="22"/>
        </w:rPr>
        <w:t>El Decreto Foral 40/1999, del Consejo de Diputados de 30 de marzo establece  las competencias de la Comisión Consultiva de la Administración Foral de Álava, entre las que se encuentra emitir Dictamen sobre Proyectos de disposiciones reglamentarias, que se dicten en ejecución de las Normas Forales que regulen materias de la competencia exclusiva del Territorio Histórico o en ejecución de las Leyes de la Comunidad Autónoma, en aquellas materias en que compete al Territorio Histórico el desarrollo reglamentario de las mismas.</w:t>
      </w:r>
    </w:p>
    <w:p w:rsidR="0007365F" w:rsidRPr="00D74B21" w:rsidRDefault="0007365F" w:rsidP="0007365F">
      <w:pPr>
        <w:spacing w:after="200" w:line="276" w:lineRule="auto"/>
        <w:jc w:val="both"/>
        <w:rPr>
          <w:rFonts w:ascii="Tahoma" w:eastAsia="Calibri" w:hAnsi="Tahoma" w:cs="Tahoma"/>
          <w:sz w:val="22"/>
          <w:szCs w:val="22"/>
        </w:rPr>
      </w:pPr>
      <w:bookmarkStart w:id="0" w:name="_GoBack"/>
      <w:bookmarkEnd w:id="0"/>
    </w:p>
    <w:p w:rsidR="0007365F" w:rsidRPr="00D74B21" w:rsidRDefault="0007365F" w:rsidP="0007365F">
      <w:pPr>
        <w:spacing w:line="276" w:lineRule="auto"/>
        <w:jc w:val="both"/>
        <w:rPr>
          <w:rFonts w:ascii="Tahoma" w:eastAsia="Calibri" w:hAnsi="Tahoma" w:cs="Tahoma"/>
          <w:sz w:val="22"/>
          <w:szCs w:val="22"/>
        </w:rPr>
      </w:pPr>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lastRenderedPageBreak/>
        <w:t>II.2</w:t>
      </w:r>
      <w:r>
        <w:rPr>
          <w:rFonts w:ascii="Tahoma" w:eastAsia="Calibri" w:hAnsi="Tahoma" w:cs="Tahoma"/>
          <w:b/>
          <w:sz w:val="22"/>
          <w:szCs w:val="22"/>
        </w:rPr>
        <w:t xml:space="preserve">. </w:t>
      </w:r>
      <w:r w:rsidRPr="00D74B21">
        <w:rPr>
          <w:rFonts w:ascii="Tahoma" w:eastAsia="Calibri" w:hAnsi="Tahoma" w:cs="Tahoma"/>
          <w:b/>
          <w:sz w:val="22"/>
          <w:szCs w:val="22"/>
        </w:rPr>
        <w:t>COMPETENCIA DEL TERRITORIO HISTÓRICO PARA REGULAR LA MATERIA</w:t>
      </w:r>
    </w:p>
    <w:p w:rsidR="0007365F" w:rsidRPr="00D74B21" w:rsidRDefault="0007365F" w:rsidP="0007365F">
      <w:pPr>
        <w:spacing w:after="200" w:line="276" w:lineRule="auto"/>
        <w:jc w:val="both"/>
        <w:rPr>
          <w:rFonts w:ascii="Tahoma" w:eastAsia="Calibri" w:hAnsi="Tahoma" w:cs="Tahoma"/>
          <w:sz w:val="22"/>
          <w:szCs w:val="22"/>
        </w:rPr>
      </w:pPr>
      <w:r w:rsidRPr="00D74B21">
        <w:rPr>
          <w:rFonts w:ascii="Tahoma" w:eastAsia="Calibri" w:hAnsi="Tahoma" w:cs="Tahoma"/>
          <w:sz w:val="22"/>
          <w:szCs w:val="22"/>
        </w:rPr>
        <w:t>La disposición adicional primera de la Constitución establece que la misma ampara y respeta los derechos históricos de los territorios forales y que la actualización general de dicho régimen foral se llevará a cabo, en su caso, en el marco de la Constitución y de los Estatutos de Autonomía.</w:t>
      </w:r>
    </w:p>
    <w:p w:rsidR="0007365F" w:rsidRPr="00D74B21" w:rsidRDefault="0007365F" w:rsidP="0007365F">
      <w:pPr>
        <w:spacing w:after="240" w:line="276" w:lineRule="auto"/>
        <w:jc w:val="both"/>
        <w:rPr>
          <w:rFonts w:ascii="Tahoma" w:eastAsia="Calibri" w:hAnsi="Tahoma" w:cs="Tahoma"/>
          <w:sz w:val="22"/>
          <w:szCs w:val="22"/>
        </w:rPr>
      </w:pPr>
      <w:r w:rsidRPr="00D74B21">
        <w:rPr>
          <w:rFonts w:ascii="Tahoma" w:eastAsia="Calibri" w:hAnsi="Tahoma" w:cs="Tahoma"/>
          <w:sz w:val="22"/>
          <w:szCs w:val="22"/>
        </w:rPr>
        <w:t>Por otro lado, el Estatuto de Autonomía del País Vasco, aprobado mediante Ley Orgánica 3/1979, de 18 de diciembre, dispone en su artículo 41.2.a) que “</w:t>
      </w:r>
      <w:r w:rsidRPr="00D74B21">
        <w:rPr>
          <w:rFonts w:ascii="Tahoma" w:eastAsia="Calibri" w:hAnsi="Tahoma" w:cs="Tahoma"/>
          <w:i/>
          <w:sz w:val="22"/>
          <w:szCs w:val="22"/>
        </w:rPr>
        <w:t>las instituciones competentes de los Territorios Históricos podrán mantener, establecer y regular, dentro de su territorio, el régimen tributario, atendiendo a la estructura general impositiva del Estado, a las normas que para la coordinación, armonización fiscal y colaboración con el Estado se contengan en el propio Concierto, y las que dicte el Parlamento Vasco para idénticas finalidades dentro de la Comunidad Autónoma</w:t>
      </w:r>
      <w:r w:rsidRPr="00D74B21">
        <w:rPr>
          <w:rFonts w:ascii="Tahoma" w:eastAsia="Calibri" w:hAnsi="Tahoma" w:cs="Tahoma"/>
          <w:sz w:val="22"/>
          <w:szCs w:val="22"/>
        </w:rPr>
        <w:t xml:space="preserve">”. </w:t>
      </w:r>
    </w:p>
    <w:p w:rsidR="0007365F" w:rsidRPr="00D74B21" w:rsidRDefault="0007365F" w:rsidP="0007365F">
      <w:pPr>
        <w:spacing w:after="240" w:line="276" w:lineRule="auto"/>
        <w:jc w:val="both"/>
        <w:rPr>
          <w:rFonts w:ascii="Tahoma" w:eastAsia="Calibri" w:hAnsi="Tahoma" w:cs="Tahoma"/>
          <w:sz w:val="22"/>
          <w:szCs w:val="22"/>
        </w:rPr>
      </w:pPr>
      <w:r w:rsidRPr="00D74B21">
        <w:rPr>
          <w:rFonts w:ascii="Tahoma" w:eastAsia="Calibri" w:hAnsi="Tahoma" w:cs="Tahoma"/>
          <w:sz w:val="22"/>
          <w:szCs w:val="22"/>
        </w:rPr>
        <w:t>En relación con el precepto anterior, la Ley 27/1983, de 25 de noviembre, de Relaciones entre las Instituciones Comunes de la Comunidad Autónoma y los Órganos Forales de sus Territorios Históricos, señala en su artículo 7.6 como competencia exclusiva de los Órganos Forales, “</w:t>
      </w:r>
      <w:r w:rsidRPr="00D74B21">
        <w:rPr>
          <w:rFonts w:ascii="Tahoma" w:eastAsia="Calibri" w:hAnsi="Tahoma" w:cs="Tahoma"/>
          <w:i/>
          <w:sz w:val="22"/>
          <w:szCs w:val="22"/>
        </w:rPr>
        <w:t>las establecidas en el artículo 41 del Estatuto de Autonomía y, en general, todas las que tengan atribuidas por la Ley del Concierto Económico y por otras normas y disposiciones de carácter tributario</w:t>
      </w:r>
      <w:r w:rsidRPr="00D74B21">
        <w:rPr>
          <w:rFonts w:ascii="Tahoma" w:eastAsia="Calibri" w:hAnsi="Tahoma" w:cs="Tahoma"/>
          <w:sz w:val="22"/>
          <w:szCs w:val="22"/>
        </w:rPr>
        <w:t>”.</w:t>
      </w:r>
    </w:p>
    <w:p w:rsidR="0007365F" w:rsidRPr="00D74B21" w:rsidRDefault="0007365F" w:rsidP="0007365F">
      <w:pPr>
        <w:spacing w:after="240" w:line="276" w:lineRule="auto"/>
        <w:jc w:val="both"/>
        <w:rPr>
          <w:rFonts w:ascii="Tahoma" w:eastAsia="Calibri" w:hAnsi="Tahoma" w:cs="Tahoma"/>
          <w:strike/>
          <w:sz w:val="22"/>
          <w:szCs w:val="22"/>
        </w:rPr>
      </w:pPr>
      <w:r w:rsidRPr="00D74B21">
        <w:rPr>
          <w:rFonts w:ascii="Tahoma" w:eastAsia="Calibri" w:hAnsi="Tahoma" w:cs="Tahoma"/>
          <w:sz w:val="22"/>
          <w:szCs w:val="22"/>
        </w:rPr>
        <w:t>Por su parte, el Concierto Económico suscrito entre el Estado y el País Vasco, aprobado por la Ley 12/2002, de 23 de mayo, establece en su artículo 1. Uno: “</w:t>
      </w:r>
      <w:r w:rsidRPr="00D74B21">
        <w:rPr>
          <w:rFonts w:ascii="Tahoma" w:eastAsia="Calibri" w:hAnsi="Tahoma" w:cs="Tahoma"/>
          <w:i/>
          <w:sz w:val="22"/>
          <w:szCs w:val="22"/>
        </w:rPr>
        <w:t>Las Instituciones competentes de los Territorios Históricos podrán mantener, establecer y regular, dentro de su territorio, su régimen tributario</w:t>
      </w:r>
      <w:r w:rsidRPr="00D74B21">
        <w:rPr>
          <w:rFonts w:ascii="Tahoma" w:eastAsia="Calibri" w:hAnsi="Tahoma" w:cs="Tahoma"/>
          <w:sz w:val="22"/>
          <w:szCs w:val="22"/>
        </w:rPr>
        <w:t xml:space="preserve">”.  </w:t>
      </w:r>
    </w:p>
    <w:p w:rsidR="0007365F" w:rsidRPr="00D74B21" w:rsidRDefault="0007365F" w:rsidP="0007365F">
      <w:pPr>
        <w:spacing w:after="240" w:line="276" w:lineRule="auto"/>
        <w:jc w:val="both"/>
        <w:rPr>
          <w:rFonts w:ascii="Tahoma" w:eastAsia="Calibri" w:hAnsi="Tahoma" w:cs="Tahoma"/>
          <w:sz w:val="22"/>
          <w:szCs w:val="22"/>
        </w:rPr>
      </w:pPr>
      <w:r w:rsidRPr="00D74B21">
        <w:rPr>
          <w:rFonts w:ascii="Tahoma" w:eastAsia="Calibri" w:hAnsi="Tahoma" w:cs="Tahoma"/>
          <w:sz w:val="22"/>
          <w:szCs w:val="22"/>
        </w:rPr>
        <w:t xml:space="preserve">La Norma Foral 6/2005 de 28 de febrero, General Tributaria de Álava en su artículo 17.4 define las obligaciones formales (“Son obligaciones tributarias formales las que, sin tener carácter pecuniario, son impuestas por la normativa tributaria a los obligados tributarios, deudores o no del tributo, y cuyo cumplimiento está relacionado con el desarrollo de actuaciones o procedimientos tributarios”) , considerando como tales entre otras, según el artículo  29.2 de la Norma Foral 6/2005, de 28 de febrero, </w:t>
      </w:r>
    </w:p>
    <w:p w:rsidR="0007365F" w:rsidRPr="00D74B21" w:rsidRDefault="0007365F" w:rsidP="0007365F">
      <w:pPr>
        <w:spacing w:after="240" w:line="276" w:lineRule="auto"/>
        <w:jc w:val="both"/>
        <w:rPr>
          <w:rFonts w:ascii="Tahoma" w:hAnsi="Tahoma" w:cs="Tahoma"/>
          <w:i/>
          <w:iCs/>
          <w:sz w:val="22"/>
          <w:szCs w:val="22"/>
        </w:rPr>
      </w:pPr>
      <w:r w:rsidRPr="00D74B21">
        <w:rPr>
          <w:rFonts w:ascii="Tahoma" w:hAnsi="Tahoma" w:cs="Tahoma"/>
          <w:i/>
          <w:iCs/>
          <w:sz w:val="22"/>
          <w:szCs w:val="22"/>
        </w:rPr>
        <w:t>Artículo 29</w:t>
      </w:r>
      <w:r w:rsidRPr="00D74B21">
        <w:rPr>
          <w:rFonts w:ascii="Tahoma" w:hAnsi="Tahoma" w:cs="Tahoma"/>
          <w:sz w:val="22"/>
          <w:szCs w:val="22"/>
        </w:rPr>
        <w:t xml:space="preserve"> </w:t>
      </w:r>
      <w:r w:rsidRPr="00D74B21">
        <w:rPr>
          <w:rFonts w:ascii="Tahoma" w:hAnsi="Tahoma" w:cs="Tahoma"/>
          <w:i/>
          <w:iCs/>
          <w:sz w:val="22"/>
          <w:szCs w:val="22"/>
        </w:rPr>
        <w:t xml:space="preserve">Obligaciones tributarias formales </w:t>
      </w:r>
    </w:p>
    <w:p w:rsidR="0007365F" w:rsidRPr="00D74B21" w:rsidRDefault="0007365F" w:rsidP="0007365F">
      <w:pPr>
        <w:spacing w:before="100" w:beforeAutospacing="1" w:after="100" w:afterAutospacing="1"/>
        <w:rPr>
          <w:rFonts w:ascii="Tahoma" w:hAnsi="Tahoma" w:cs="Tahoma"/>
          <w:b/>
          <w:bCs/>
          <w:sz w:val="22"/>
          <w:szCs w:val="22"/>
        </w:rPr>
      </w:pPr>
      <w:r w:rsidRPr="00D74B21">
        <w:rPr>
          <w:rFonts w:ascii="Tahoma" w:hAnsi="Tahoma" w:cs="Tahoma"/>
          <w:b/>
          <w:bCs/>
          <w:sz w:val="22"/>
          <w:szCs w:val="22"/>
        </w:rPr>
        <w:t>…//…</w:t>
      </w:r>
    </w:p>
    <w:p w:rsidR="0007365F" w:rsidRPr="00D74B21" w:rsidRDefault="0007365F" w:rsidP="0007365F">
      <w:pPr>
        <w:spacing w:before="100" w:beforeAutospacing="1" w:after="100" w:afterAutospacing="1"/>
        <w:jc w:val="both"/>
        <w:rPr>
          <w:rFonts w:ascii="Tahoma" w:eastAsia="Calibri" w:hAnsi="Tahoma" w:cs="Tahoma"/>
          <w:sz w:val="22"/>
          <w:szCs w:val="22"/>
        </w:rPr>
      </w:pPr>
      <w:r w:rsidRPr="00D74B21">
        <w:rPr>
          <w:rFonts w:ascii="Tahoma" w:eastAsia="Calibri" w:hAnsi="Tahoma" w:cs="Tahoma"/>
          <w:sz w:val="22"/>
          <w:szCs w:val="22"/>
        </w:rPr>
        <w:t>2. Además de las restantes que puedan establecerse, los obligados tributarios deberán cumplir las siguientes obligaciones:</w:t>
      </w:r>
    </w:p>
    <w:p w:rsidR="0007365F" w:rsidRPr="00D74B21" w:rsidRDefault="0007365F" w:rsidP="0007365F">
      <w:pPr>
        <w:spacing w:after="240" w:line="276" w:lineRule="auto"/>
        <w:jc w:val="both"/>
        <w:rPr>
          <w:rFonts w:ascii="Tahoma" w:eastAsia="Calibri" w:hAnsi="Tahoma" w:cs="Tahoma"/>
          <w:sz w:val="22"/>
          <w:szCs w:val="22"/>
        </w:rPr>
      </w:pPr>
      <w:r w:rsidRPr="00D74B21">
        <w:rPr>
          <w:rFonts w:ascii="Tahoma" w:eastAsia="Calibri" w:hAnsi="Tahoma" w:cs="Tahoma"/>
          <w:sz w:val="22"/>
          <w:szCs w:val="22"/>
        </w:rPr>
        <w:t>…//…</w:t>
      </w:r>
    </w:p>
    <w:p w:rsidR="0007365F" w:rsidRPr="00D74B21" w:rsidRDefault="0007365F" w:rsidP="0007365F">
      <w:pPr>
        <w:spacing w:before="100" w:beforeAutospacing="1" w:after="100" w:afterAutospacing="1" w:line="276" w:lineRule="auto"/>
        <w:jc w:val="both"/>
        <w:rPr>
          <w:rFonts w:ascii="Tahoma" w:eastAsia="Calibri" w:hAnsi="Tahoma" w:cs="Tahoma"/>
          <w:sz w:val="22"/>
          <w:szCs w:val="22"/>
        </w:rPr>
      </w:pPr>
      <w:r>
        <w:rPr>
          <w:rFonts w:ascii="Tahoma" w:eastAsia="Calibri" w:hAnsi="Tahoma" w:cs="Tahoma"/>
          <w:sz w:val="22"/>
          <w:szCs w:val="22"/>
        </w:rPr>
        <w:t xml:space="preserve"> </w:t>
      </w:r>
      <w:r w:rsidRPr="00D74B21">
        <w:rPr>
          <w:rFonts w:ascii="Tahoma" w:eastAsia="Calibri" w:hAnsi="Tahoma" w:cs="Tahoma"/>
          <w:sz w:val="22"/>
          <w:szCs w:val="22"/>
        </w:rPr>
        <w:t>c) La obligación de presentar declaraciones y autoliquidaciones.</w:t>
      </w:r>
    </w:p>
    <w:p w:rsidR="0007365F" w:rsidRPr="00D74B21" w:rsidRDefault="0007365F" w:rsidP="0007365F">
      <w:pPr>
        <w:spacing w:before="100" w:beforeAutospacing="1" w:after="100" w:afterAutospacing="1" w:line="276" w:lineRule="auto"/>
        <w:jc w:val="both"/>
        <w:rPr>
          <w:rFonts w:ascii="Tahoma" w:eastAsia="Calibri" w:hAnsi="Tahoma" w:cs="Tahoma"/>
          <w:sz w:val="22"/>
          <w:szCs w:val="22"/>
        </w:rPr>
      </w:pPr>
      <w:r>
        <w:rPr>
          <w:rFonts w:ascii="Tahoma" w:eastAsia="Calibri" w:hAnsi="Tahoma" w:cs="Tahoma"/>
          <w:sz w:val="22"/>
          <w:szCs w:val="22"/>
        </w:rPr>
        <w:lastRenderedPageBreak/>
        <w:t xml:space="preserve"> </w:t>
      </w:r>
      <w:r w:rsidRPr="00D74B21">
        <w:rPr>
          <w:rFonts w:ascii="Tahoma" w:eastAsia="Calibri" w:hAnsi="Tahoma" w:cs="Tahoma"/>
          <w:sz w:val="22"/>
          <w:szCs w:val="22"/>
        </w:rPr>
        <w:t xml:space="preserve">d) La obligación de llevar y conservar libros de contabilidad y registros, así como los programas, ficheros y archivos informáticos que les sirvan de soporte y los sistemas de codificación </w:t>
      </w:r>
      <w:proofErr w:type="gramStart"/>
      <w:r w:rsidRPr="00D74B21">
        <w:rPr>
          <w:rFonts w:ascii="Tahoma" w:eastAsia="Calibri" w:hAnsi="Tahoma" w:cs="Tahoma"/>
          <w:sz w:val="22"/>
          <w:szCs w:val="22"/>
        </w:rPr>
        <w:t>utilizados …</w:t>
      </w:r>
      <w:proofErr w:type="gramEnd"/>
      <w:r w:rsidRPr="00D74B21">
        <w:rPr>
          <w:rFonts w:ascii="Tahoma" w:eastAsia="Calibri" w:hAnsi="Tahoma" w:cs="Tahoma"/>
          <w:sz w:val="22"/>
          <w:szCs w:val="22"/>
        </w:rPr>
        <w:t>//…</w:t>
      </w:r>
    </w:p>
    <w:p w:rsidR="0007365F" w:rsidRPr="00D74B21" w:rsidRDefault="0007365F" w:rsidP="0007365F">
      <w:pPr>
        <w:spacing w:before="100" w:beforeAutospacing="1" w:after="100" w:afterAutospacing="1"/>
        <w:jc w:val="both"/>
        <w:rPr>
          <w:rFonts w:ascii="Tahoma" w:eastAsia="Calibri" w:hAnsi="Tahoma" w:cs="Tahoma"/>
          <w:sz w:val="22"/>
          <w:szCs w:val="22"/>
        </w:rPr>
      </w:pPr>
      <w:r w:rsidRPr="00D74B21">
        <w:rPr>
          <w:rFonts w:ascii="Tahoma" w:eastAsia="Calibri" w:hAnsi="Tahoma" w:cs="Tahoma"/>
          <w:sz w:val="22"/>
          <w:szCs w:val="22"/>
        </w:rPr>
        <w:t>En todo caso, los obligados tributarios que deban presentar autoliquidaciones o declaraciones por medios telemáticos deberán conservar copia de los programas, ficheros y archivos generados que contengan los datos originarios de los que deriven los estados contables y las autoliquidaciones o declaraciones presentadas.</w:t>
      </w:r>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t>II.3</w:t>
      </w:r>
      <w:r>
        <w:rPr>
          <w:rFonts w:ascii="Tahoma" w:eastAsia="Calibri" w:hAnsi="Tahoma" w:cs="Tahoma"/>
          <w:b/>
          <w:sz w:val="22"/>
          <w:szCs w:val="22"/>
        </w:rPr>
        <w:t>.</w:t>
      </w:r>
      <w:r w:rsidRPr="00D74B21">
        <w:rPr>
          <w:rFonts w:ascii="Tahoma" w:eastAsia="Calibri" w:hAnsi="Tahoma" w:cs="Tahoma"/>
          <w:b/>
          <w:sz w:val="22"/>
          <w:szCs w:val="22"/>
        </w:rPr>
        <w:t xml:space="preserve"> COMPETENCIA ORGANICA Y HABILITACION NORMATIVA</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El artículo 15 de la Norma Foral, de 7 de marzo de 1983, sobre organización institucional del Territorio Histórico de Álava establece que corresponde a la Diputación Foral, como órgano colegiado ejercitar la potestad reglamentaria con arreglo a la ley y ejercer la potestad normativa y de desarrollo normativo de conformidad con las leyes de la Comunidad Autónoma o del Estado, y en los supuestos de delegación por las Juntas Generales previstos en la normativa foral.</w:t>
      </w:r>
    </w:p>
    <w:p w:rsidR="0007365F" w:rsidRPr="00D74B21" w:rsidRDefault="0007365F" w:rsidP="0007365F">
      <w:pPr>
        <w:spacing w:after="240" w:line="276" w:lineRule="auto"/>
        <w:jc w:val="both"/>
        <w:rPr>
          <w:rFonts w:ascii="Tahoma" w:eastAsia="Tahoma" w:hAnsi="Tahoma" w:cs="Tahoma"/>
          <w:i/>
          <w:sz w:val="22"/>
          <w:szCs w:val="22"/>
        </w:rPr>
      </w:pPr>
      <w:r w:rsidRPr="00D74B21">
        <w:rPr>
          <w:rFonts w:ascii="Tahoma" w:eastAsia="Tahoma" w:hAnsi="Tahoma" w:cs="Tahoma"/>
          <w:sz w:val="22"/>
          <w:szCs w:val="22"/>
        </w:rPr>
        <w:t>Por su parte, el artículo 7.2 de la Norma Foral 52/92, de 18 de diciembre, de Organización, Funcionamiento y Régimen Jurídico de la Diputación Foral de Álava establece que, en el ejercicio de la potestad reglamentaria, corresponde al Consejo de Diputados ... ”</w:t>
      </w:r>
      <w:r w:rsidRPr="00D74B21">
        <w:rPr>
          <w:rFonts w:ascii="Tahoma" w:eastAsia="Tahoma" w:hAnsi="Tahoma" w:cs="Tahoma"/>
          <w:i/>
          <w:sz w:val="22"/>
          <w:szCs w:val="22"/>
        </w:rPr>
        <w:t>aprobar, mediante Decretos Forales, Reglamentos de ejecución y desarrollo de las Normas Forales...”.</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 xml:space="preserve">El artículo 4.1 de la Norma 6/2005, de 28 de febrero, Foral General Tributaria de Álava, atribuye a la Diputación Foral de Álava la potestad reglamentaria para el desarrollo de las normas tributarias, sin perjuicio de las facultades que corresponden a las Entidades Locales en relación con las Ordenanzas fiscales reguladoras de los tributos locales. </w:t>
      </w:r>
    </w:p>
    <w:p w:rsidR="0007365F" w:rsidRPr="00D74B21" w:rsidRDefault="0007365F" w:rsidP="0007365F">
      <w:pPr>
        <w:spacing w:after="240" w:line="276" w:lineRule="auto"/>
        <w:jc w:val="both"/>
        <w:rPr>
          <w:rFonts w:ascii="Tahoma" w:hAnsi="Tahoma" w:cs="Tahoma"/>
          <w:i/>
          <w:sz w:val="22"/>
          <w:szCs w:val="22"/>
        </w:rPr>
      </w:pPr>
      <w:r w:rsidRPr="00D74B21">
        <w:rPr>
          <w:rFonts w:ascii="Tahoma" w:eastAsia="Tahoma" w:hAnsi="Tahoma" w:cs="Tahoma"/>
          <w:sz w:val="22"/>
          <w:szCs w:val="22"/>
        </w:rPr>
        <w:t>La Disposición adicional  d</w:t>
      </w:r>
      <w:r w:rsidRPr="00D74B21">
        <w:rPr>
          <w:rFonts w:ascii="Tahoma" w:eastAsia="Tahoma" w:hAnsi="Tahoma" w:cs="Tahoma"/>
          <w:iCs/>
          <w:sz w:val="22"/>
          <w:szCs w:val="22"/>
        </w:rPr>
        <w:t>ecimoctava de la Norma Foral 6/2005, de 28 de febrero, en cuanto a la</w:t>
      </w:r>
      <w:r w:rsidRPr="00D74B21">
        <w:rPr>
          <w:rFonts w:ascii="Tahoma" w:eastAsia="Tahoma" w:hAnsi="Tahoma" w:cs="Tahoma"/>
          <w:sz w:val="22"/>
          <w:szCs w:val="22"/>
        </w:rPr>
        <w:t xml:space="preserve"> Habilitación normativa, dispone que  </w:t>
      </w:r>
      <w:r w:rsidRPr="00D74B21">
        <w:rPr>
          <w:rFonts w:ascii="Tahoma" w:hAnsi="Tahoma" w:cs="Tahoma"/>
          <w:i/>
          <w:sz w:val="22"/>
          <w:szCs w:val="22"/>
        </w:rPr>
        <w:t>La Diputación Foral dictará cuantas disposiciones sean necesarias para el desarrollo y aplicación de esta Norma Foral.</w:t>
      </w:r>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t>II.4</w:t>
      </w:r>
      <w:r>
        <w:rPr>
          <w:rFonts w:ascii="Tahoma" w:eastAsia="Calibri" w:hAnsi="Tahoma" w:cs="Tahoma"/>
          <w:b/>
          <w:sz w:val="22"/>
          <w:szCs w:val="22"/>
        </w:rPr>
        <w:t>.</w:t>
      </w:r>
      <w:r w:rsidRPr="00D74B21">
        <w:rPr>
          <w:rFonts w:ascii="Tahoma" w:eastAsia="Calibri" w:hAnsi="Tahoma" w:cs="Tahoma"/>
          <w:b/>
          <w:sz w:val="22"/>
          <w:szCs w:val="22"/>
        </w:rPr>
        <w:t xml:space="preserve"> PROCEDIMIENTO </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La tramitación del procedimiento se ha ajustado a las normas vigentes relativas a la elaboración de disposiciones generales, en cuanto al órgano competente para formular la propuesta, la emisión de los informes de impacto normativo y de evaluación previa de impacto en función del género, la solicitud de consulta a la Comisión Consultiva y el órgano competente para su aprobación.</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En particular, en atención a lo señalado en el artículo 9 del Decreto Foral 29/2017, del Consejo de Gobierno Foral de 23 de mayo, se ha llevado a cabo la consulta pública previa del avance del proyecto del Decreto Foral, constando en el expediente la memoria de fecha 29 de octubre de 2018 que no se han registrado propuestas u observaciones que deban ser valoradas para la redacción de la disposición normativa.</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lastRenderedPageBreak/>
        <w:t>Por otra parte, el informe de 15 de noviembre de 2018 del Servicio de Normativa Tributaria afirma que la disposición evaluada carece de relevancia desde el punto de vista del género y ha sido ratificado por el Servicio de Igualdad de esta Diputación Foral mediante informe de fecha 20 de noviembre de 2018.</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Por último, a la vista de lo señalado en el artículo 13 del Decreto Foral 29/2017, del Consejo de Gobierno Foral de 23 de mayo, se ha llevado a cabo el trámite de audiencia e información pública  del avance del proyecto de Decreto Foral por medios telemáticos a través de la web de la Diputación Foral de Álava, constando en el expediente la memoria sobre los resultados de este trámite, de fecha 10 de diciembre de 2018, en la que consta que no se han registrado propuestas u observaciones que deban ser valoradas para la redacción de la disposición normativa.</w:t>
      </w:r>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t>III- CONTENIDO DEL PROYECTO</w:t>
      </w:r>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t>IIII.1</w:t>
      </w:r>
      <w:r>
        <w:rPr>
          <w:rFonts w:ascii="Tahoma" w:eastAsia="Calibri" w:hAnsi="Tahoma" w:cs="Tahoma"/>
          <w:b/>
          <w:sz w:val="22"/>
          <w:szCs w:val="22"/>
        </w:rPr>
        <w:t>.</w:t>
      </w:r>
      <w:r w:rsidRPr="00D74B21">
        <w:rPr>
          <w:rFonts w:ascii="Tahoma" w:eastAsia="Calibri" w:hAnsi="Tahoma" w:cs="Tahoma"/>
          <w:b/>
          <w:sz w:val="22"/>
          <w:szCs w:val="22"/>
        </w:rPr>
        <w:t xml:space="preserve"> ESTRUCTURA DEL DECRETO FORAL.</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El proyecto de Decreto Foral consta de una exposición de motivos, una parte dispositiva de un único artículo con cinco apartados, una disposición derogatoria y la disposición final sobre la entrada en vigor.</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Las modificaciones planteadas afectan exclusivamente al Decreto Foral 110/2008, de 23 de diciembre.</w:t>
      </w:r>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t xml:space="preserve">III.2. ANÁLISIS DE LA PROPUESTA NORMATIVA </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El proyecto de Decreto Foral modifica la redacción anterior del Decreto Foral 110/2008, de 23 de diciembre que regula las condiciones y requisitos generales para la presentación de declaraciones y autoliquidaciones por vía telemática ante la Hacienda Foral.  Así pues,  se trata de la regulación de obligaciones formales en relación con la gestión de los tributos.</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 xml:space="preserve">Las modificaciones introducidas son de carácter técnico y de actualización de conceptos introducidos por decretos forales posteriores, en concreto, Decreto Foral 26/2011, del Consejo de Diputados de 5 de abril, que crea la sede electrónica de esta Diputación Foral y Decreto Foral 74/2011, del Consejo de Diputados de 29 de noviembre, que modifica el Decreto Foral 26/2011, de 5 de abril, de creación de la sede electrónica de esta Diputación Foral.  En relación con ellos se introducen modificaciones de expresiones: </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 xml:space="preserve">Sustitución de www.alava.net por </w:t>
      </w:r>
      <w:hyperlink r:id="rId5">
        <w:r w:rsidRPr="00D74B21">
          <w:rPr>
            <w:rFonts w:ascii="Tahoma" w:eastAsia="Tahoma" w:hAnsi="Tahoma" w:cs="Tahoma"/>
            <w:sz w:val="22"/>
            <w:szCs w:val="22"/>
          </w:rPr>
          <w:t>www.araba.eus</w:t>
        </w:r>
      </w:hyperlink>
      <w:r w:rsidRPr="00D74B21">
        <w:rPr>
          <w:rFonts w:ascii="Tahoma" w:eastAsia="Tahoma" w:hAnsi="Tahoma" w:cs="Tahoma"/>
          <w:sz w:val="22"/>
          <w:szCs w:val="22"/>
        </w:rPr>
        <w:t xml:space="preserve">  en cuatro ocasiones, así como Sustitución de </w:t>
      </w:r>
      <w:proofErr w:type="spellStart"/>
      <w:r w:rsidRPr="00D74B21">
        <w:rPr>
          <w:rFonts w:ascii="Tahoma" w:eastAsia="Tahoma" w:hAnsi="Tahoma" w:cs="Tahoma"/>
          <w:sz w:val="22"/>
          <w:szCs w:val="22"/>
        </w:rPr>
        <w:t>diputaciondigital</w:t>
      </w:r>
      <w:proofErr w:type="spellEnd"/>
      <w:r w:rsidRPr="00D74B21">
        <w:rPr>
          <w:rFonts w:ascii="Tahoma" w:eastAsia="Tahoma" w:hAnsi="Tahoma" w:cs="Tahoma"/>
          <w:sz w:val="22"/>
          <w:szCs w:val="22"/>
        </w:rPr>
        <w:t xml:space="preserve"> por referencias a la sede electrónica de la Diputación Foral de Álava, tres veces.</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 xml:space="preserve">En este contexto de actualización de expresiones y conceptos, llama la atención el mantenimiento de la expresión “profesional” en el nuevo texto para referirse a "las personas naturales o jurídicas a las que se refiere el artículo 3 del Decreto Foral 50/2001, de 10 de abril de 2001, que figuren de alta en el Registro de Autorizaciones, </w:t>
      </w:r>
      <w:r w:rsidRPr="00D74B21">
        <w:rPr>
          <w:rFonts w:ascii="Tahoma" w:eastAsia="Tahoma" w:hAnsi="Tahoma" w:cs="Tahoma"/>
          <w:sz w:val="22"/>
          <w:szCs w:val="22"/>
        </w:rPr>
        <w:lastRenderedPageBreak/>
        <w:t>dependiente del Departamento de Hacienda, Finanzas y Presupuestos”. En este sentido, debe tenerse en cuenta como más acorde la expresión de “representantes voluntarios”, concepto ya aquilatado y regulado en el Decreto Foral 15/2010, del Consejo de Diputados de 13 de abril, que regula la representación voluntaria otorgada para la realización de determinados trámites y actuaciones en materia tributaria ante la Hacienda Foral de Álava y crea el Registro de Representantes Voluntarios.  La representación voluntaria se previó con posterioridad al Decreto Foral 50/2001, de 10 de abril de 2001 en la Norma Foral 6/2005, de 28 de febrero, General Tributaria de Álava (Art. 46) y se reguló en el Decreto Foral 15/2010 mencionado.  La representación voluntaria regulada establece distintos niveles, siendo el nivel básico y general (nivel 1) el de presentar declaraciones.  De otra parte la actuación ante la administración puede verificarse  directamente por el obligado tributario o su representante, bien legal (artículo 45 de la Norma Foral 6/2005, de 28 de febrero, General Tributaria de Álava), o bien voluntario (artículo 46 de la citada Norma Foral).</w:t>
      </w:r>
    </w:p>
    <w:p w:rsidR="0007365F" w:rsidRPr="00D74B21" w:rsidRDefault="0007365F" w:rsidP="0007365F">
      <w:pPr>
        <w:spacing w:after="240" w:line="276" w:lineRule="auto"/>
        <w:jc w:val="both"/>
        <w:rPr>
          <w:rFonts w:ascii="Tahoma" w:hAnsi="Tahoma" w:cs="Tahoma"/>
          <w:sz w:val="22"/>
          <w:szCs w:val="22"/>
        </w:rPr>
      </w:pPr>
      <w:r w:rsidRPr="00D74B21">
        <w:rPr>
          <w:rFonts w:ascii="Tahoma" w:eastAsia="Tahoma" w:hAnsi="Tahoma" w:cs="Tahoma"/>
          <w:sz w:val="22"/>
          <w:szCs w:val="22"/>
        </w:rPr>
        <w:t>Así pues, parece conveniente la sustitución de la expresión “El obligado tributario, o en su caso el “profesional</w:t>
      </w:r>
      <w:proofErr w:type="gramStart"/>
      <w:r w:rsidRPr="00D74B21">
        <w:rPr>
          <w:rFonts w:ascii="Tahoma" w:eastAsia="Tahoma" w:hAnsi="Tahoma" w:cs="Tahoma"/>
          <w:sz w:val="22"/>
          <w:szCs w:val="22"/>
        </w:rPr>
        <w:t>“ por</w:t>
      </w:r>
      <w:proofErr w:type="gramEnd"/>
      <w:r w:rsidRPr="00D74B21">
        <w:rPr>
          <w:rFonts w:ascii="Tahoma" w:eastAsia="Tahoma" w:hAnsi="Tahoma" w:cs="Tahoma"/>
          <w:sz w:val="22"/>
          <w:szCs w:val="22"/>
        </w:rPr>
        <w:t xml:space="preserve"> la de “El obligado tributario, o en su caso el representante”, tanto  en la </w:t>
      </w:r>
      <w:r w:rsidRPr="00D74B21">
        <w:rPr>
          <w:rFonts w:ascii="Tahoma" w:hAnsi="Tahoma" w:cs="Tahoma"/>
          <w:sz w:val="22"/>
          <w:szCs w:val="22"/>
        </w:rPr>
        <w:t>letra a) del apartado 2 del artículo 3 del Decreto Foral 110/2008, de 23 de diciembre, cuya modificación se pretende, eliminando en consecuencia el párrafo segundo del artículo 3.2. a)  que define qué se entiende por “profesional” a los efectos de este Decreto Foral.</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hAnsi="Tahoma" w:cs="Tahoma"/>
          <w:sz w:val="22"/>
          <w:szCs w:val="22"/>
        </w:rPr>
        <w:t xml:space="preserve">De otra parte se propone la sustitución de las expresiones contenidas en los artículos 5.1 y 7 del Decreto </w:t>
      </w:r>
      <w:r w:rsidRPr="00D74B21">
        <w:rPr>
          <w:rFonts w:ascii="Tahoma" w:eastAsia="Tahoma" w:hAnsi="Tahoma" w:cs="Tahoma"/>
          <w:sz w:val="22"/>
          <w:szCs w:val="22"/>
        </w:rPr>
        <w:t>Foral 110/2008, de 23 de diciembre,  en que se menciona las expresiones “profesional” y “profesional” por la expresión “quien ostente la representación”.</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sz w:val="22"/>
          <w:szCs w:val="22"/>
        </w:rPr>
        <w:t>Otra de las modificaciones que introduce es la posibilidad de otros accesos a Diputación Digital, además del uso de certificado electrónico reconocido la posibilidad de acceso mediante aquellos sistemas alternativos autorizados por la Diputación Foral de Álava.</w:t>
      </w:r>
    </w:p>
    <w:p w:rsidR="0007365F" w:rsidRPr="00D74B21" w:rsidRDefault="0007365F" w:rsidP="0007365F">
      <w:pPr>
        <w:spacing w:after="240" w:line="276" w:lineRule="auto"/>
        <w:jc w:val="both"/>
        <w:rPr>
          <w:rFonts w:ascii="Tahoma" w:eastAsia="Tahoma" w:hAnsi="Tahoma" w:cs="Tahoma"/>
          <w:b/>
          <w:sz w:val="22"/>
          <w:szCs w:val="22"/>
        </w:rPr>
      </w:pPr>
      <w:r w:rsidRPr="00D74B21">
        <w:rPr>
          <w:rFonts w:ascii="Tahoma" w:eastAsia="Tahoma" w:hAnsi="Tahoma" w:cs="Tahoma"/>
          <w:sz w:val="22"/>
          <w:szCs w:val="22"/>
        </w:rPr>
        <w:t>Por último, se introduce el validador de ficheros directamente realizado por la Diputación Foral de Álava. Donde antes la Diputación podía autorizar la confección de las declaraciones mediante el uso de programas que permitieran  obtener un fichero con el mismo formato, características y especificaciones que el descargado desde la página web oficial de la Diputación Foral de Álava, la modificación que se introduce  consiste en que el fichero obtenido por la empresa es validado  con el programa establecido al efecto por Diputación Foral de Álava para verificar que tiene el mismo formato, características y especificaciones que el descargado desde la página web oficial de la Diputación Foral de Álava.”</w:t>
      </w:r>
      <w:bookmarkStart w:id="1" w:name="_gjdgxs" w:colFirst="0" w:colLast="0"/>
      <w:bookmarkEnd w:id="1"/>
    </w:p>
    <w:p w:rsidR="0007365F" w:rsidRPr="00D74B21" w:rsidRDefault="0007365F" w:rsidP="0007365F">
      <w:pPr>
        <w:spacing w:after="240" w:line="276" w:lineRule="auto"/>
        <w:jc w:val="both"/>
        <w:rPr>
          <w:rFonts w:ascii="Tahoma" w:eastAsia="Calibri" w:hAnsi="Tahoma" w:cs="Tahoma"/>
          <w:b/>
          <w:sz w:val="22"/>
          <w:szCs w:val="22"/>
        </w:rPr>
      </w:pPr>
      <w:r w:rsidRPr="00D74B21">
        <w:rPr>
          <w:rFonts w:ascii="Tahoma" w:eastAsia="Calibri" w:hAnsi="Tahoma" w:cs="Tahoma"/>
          <w:b/>
          <w:sz w:val="22"/>
          <w:szCs w:val="22"/>
        </w:rPr>
        <w:t>IV. CONCLUSIONES</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b/>
          <w:sz w:val="22"/>
          <w:szCs w:val="22"/>
        </w:rPr>
        <w:t xml:space="preserve">PRIMERA.- </w:t>
      </w:r>
      <w:r w:rsidRPr="00D74B21">
        <w:rPr>
          <w:rFonts w:ascii="Tahoma" w:eastAsia="Tahoma" w:hAnsi="Tahoma" w:cs="Tahoma"/>
          <w:sz w:val="22"/>
          <w:szCs w:val="22"/>
        </w:rPr>
        <w:t>El Proyecto de Decreto Foral propuesto debe ser objeto de dictamen por la Comisión Consultiva de la Administración Foral de Álava, por ser materia de competencia exclusiva del Territorio Histórico de Álava.</w:t>
      </w:r>
    </w:p>
    <w:p w:rsidR="0007365F" w:rsidRPr="00D74B21" w:rsidRDefault="0007365F" w:rsidP="0007365F">
      <w:pPr>
        <w:spacing w:after="240" w:line="276" w:lineRule="auto"/>
        <w:jc w:val="both"/>
        <w:rPr>
          <w:rFonts w:ascii="Tahoma" w:eastAsia="Tahoma" w:hAnsi="Tahoma" w:cs="Tahoma"/>
          <w:sz w:val="22"/>
          <w:szCs w:val="22"/>
        </w:rPr>
      </w:pPr>
      <w:r w:rsidRPr="00D74B21">
        <w:rPr>
          <w:rFonts w:ascii="Tahoma" w:eastAsia="Tahoma" w:hAnsi="Tahoma" w:cs="Tahoma"/>
          <w:b/>
          <w:sz w:val="22"/>
          <w:szCs w:val="22"/>
        </w:rPr>
        <w:lastRenderedPageBreak/>
        <w:t>SEGUNDA.</w:t>
      </w:r>
      <w:r w:rsidRPr="00D74B21">
        <w:rPr>
          <w:rFonts w:ascii="Tahoma" w:eastAsia="Tahoma" w:hAnsi="Tahoma" w:cs="Tahoma"/>
          <w:sz w:val="22"/>
          <w:szCs w:val="22"/>
        </w:rPr>
        <w:t>- Se proponen las modificaciones contenidas en los párrafos cuarto y quinto del apartado II.2 de este dictamen.</w:t>
      </w:r>
    </w:p>
    <w:p w:rsidR="0007365F" w:rsidRDefault="0007365F" w:rsidP="0007365F">
      <w:pPr>
        <w:spacing w:after="240" w:line="276" w:lineRule="auto"/>
        <w:jc w:val="both"/>
        <w:rPr>
          <w:rFonts w:ascii="Calibri" w:eastAsia="Tahoma" w:hAnsi="Calibri" w:cs="Calibri"/>
          <w:sz w:val="22"/>
          <w:szCs w:val="22"/>
        </w:rPr>
      </w:pPr>
      <w:r w:rsidRPr="00D74B21">
        <w:rPr>
          <w:rFonts w:ascii="Tahoma" w:eastAsia="Tahoma" w:hAnsi="Tahoma" w:cs="Tahoma"/>
          <w:b/>
          <w:sz w:val="22"/>
          <w:szCs w:val="22"/>
        </w:rPr>
        <w:t>TERCERA.-</w:t>
      </w:r>
      <w:r w:rsidRPr="00D74B21">
        <w:rPr>
          <w:rFonts w:ascii="Tahoma" w:eastAsia="Tahoma" w:hAnsi="Tahoma" w:cs="Tahoma"/>
          <w:sz w:val="22"/>
          <w:szCs w:val="22"/>
        </w:rPr>
        <w:t xml:space="preserve"> El Proyecto de Decreto Foral se adecúa al ordenamiento jurídico y se dicta dentro del marco competencial y de habilitación legal establecido en la normativa</w:t>
      </w:r>
      <w:r w:rsidRPr="00D74B21">
        <w:rPr>
          <w:rFonts w:ascii="Calibri" w:eastAsia="Tahoma" w:hAnsi="Calibri" w:cs="Calibri"/>
          <w:sz w:val="22"/>
          <w:szCs w:val="22"/>
        </w:rPr>
        <w:t>.</w:t>
      </w: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7365F" w:rsidRDefault="0007365F" w:rsidP="0007365F">
      <w:pPr>
        <w:spacing w:after="240" w:line="276" w:lineRule="auto"/>
        <w:jc w:val="both"/>
        <w:rPr>
          <w:rFonts w:ascii="Calibri" w:eastAsia="Tahoma" w:hAnsi="Calibri" w:cs="Calibri"/>
          <w:sz w:val="22"/>
          <w:szCs w:val="22"/>
        </w:rPr>
      </w:pPr>
    </w:p>
    <w:p w:rsidR="000109B2" w:rsidRDefault="0007365F"/>
    <w:sectPr w:rsidR="000109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65F"/>
    <w:rsid w:val="0007365F"/>
    <w:rsid w:val="009A68E6"/>
    <w:rsid w:val="009C21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65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semiHidden/>
    <w:rsid w:val="0007365F"/>
    <w:pPr>
      <w:jc w:val="both"/>
    </w:pPr>
    <w:rPr>
      <w:rFonts w:ascii="Verdana" w:hAnsi="Verdana"/>
    </w:rPr>
  </w:style>
  <w:style w:type="character" w:customStyle="1" w:styleId="Textoindependiente2Car">
    <w:name w:val="Texto independiente 2 Car"/>
    <w:basedOn w:val="Fuentedeprrafopredeter"/>
    <w:link w:val="Textoindependiente2"/>
    <w:semiHidden/>
    <w:rsid w:val="0007365F"/>
    <w:rPr>
      <w:rFonts w:ascii="Verdana" w:eastAsia="Times New Roman" w:hAnsi="Verdana"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65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semiHidden/>
    <w:rsid w:val="0007365F"/>
    <w:pPr>
      <w:jc w:val="both"/>
    </w:pPr>
    <w:rPr>
      <w:rFonts w:ascii="Verdana" w:hAnsi="Verdana"/>
    </w:rPr>
  </w:style>
  <w:style w:type="character" w:customStyle="1" w:styleId="Textoindependiente2Car">
    <w:name w:val="Texto independiente 2 Car"/>
    <w:basedOn w:val="Fuentedeprrafopredeter"/>
    <w:link w:val="Textoindependiente2"/>
    <w:semiHidden/>
    <w:rsid w:val="0007365F"/>
    <w:rPr>
      <w:rFonts w:ascii="Verdana" w:eastAsia="Times New Roman" w:hAnsi="Verdana"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raba.eu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2100</Words>
  <Characters>11556</Characters>
  <Application>Microsoft Office Word</Application>
  <DocSecurity>0</DocSecurity>
  <Lines>96</Lines>
  <Paragraphs>27</Paragraphs>
  <ScaleCrop>false</ScaleCrop>
  <Company>DFA-AFA</Company>
  <LinksUpToDate>false</LinksUpToDate>
  <CharactersWithSpaces>13629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1</cp:revision>
  <dcterms:created xsi:type="dcterms:W3CDTF">2019-06-26T11:26:00Z</dcterms:created>
  <dcterms:modified xsi:type="dcterms:W3CDTF">2019-06-26T11:29:00Z</dcterms:modified>
</cp:coreProperties>
</file>