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2F" w:rsidRDefault="00AA612F" w:rsidP="00AA612F">
      <w:pPr>
        <w:ind w:left="284"/>
        <w:jc w:val="both"/>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ABENDUAREN 27KOA, ARABAKO LURRALDE HISTORIKOAREN 2018KO AURREKONTUEN LUZAPENA 2019KO EKITALDIAN APLIKATZEKO IRIZPIDEAK EZARTZEN DUEN FORU DEKRETUAREN PROIEKTUARI BURUZKOA</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AURREKARIAK</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Foru Dekretuaren xedea Arabako Lurralde Historikoko Ekonomia eta Aurrekontu Erregimenari buruzko abenduaren 18ko 53/92 Foru Arauaren 87. artikulua (luzapen araubidea) garatzea da. Artikulu hori arau horren III. tituluko (Arabako Lurralde Historikoaren aurrekontu orokorrak) VII. kapituluan (Aurrekontuen luzapena) dago sartuta. </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Proiektuaren hitzaurrean abenduaren 11ko 701/2018 Erabakia, Arabako Biltzar Nagusietatik Arabako Lurralde Historikoaren 2019ko Aurrekontua Gauzatzeko Foru Arau Proiektua kentzea xedatu zuena, aipatzen da. Arabako Lurralde Historikoaren 2018ko ekitaldiko aurrekontu orokorrak 2019rako automatikoki luzatzea dakar horrek. Zehazki, hau xedatzen du Foru Arauaren 30. artikuluak (indarraldia): “</w:t>
      </w:r>
      <w:r>
        <w:rPr>
          <w:rFonts w:ascii="Tahoma" w:hAnsi="Tahoma" w:cs="Tahoma"/>
          <w:i/>
          <w:iCs/>
          <w:sz w:val="22"/>
          <w:szCs w:val="22"/>
          <w:lang w:val="eu-ES"/>
        </w:rPr>
        <w:t>Aurrekontuaren ekitaldia bat etorriko da egutegiko urtearekin</w:t>
      </w:r>
      <w:r>
        <w:rPr>
          <w:rFonts w:ascii="Tahoma" w:hAnsi="Tahoma" w:cs="Tahoma"/>
          <w:sz w:val="22"/>
          <w:szCs w:val="22"/>
          <w:lang w:val="eu-ES"/>
        </w:rPr>
        <w:t>” eta, beraz, luzapena 2019ko urtarrilaren 1ean hasten da.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Halaber, abenduaren 11n Batzar Nagusien Mahaiak erabakia hartu zuen Arabako Lurralde Historikoaren 2019rako aurrekontua egikaritzeko foru arauaren proiektua kentzeari buru. Haren bidez indargabetutzat jotzen dira batzarkide taldeek aurkeztutako zuzenketak eta espedientea artxibatzen da.</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OINARRI JURIDIKOAK</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1.- BATZORDEAREN ESKUMENA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w:t>
      </w:r>
      <w:r>
        <w:rPr>
          <w:rFonts w:ascii="Tahoma" w:hAnsi="Tahoma" w:cs="Tahoma"/>
          <w:i/>
          <w:iCs/>
          <w:sz w:val="22"/>
          <w:szCs w:val="22"/>
          <w:lang w:val="eu-ES"/>
        </w:rPr>
        <w:t xml:space="preserve">araudi xedapenen proiektuak, Arabako Lurralde Historikoaren eskumen esklusibo diren gaiak arautzeko </w:t>
      </w:r>
      <w:r>
        <w:rPr>
          <w:rFonts w:ascii="Tahoma" w:hAnsi="Tahoma" w:cs="Tahoma"/>
          <w:sz w:val="22"/>
          <w:szCs w:val="22"/>
          <w:lang w:val="eu-ES"/>
        </w:rPr>
        <w:t>”.</w:t>
      </w:r>
    </w:p>
    <w:p w:rsidR="00AA612F" w:rsidRDefault="00AA612F" w:rsidP="00AA612F">
      <w:pPr>
        <w:spacing w:before="240"/>
        <w:ind w:left="284"/>
        <w:jc w:val="both"/>
        <w:rPr>
          <w:rFonts w:ascii="Tahoma" w:hAnsi="Tahoma" w:cs="Tahoma"/>
          <w:i/>
          <w:iCs/>
          <w:sz w:val="22"/>
          <w:szCs w:val="22"/>
          <w:lang w:val="eu-ES"/>
        </w:rPr>
      </w:pPr>
      <w:r>
        <w:rPr>
          <w:rFonts w:ascii="Tahoma" w:hAnsi="Tahoma" w:cs="Tahoma"/>
          <w:sz w:val="22"/>
          <w:szCs w:val="22"/>
          <w:lang w:val="eu-ES"/>
        </w:rPr>
        <w:t>Proiektua Arabako Lurralde Historikoaren eskumen esklusibo den gai bati buruzkoa da; izan ere, Autonomia Estatutuaren 37.3 artikuluaren arabera, lurraldeetako foru organoek “</w:t>
      </w:r>
      <w:r>
        <w:rPr>
          <w:rFonts w:ascii="Tahoma" w:hAnsi="Tahoma" w:cs="Tahoma"/>
          <w:i/>
          <w:iCs/>
          <w:sz w:val="22"/>
          <w:szCs w:val="22"/>
          <w:lang w:val="eu-ES"/>
        </w:rPr>
        <w:t>Nolanahi ere, konpetentzia esklusiboak izango dituzte, bakoitzak bere lurraldean, ondoko gai hauei dagokienez:</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b) Beren presupostuen prestaketa eta onarpena</w:t>
      </w:r>
      <w:r>
        <w:rPr>
          <w:rFonts w:ascii="Tahoma" w:hAnsi="Tahoma" w:cs="Tahoma"/>
          <w:sz w:val="22"/>
          <w:szCs w:val="22"/>
          <w:lang w:val="eu-ES"/>
        </w:rPr>
        <w:t>”.</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Halaber, 27/1983 Legeak, azaroaren 25ekoak, Autonomia-Elkarte osorako erakundeen eta bertako kondaira-lurraldeetako foruzko ihardutze-erakundeen arteko harremanei</w:t>
      </w:r>
      <w:r>
        <w:rPr>
          <w:lang w:val="eu-ES"/>
        </w:rPr>
        <w:t xml:space="preserve"> </w:t>
      </w:r>
      <w:r>
        <w:rPr>
          <w:rFonts w:ascii="Tahoma" w:hAnsi="Tahoma" w:cs="Tahoma"/>
          <w:sz w:val="22"/>
          <w:szCs w:val="22"/>
          <w:lang w:val="eu-ES"/>
        </w:rPr>
        <w:t>buruzkoak, 7.a.4 artikuluan jasotakoaren arabera:</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a) Kondaira Lurraldeetako Foru Erakundeek, bakoitzaren berarizko lege jaurpideen arauera erabiliko duten bakarreango agintepidea izango dute honako gai hauetan:</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lastRenderedPageBreak/>
        <w:t>4.- Bere Diruegitamuak eta Kontuak gertatzea eta ontzat ematea, eta bai mailegu eta dirubidetza-eragiketak ere, Lege honen II Idazpuruari darizkion modutan.</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Eta Lege horren 8.1.a artikuluak hau xedatzen du:</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1.- Kondaira Lurraldeen bakarreango agintepide izan daitezen gaietan, honako aginte hauek dagozkie Kondaira Lurraldeei:</w:t>
      </w:r>
    </w:p>
    <w:p w:rsidR="00AA612F" w:rsidRDefault="00AA612F" w:rsidP="00AA612F">
      <w:pPr>
        <w:spacing w:before="240"/>
        <w:ind w:left="284"/>
        <w:jc w:val="both"/>
        <w:rPr>
          <w:rFonts w:ascii="Tahoma" w:hAnsi="Tahoma" w:cs="Tahoma"/>
          <w:lang w:val="eu-ES"/>
        </w:rPr>
      </w:pPr>
      <w:r>
        <w:rPr>
          <w:rFonts w:ascii="Tahoma" w:hAnsi="Tahoma" w:cs="Tahoma"/>
          <w:i/>
          <w:iCs/>
          <w:sz w:val="22"/>
          <w:szCs w:val="22"/>
          <w:lang w:val="eu-ES"/>
        </w:rPr>
        <w:t xml:space="preserve">a) Araupidetza, Foru Erakundeek emandako araupideak beste edozeinekiko lehentasunez erabiliz. </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b) Araudigintza.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Azkenik, esan behar da abenduaren 18ko 53/92 Foru Arauak, Arabako Lurralde Historikoko Ekonomia eta Aurrekontu Erregimenari buruzkoak, hau xedatzen duela azken xedapenetan lehenengoan (Foru Arauaren arautegiaren garapena): “</w:t>
      </w:r>
      <w:r>
        <w:rPr>
          <w:rFonts w:ascii="Tahoma" w:hAnsi="Tahoma" w:cs="Tahoma"/>
          <w:i/>
          <w:iCs/>
          <w:sz w:val="22"/>
          <w:szCs w:val="22"/>
          <w:lang w:val="eu-ES"/>
        </w:rPr>
        <w:t>Diputatuen Kontseilua gaitzen da foru arau hau garatu eta gauzatzeko behar diren xedapen guztiak eman ditzan</w:t>
      </w:r>
      <w:r>
        <w:rPr>
          <w:rFonts w:ascii="Tahoma" w:hAnsi="Tahoma" w:cs="Tahoma"/>
          <w:sz w:val="22"/>
          <w:szCs w:val="22"/>
          <w:lang w:val="eu-ES"/>
        </w:rPr>
        <w:t>”.</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Horregatik, proposatzen den arautegiko arauketak, lurralde historikoaren eskumen esklusiboa den gai bat arautzean, Arabako Foru Administrazioko Aholku Batzordearen irizpena behar du.</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2.- PROZEDURA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Izapidetzearen prozedura Foru Gobernu Kontseiluaren maiatzaren 23ko 29/2017 Foru Dekretura egokitu da. Foru Dekretu horren bidez, onarpena ematen zaie xedapen orokorrak egiteko prozedurari, arau eraginari eta genero eraginari buruzko txostenak egiteko gidei eta araugintza teknikari buruzko jarraibideei.</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Zehazki, arloa dela eta eskudun den saileko titularraren prozedura hasteko eta testu arauemailea onartzeko ebazpenei, arau eraginari eta genero inpaktuaren aurreko ebaluazioari buruzko txostenak emateari (Berdintasun Zerbitzuak egiaztatuta bigarrena), eta Aholku Batzorde honi irizpena eskatzeari dagokienez.</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Proiektua onartzeko eskumen organikoa, bestalde, Foru Gobernu Kontseiluari dagokio, abenduaren 18ko 52/1992 Foru Arauak, Arabako Foru Aldundiaren Antolaketa, Funtzionamendua eta Araubide Juridikoari buruzkoak, 7.2 artikuluan xedatutakoaren arabera, zeinak organo horri ematen baitio ardura foru arauak garatzeko arautegiak onartzeko, baita 53/92 Foru Arauaren azken xedapenetan lehenengoan xedatutakoaren arabera ere.</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Bestalde, Aholku Batzorde honek premiaz izapidetzeko, betetzat jo behar da 40/1999 Foru Dekretuaren 20. artikuluak xedatutakoa. Hau xedatzen du: “</w:t>
      </w:r>
      <w:r>
        <w:rPr>
          <w:rFonts w:ascii="Tahoma" w:hAnsi="Tahoma" w:cs="Tahoma"/>
          <w:i/>
          <w:iCs/>
          <w:sz w:val="22"/>
          <w:szCs w:val="22"/>
          <w:lang w:val="eu-ES"/>
        </w:rPr>
        <w:t>Kontsulta premiatasunez egiten denean, gehienezko epea hamabost egunekoa izango da irizpena emateko. Premiatasuna diputatu nagusiak neurtuko du edozein kasutan, kontsulta egiten duen organoak horretarako egindako proposamen motibatua ikusirik</w:t>
      </w:r>
      <w:r>
        <w:rPr>
          <w:rFonts w:ascii="Tahoma" w:hAnsi="Tahoma" w:cs="Tahoma"/>
          <w:sz w:val="22"/>
          <w:szCs w:val="22"/>
          <w:lang w:val="eu-ES"/>
        </w:rPr>
        <w:t>”. Ez da izapidetu arrazoitutako proposamena baina nabarmena da Foru Gobernuak aurrekontu proiektua kendu zuen dataren eta luzapen aldiaren hasieraren artean kontsulta premiaz baino ezin dela izapidetu Aholku Batzordearen aurrean.</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Azkenik, aurreko kontsulta publikoaren izapideari dagokionez, hau dio 29/2017 Foru Dekretuaren 10. artikuluak: “</w:t>
      </w:r>
      <w:r>
        <w:rPr>
          <w:rFonts w:ascii="Tahoma" w:hAnsi="Tahoma" w:cs="Tahoma"/>
          <w:i/>
          <w:iCs/>
          <w:sz w:val="22"/>
          <w:szCs w:val="22"/>
          <w:lang w:val="eu-ES"/>
        </w:rPr>
        <w:t xml:space="preserve">Izaera orokorreko xedapenak egiteko prozeduretan, honako </w:t>
      </w:r>
      <w:r>
        <w:rPr>
          <w:rFonts w:ascii="Tahoma" w:hAnsi="Tahoma" w:cs="Tahoma"/>
          <w:i/>
          <w:iCs/>
          <w:sz w:val="22"/>
          <w:szCs w:val="22"/>
          <w:lang w:val="eu-ES"/>
        </w:rPr>
        <w:lastRenderedPageBreak/>
        <w:t xml:space="preserve">kasu hauetan ez da egingo aurretiazko kontsulta publikoaren izapidea, aurreko artikuluan aipatutakoa: a) Xedapenek </w:t>
      </w:r>
      <w:r>
        <w:rPr>
          <w:rFonts w:ascii="Tahoma" w:hAnsi="Tahoma" w:cs="Tahoma"/>
          <w:b/>
          <w:bCs/>
          <w:i/>
          <w:iCs/>
          <w:sz w:val="22"/>
          <w:szCs w:val="22"/>
          <w:lang w:val="eu-ES"/>
        </w:rPr>
        <w:t xml:space="preserve">aurrekontuei </w:t>
      </w:r>
      <w:r>
        <w:rPr>
          <w:rFonts w:ascii="Tahoma" w:hAnsi="Tahoma" w:cs="Tahoma"/>
          <w:i/>
          <w:iCs/>
          <w:sz w:val="22"/>
          <w:szCs w:val="22"/>
          <w:lang w:val="eu-ES"/>
        </w:rPr>
        <w:t xml:space="preserve">edo antolaketari </w:t>
      </w:r>
      <w:r>
        <w:rPr>
          <w:rFonts w:ascii="Tahoma" w:hAnsi="Tahoma" w:cs="Tahoma"/>
          <w:b/>
          <w:bCs/>
          <w:i/>
          <w:iCs/>
          <w:sz w:val="22"/>
          <w:szCs w:val="22"/>
          <w:lang w:val="eu-ES"/>
        </w:rPr>
        <w:t>buruzko arauak</w:t>
      </w:r>
      <w:r>
        <w:rPr>
          <w:rFonts w:ascii="Tahoma" w:hAnsi="Tahoma" w:cs="Tahoma"/>
          <w:i/>
          <w:iCs/>
          <w:sz w:val="22"/>
          <w:szCs w:val="22"/>
          <w:lang w:val="eu-ES"/>
        </w:rPr>
        <w:t xml:space="preserve"> ezartzen dituztenean</w:t>
      </w:r>
      <w:r>
        <w:rPr>
          <w:rFonts w:ascii="Tahoma" w:hAnsi="Tahoma" w:cs="Tahoma"/>
          <w:sz w:val="22"/>
          <w:szCs w:val="22"/>
          <w:lang w:val="eu-ES"/>
        </w:rPr>
        <w:t>...”. Eta entzunaldiaren eta jendaurreko informazioaren izapideari dagokionez, hau xedatzen du Foru Dekretu horren 13.4 artikulua: “</w:t>
      </w:r>
      <w:r>
        <w:rPr>
          <w:rFonts w:ascii="Tahoma" w:hAnsi="Tahoma" w:cs="Tahoma"/>
          <w:i/>
          <w:iCs/>
          <w:sz w:val="22"/>
          <w:szCs w:val="22"/>
          <w:lang w:val="eu-ES"/>
        </w:rPr>
        <w:t xml:space="preserve">Araugintzako proiektuak eta aurreproiektuak entzunaldiaren eta jendaurreko informazioaren izapidea egin beharretik salbuetsiko dira </w:t>
      </w:r>
      <w:r>
        <w:rPr>
          <w:rFonts w:ascii="Tahoma" w:hAnsi="Tahoma" w:cs="Tahoma"/>
          <w:b/>
          <w:bCs/>
          <w:i/>
          <w:iCs/>
          <w:sz w:val="22"/>
          <w:szCs w:val="22"/>
          <w:lang w:val="eu-ES"/>
        </w:rPr>
        <w:t>aurrekontuei buruzko arauenak</w:t>
      </w:r>
      <w:r>
        <w:rPr>
          <w:rFonts w:ascii="Tahoma" w:hAnsi="Tahoma" w:cs="Tahoma"/>
          <w:i/>
          <w:iCs/>
          <w:sz w:val="22"/>
          <w:szCs w:val="22"/>
          <w:lang w:val="eu-ES"/>
        </w:rPr>
        <w:t xml:space="preserve"> direnean</w:t>
      </w:r>
      <w:r>
        <w:rPr>
          <w:rFonts w:ascii="Tahoma" w:hAnsi="Tahoma" w:cs="Tahoma"/>
          <w:sz w:val="22"/>
          <w:szCs w:val="22"/>
          <w:lang w:val="eu-ES"/>
        </w:rPr>
        <w:t>”.</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Ondorioz, prozeduraren izapidetzea xedapen orokorrak egiteari buruzko indarreko arauak bete dituzte</w:t>
      </w:r>
      <w:r>
        <w:rPr>
          <w:rFonts w:ascii="Tahoma" w:hAnsi="Tahoma" w:cs="Tahoma"/>
          <w:sz w:val="22"/>
          <w:szCs w:val="22"/>
          <w:lang w:val="eu-ES"/>
        </w:rPr>
        <w:t>, proposamena egin eta hura onartzeko eskudun den organoari, txostenak emateari, eta Aholku Batzordeari kontsulta eskatzeari dagokionez. Azken izapide hori da irizpen honen xedea.</w:t>
      </w:r>
    </w:p>
    <w:p w:rsidR="00AA612F" w:rsidRDefault="00AA612F" w:rsidP="00AA612F">
      <w:pPr>
        <w:spacing w:before="240"/>
        <w:ind w:left="284"/>
        <w:jc w:val="both"/>
        <w:rPr>
          <w:rFonts w:ascii="Tahoma" w:hAnsi="Tahoma" w:cs="Tahoma"/>
          <w:b/>
          <w:bCs/>
          <w:sz w:val="22"/>
          <w:szCs w:val="22"/>
          <w:lang w:val="eu-ES"/>
        </w:rPr>
      </w:pPr>
      <w:r>
        <w:rPr>
          <w:rFonts w:ascii="Tahoma" w:hAnsi="Tahoma" w:cs="Tahoma"/>
          <w:b/>
          <w:bCs/>
          <w:sz w:val="22"/>
          <w:szCs w:val="22"/>
          <w:lang w:val="eu-ES"/>
        </w:rPr>
        <w:t>3.- LEGEZKOTASUN PRINTZIPIOA ETA PROIEKTUARN EDUKIA</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Alderdi biak aztertzen dira orain, Arabako Foru Administrazioaren Aholku Batzordea osatu eta haren arautegi organikoa onartzen duen martxoaren 30eko Diputatuen Kontseiluaren 40/1999 Foru Dekretuaren 4. artikuluan xedatutakoaren arabera. Hau dio:   </w:t>
      </w:r>
    </w:p>
    <w:p w:rsidR="00AA612F" w:rsidRDefault="00AA612F" w:rsidP="00AA612F">
      <w:pPr>
        <w:spacing w:before="240"/>
        <w:ind w:left="284"/>
        <w:jc w:val="both"/>
        <w:rPr>
          <w:rFonts w:ascii="Tahoma" w:hAnsi="Tahoma" w:cs="Tahoma"/>
          <w:lang w:val="eu-ES"/>
        </w:rPr>
      </w:pPr>
      <w:r>
        <w:rPr>
          <w:rFonts w:ascii="Tahoma" w:hAnsi="Tahoma" w:cs="Tahoma"/>
          <w:i/>
          <w:iCs/>
          <w:sz w:val="22"/>
          <w:szCs w:val="22"/>
          <w:lang w:val="eu-ES"/>
        </w:rPr>
        <w:t xml:space="preserve">Foru Administrazioaren jarduera legeari eta zuzenbideari lotzen dela bermatzea batzordeari dagokio, bere aholkularitza-eginkizunaren barruan. Bere irizpidean uzten diren egitasmo eta ekintzak ordenamendu juridikoarekin bat datozen ala ez ikusi behar du.  </w:t>
      </w:r>
    </w:p>
    <w:p w:rsidR="00AA612F" w:rsidRDefault="00AA612F" w:rsidP="00AA612F">
      <w:pPr>
        <w:spacing w:before="240"/>
        <w:ind w:left="284"/>
        <w:jc w:val="both"/>
        <w:rPr>
          <w:rFonts w:ascii="Tahoma" w:hAnsi="Tahoma" w:cs="Tahoma"/>
          <w:b/>
          <w:bCs/>
          <w:sz w:val="22"/>
          <w:szCs w:val="22"/>
          <w:lang w:val="eu-ES"/>
        </w:rPr>
      </w:pPr>
      <w:r>
        <w:rPr>
          <w:rFonts w:ascii="Tahoma" w:hAnsi="Tahoma" w:cs="Tahoma"/>
          <w:b/>
          <w:bCs/>
          <w:sz w:val="22"/>
          <w:szCs w:val="22"/>
          <w:lang w:val="eu-ES"/>
        </w:rPr>
        <w:t>a) Oro har, aurrekontuen legezkotasun printzipioari buruz.</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Aurrekontuen luzapenaren araubide juridikoa Espainiako Konstituzioaren 134.4 artikuluan dago aurreikusita, Hau xedatzen du estatuko aurrekontu orokorrei buruz: “</w:t>
      </w:r>
      <w:r>
        <w:rPr>
          <w:rFonts w:ascii="Tahoma" w:hAnsi="Tahoma" w:cs="Tahoma"/>
          <w:i/>
          <w:iCs/>
          <w:sz w:val="22"/>
          <w:szCs w:val="22"/>
          <w:lang w:val="eu-ES"/>
        </w:rPr>
        <w:t>Aurrekontuen legea kasuan kasuko ekitaldi ekonomikoaren lehen egunerako onesten ez bada, ulertuko da aurreko ekitaldiko aurrekontuak zuzenean luzatu direla, berriak onetsi arte</w:t>
      </w:r>
      <w:r>
        <w:rPr>
          <w:rFonts w:ascii="Tahoma" w:hAnsi="Tahoma" w:cs="Tahoma"/>
          <w:sz w:val="22"/>
          <w:szCs w:val="22"/>
          <w:lang w:val="eu-ES"/>
        </w:rPr>
        <w:t>”.</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Auzitegi Konstituzionalak adierazi duenez (3/2003 Epaia, 2003ko urtarrilaren 16koa, Rec. 2872/2002): “</w:t>
      </w:r>
      <w:r>
        <w:rPr>
          <w:rFonts w:ascii="Tahoma" w:hAnsi="Tahoma" w:cs="Tahoma"/>
          <w:i/>
          <w:iCs/>
          <w:sz w:val="22"/>
          <w:szCs w:val="22"/>
          <w:lang w:val="eu-ES"/>
        </w:rPr>
        <w:t>Izan ere, aztertutako Espainiako Konstituzioaren 134. artikuluaren testutik, printzipioz, bertan jasotako arauen zuzeneko xedea estatuko erakunde bat arautzea dela ondorioztatzen bada ere, halako moldez non «estatuko erakundeak arautzen dituzten Konstituzioaren manuetatik ezin zaizkien, besterik gabe, ondorioztatu, analogiaren bidez, arauak eta aplikatzeko printzipioak autonomia erakunde homologoei», argi dago Konstituzioko zenbait arau eta printzipio daudela, estatu nahiz autonomiako aurrekontu erakunde ororen predikagarri direnak. Ildo horretan, esan dugu autonomia erakundeei aplikatzen zaien arauketa –kasu honetan, Euskal Autonomia</w:t>
      </w:r>
      <w:r>
        <w:rPr>
          <w:rFonts w:ascii="Tahoma" w:hAnsi="Tahoma" w:cs="Tahoma"/>
          <w:sz w:val="22"/>
          <w:szCs w:val="22"/>
          <w:lang w:val="eu-ES"/>
        </w:rPr>
        <w:t xml:space="preserve"> </w:t>
      </w:r>
      <w:r>
        <w:rPr>
          <w:rFonts w:ascii="Tahoma" w:hAnsi="Tahoma" w:cs="Tahoma"/>
          <w:i/>
          <w:iCs/>
          <w:sz w:val="22"/>
          <w:szCs w:val="22"/>
          <w:lang w:val="eu-ES"/>
        </w:rPr>
        <w:t xml:space="preserve">Erkidegoaren aurrekontuari--, ez dela bakarri haien autonomia estatutuetan, Konstituzioaren esparruaren barruan, estatuaren eta autonomia erkidegoen eskumenak mugatzeko emandako estatuko legeetan [bereziki LOFCA] eta bereziki autonomia erkidegoei zuzendutako Konstituzioko arau eta printzipioetan jasotakoa, ezpada, «noski, estatua, zentzu zabalean ulertuta, eratzen duten botere publiko guztiei aplikatzen zaizkien Konstituzioko arau eta printzipioetan» jasotakoa ere (Auzitegi Konstituzionalaren 116/1994 Epaia, apirilaren 18koa, 5. oinarri juridikoa, Nafarroako 1985rako aurrekontu orokorrei buruzkoa; baita Auzitegi Konstituzionalaren epai hauek ere: 174/1998, uztailaren 23koa, 6. oinarri juridikoa; 130/1999, uztailaren 1ekoa, 5. oinarri juridikoa; 180/2000, ekainaren 29koa, 5. oinarri juridikoa; eta 274/2000, azaroaren 15ekoa, 5. oinarri juridikoa) </w:t>
      </w:r>
      <w:r>
        <w:rPr>
          <w:rFonts w:ascii="Tahoma" w:hAnsi="Tahoma" w:cs="Tahoma"/>
          <w:sz w:val="22"/>
          <w:szCs w:val="22"/>
          <w:lang w:val="eu-ES"/>
        </w:rPr>
        <w:t>”.</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Auzitegi Konstituzionalaren doktrinak gogoratzen duenez, aurrekontuak herritarren ordezkarien berariazko baimen bat dira, gastu publikoei berariaz dagokienez, eta </w:t>
      </w:r>
      <w:r>
        <w:rPr>
          <w:rFonts w:ascii="Tahoma" w:hAnsi="Tahoma" w:cs="Tahoma"/>
          <w:sz w:val="22"/>
          <w:szCs w:val="22"/>
          <w:lang w:val="eu-ES"/>
        </w:rPr>
        <w:lastRenderedPageBreak/>
        <w:t>egutegiko urteari buruz bakarrik, 53/1992 Foru Arauaren 27. eta 30. artikuluek ere jasotzen dutenez:</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27. artikulua.- Kontzeptua</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1.- Arabako Lurralde Historikoko Aurrekontu Orokorrak edo Arabako Aurrekontu Orokorrak Arabako Lurralde Historikoko foru sektore publikoak, ekonomi edo aurrekontu ekitaldi bakoitzean, egingo duen jarduera ekonomikoa zuzentzen duen programako erabakien multzoaren adierazpen formala dira, agiri bidez, finantza eta kontabilitate terminoetan azalduak.</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2.- Arabako Aurrekontu Orokorrak honako hauek dira:</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a) Foru Herri-Ogasuna osatzen duten Erakundeen aurrekontuak, doazkion diru-sarrera eta gastuen zerrendak dituztenak, horietan bermeak ematea eta doakion zorpetze-mugak agertu beharko direlarik.</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b) Gai honi dagokionez herri-arloko zuzenbideaz araupetzen diren Foru-Erakunde Publikoen bermeak ematearen gehienezko muga Foru-Erakunde Publikoen aldetik.</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c) Gai honi dagokionez herri-arloko zuzenbideaz araupetzen diren Foru-Erakunde Publikoen gehienezko zorpetze-muga .</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30. artikulua- Indarraldia</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Ekonomia-ekitaldia edo aurrekontuaren ekitaldia eta egutegi-urtera batera doaz</w:t>
      </w:r>
      <w:r>
        <w:rPr>
          <w:sz w:val="22"/>
          <w:szCs w:val="22"/>
          <w:lang w:val="eu-ES"/>
        </w:rPr>
        <w:t xml:space="preserve"> </w:t>
      </w:r>
      <w:r>
        <w:rPr>
          <w:rFonts w:ascii="Tahoma" w:hAnsi="Tahoma" w:cs="Tahoma"/>
          <w:i/>
          <w:iCs/>
          <w:sz w:val="22"/>
          <w:szCs w:val="22"/>
          <w:lang w:val="eu-ES"/>
        </w:rPr>
        <w:t>.</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Halaber, Foru Dekretuaren azalpenetan esaten da luzapen araubideak, alde batetik, behar adinako oreka lortu behar duela, Aurrekontua erakundeen jarduera bermatzen duen tresna gisa erabiliz eta Arabako Biltzar Nagusiak errespetatuz, ekitaldi ekonomikoko aurrekonturako kredituak baimentzeko eskumena duen erakunde gisa, eta bestetik apirilaren 27ko 2/2012 Lege Organikotik, aurrekontu egonkortasun eta finantza iraunkortasunarenetik, Arabako Foru Aldundiari aplikatu behar zaizkion manuak betez.</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53/1992 Foru Arauaren 87. artikuluak luzapenari buruzko funtsezko kontu batzuk jasotzen ditu:</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 Ekitaldi bati dagokion aurrekontua ekitaldiaren hasieran artean indarrean sartu gabe baldin badago, aurreko ekitaldikoa luzatuko da, berez eta besterik gabe, harik eta berria onartu arte.</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 Luzapenak ez die eragingo ordea luzatutako aurrekontuari dagokion ekitaldian bukatzeko diren Jardute zerbitzuetako egitasmoei dagozkien gastuetarako kredituei.</w:t>
      </w:r>
    </w:p>
    <w:p w:rsidR="00AA612F" w:rsidRDefault="00AA612F" w:rsidP="00AA612F">
      <w:pPr>
        <w:spacing w:before="240"/>
        <w:ind w:left="284"/>
        <w:jc w:val="both"/>
        <w:rPr>
          <w:rFonts w:ascii="Tahoma" w:hAnsi="Tahoma" w:cs="Tahoma"/>
          <w:lang w:val="eu-ES"/>
        </w:rPr>
      </w:pPr>
      <w:r>
        <w:rPr>
          <w:rFonts w:ascii="Tahoma" w:hAnsi="Tahoma" w:cs="Tahoma"/>
          <w:i/>
          <w:iCs/>
          <w:sz w:val="22"/>
          <w:szCs w:val="22"/>
          <w:lang w:val="eu-ES"/>
        </w:rPr>
        <w:t xml:space="preserve">- Foru Aldundiak bakar-bakarrik diru-laguntza arruntak eman eta kapitaleko eragiketak egin ditzake horiek indarrean dauden xedapen eta hitzarmenen arabera onartuta baldin badaude xedapen eta hitzarmen horietan jasotzen diren zenbateko eta baldintzekin, betiere luzatzen den ekitaldia amaitu baino lehen jasota baldin badaude eta urte bat baino lehenagorako baldin badira. </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t>- Luzatutako kredituen zenbatekoa eta luzatutako aurrekontuari dagokion ekitaldiko abenduaren 31a bitarteko diru izendapenen kopurua bat bera izango da, eta aurreko ekitaldietako eta kredituak aparte izango dira.</w:t>
      </w:r>
    </w:p>
    <w:p w:rsidR="00AA612F" w:rsidRDefault="00AA612F" w:rsidP="00AA612F">
      <w:pPr>
        <w:spacing w:before="240"/>
        <w:ind w:left="284"/>
        <w:jc w:val="both"/>
        <w:rPr>
          <w:rFonts w:ascii="Tahoma" w:hAnsi="Tahoma" w:cs="Tahoma"/>
          <w:i/>
          <w:iCs/>
          <w:sz w:val="22"/>
          <w:szCs w:val="22"/>
          <w:lang w:val="eu-ES"/>
        </w:rPr>
      </w:pPr>
      <w:r>
        <w:rPr>
          <w:rFonts w:ascii="Tahoma" w:hAnsi="Tahoma" w:cs="Tahoma"/>
          <w:i/>
          <w:iCs/>
          <w:sz w:val="22"/>
          <w:szCs w:val="22"/>
          <w:lang w:val="eu-ES"/>
        </w:rPr>
        <w:lastRenderedPageBreak/>
        <w:t>- Aurretik hitz emanda zeuden gastuak ere egin daitezke luzapenean, hitz eman zenean indarrean zeuden baimenen balditzetan. Gastu horiek egiteko muga luzapena egindako ekitaldiari dagokion hitza betetzeko behar den izango da.</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 Luzapenean transferentziak eta beste gainetiko aurrekontuetako aldaketa guztiak Foru-Arau honen bidez arautuko dira.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Artikulu hori, ordea, ez da aurrekontuaren luzapen araubidearen arauketa osoa eta, beraz, komeni da arautegiz garatzea aurrekontuak egikaritzeko esparru seguruagoa emateko.</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b) Proiektuaren eduki zehatza</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 </w:t>
      </w:r>
      <w:r>
        <w:rPr>
          <w:rFonts w:ascii="Tahoma" w:hAnsi="Tahoma" w:cs="Tahoma"/>
          <w:b/>
          <w:bCs/>
          <w:sz w:val="22"/>
          <w:szCs w:val="22"/>
          <w:lang w:val="eu-ES"/>
        </w:rPr>
        <w:t xml:space="preserve">1. artikulua (Helburua). </w:t>
      </w:r>
      <w:r>
        <w:rPr>
          <w:rFonts w:ascii="Tahoma" w:hAnsi="Tahoma" w:cs="Tahoma"/>
          <w:sz w:val="22"/>
          <w:szCs w:val="22"/>
          <w:lang w:val="eu-ES"/>
        </w:rPr>
        <w:t xml:space="preserve"> Luzapenaren ondorio nagusia eta denbora eremua mugatzen ditu, 53/1992 Foru Arauaren 87.1 eta 20. artikuluekin bat etorriz.</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Luzapena 2019ko urtarrilaren 1ean hasi eta, gertatuz gero, ekitaldi horretan aurrekontu berriak onartuta amaitzen da.</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 </w:t>
      </w:r>
      <w:r>
        <w:rPr>
          <w:rFonts w:ascii="Tahoma" w:hAnsi="Tahoma" w:cs="Tahoma"/>
          <w:b/>
          <w:bCs/>
          <w:sz w:val="22"/>
          <w:szCs w:val="22"/>
          <w:lang w:val="eu-ES"/>
        </w:rPr>
        <w:t xml:space="preserve">2. artikulua (Aurrekontu luzapenaren araubidea).  </w:t>
      </w:r>
      <w:r>
        <w:rPr>
          <w:rFonts w:ascii="Tahoma" w:hAnsi="Tahoma" w:cs="Tahoma"/>
          <w:sz w:val="22"/>
          <w:szCs w:val="22"/>
          <w:lang w:val="eu-ES"/>
        </w:rPr>
        <w:t>Hain zuzen ere luzapena arautzen duen 53/92 Foru Arauaren 87. artikulura bidali baino ez du egiten, abenduaren 22ko 21/2017 Foru Arauak, Arabako Lurralde Historikoaren 2018rako aurrekontua gauzatzekoak, xedatutakoa kaltetu gabe, hura izanik, hain zuzen ere, luzatutako aurrekontua.</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 xml:space="preserve">- </w:t>
      </w:r>
      <w:r>
        <w:rPr>
          <w:rFonts w:ascii="Tahoma" w:hAnsi="Tahoma" w:cs="Tahoma"/>
          <w:b/>
          <w:bCs/>
          <w:sz w:val="22"/>
          <w:szCs w:val="22"/>
          <w:lang w:val="eu-ES"/>
        </w:rPr>
        <w:t>3. artikulua (Aplikazio eremua).</w:t>
      </w:r>
      <w:r>
        <w:rPr>
          <w:rFonts w:ascii="Tahoma" w:hAnsi="Tahoma" w:cs="Tahoma"/>
          <w:sz w:val="22"/>
          <w:szCs w:val="22"/>
          <w:lang w:val="eu-ES"/>
        </w:rPr>
        <w:t xml:space="preserve"> Dioenez, luzapena orokorrean aplikatzen zaie, bai aldundiari, bai haren erakunde autonomoei, bai foru sozietate publikoei eta bai foru fundazioei, haientzat eta 53/1992 Foru Arauaren 47.2 artikuluan araututakoan.</w:t>
      </w:r>
    </w:p>
    <w:p w:rsidR="00AA612F" w:rsidRDefault="00AA612F" w:rsidP="00AA612F">
      <w:pPr>
        <w:spacing w:before="240"/>
        <w:ind w:left="284"/>
        <w:jc w:val="both"/>
        <w:rPr>
          <w:rFonts w:ascii="Tahoma" w:hAnsi="Tahoma" w:cs="Tahoma"/>
          <w:b/>
          <w:bCs/>
          <w:sz w:val="22"/>
          <w:szCs w:val="22"/>
          <w:lang w:val="eu-ES"/>
        </w:rPr>
      </w:pPr>
      <w:r>
        <w:rPr>
          <w:rFonts w:ascii="Tahoma" w:hAnsi="Tahoma" w:cs="Tahoma"/>
          <w:sz w:val="22"/>
          <w:szCs w:val="22"/>
          <w:lang w:val="eu-ES"/>
        </w:rPr>
        <w:t xml:space="preserve">- </w:t>
      </w:r>
      <w:r>
        <w:rPr>
          <w:rFonts w:ascii="Tahoma" w:hAnsi="Tahoma" w:cs="Tahoma"/>
          <w:b/>
          <w:bCs/>
          <w:sz w:val="22"/>
          <w:szCs w:val="22"/>
          <w:lang w:val="eu-ES"/>
        </w:rPr>
        <w:t>Hau dio 4. artikuluak (Luzatutako kredituen zehaztapena eta zenbatekoa):</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Luzatutako kredituak eta dagokien zenbatekoa Foru Gobernuaren Kontseiluak zehaztuko ditu, behar den adina aldiz, 2018ko ekitaldiko aurrekontua ixteko eragiketak aurrera egitearen arabera, bat etorriz Ekonomia eta Aurrekontu Araubideari buruzko abenduaren 18ko 53/1992 Foru Arauaren 87.4 artikuluarekin.</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Hau dio 87.4 artikuluak:</w:t>
      </w:r>
    </w:p>
    <w:p w:rsidR="00AA612F" w:rsidRDefault="00AA612F" w:rsidP="00AA612F">
      <w:pPr>
        <w:spacing w:before="240"/>
        <w:ind w:left="284"/>
        <w:jc w:val="both"/>
        <w:rPr>
          <w:rFonts w:ascii="Tahoma" w:hAnsi="Tahoma" w:cs="Tahoma"/>
          <w:sz w:val="22"/>
          <w:szCs w:val="22"/>
          <w:lang w:val="eu-ES"/>
        </w:rPr>
      </w:pPr>
      <w:r>
        <w:rPr>
          <w:rFonts w:ascii="Tahoma" w:hAnsi="Tahoma" w:cs="Tahoma"/>
          <w:i/>
          <w:iCs/>
          <w:sz w:val="22"/>
          <w:szCs w:val="22"/>
          <w:lang w:val="eu-ES"/>
        </w:rPr>
        <w:t xml:space="preserve">4.- Luzatutako kredituen </w:t>
      </w:r>
      <w:r>
        <w:rPr>
          <w:rFonts w:ascii="Tahoma" w:hAnsi="Tahoma" w:cs="Tahoma"/>
          <w:b/>
          <w:bCs/>
          <w:i/>
          <w:iCs/>
          <w:sz w:val="22"/>
          <w:szCs w:val="22"/>
          <w:lang w:val="eu-ES"/>
        </w:rPr>
        <w:t>zenbatekoa</w:t>
      </w:r>
      <w:r>
        <w:rPr>
          <w:rFonts w:ascii="Tahoma" w:hAnsi="Tahoma" w:cs="Tahoma"/>
          <w:i/>
          <w:iCs/>
          <w:sz w:val="22"/>
          <w:szCs w:val="22"/>
          <w:lang w:val="eu-ES"/>
        </w:rPr>
        <w:t xml:space="preserve"> eta luzatutako aurrekontuari dagokion ekitaldiko abenduaren 31a bitarteko diru izendapenen kopurua bat bera izango da, eta aurreko ekitaldietako eta kredituak aparte izango dira</w:t>
      </w:r>
      <w:r>
        <w:rPr>
          <w:sz w:val="22"/>
          <w:szCs w:val="22"/>
          <w:lang w:val="eu-ES"/>
        </w:rPr>
        <w:t>.</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Luzapenari datxekion aurreikuspen bat da; izan ere, 2018ko ekitaldiko aurrekontua ixteko eragiketen aurrerapen mailaren arabera ezagutuko dira 2018ko abenduaren 31n behin betiko aurrekontu kontsignazioak.</w:t>
      </w:r>
    </w:p>
    <w:p w:rsidR="00AA612F" w:rsidRDefault="00AA612F" w:rsidP="00AA612F">
      <w:pPr>
        <w:spacing w:before="240"/>
        <w:ind w:left="284"/>
        <w:jc w:val="both"/>
        <w:rPr>
          <w:rFonts w:ascii="Tahoma" w:hAnsi="Tahoma" w:cs="Tahoma"/>
          <w:lang w:val="eu-ES"/>
        </w:rPr>
      </w:pPr>
      <w:r>
        <w:rPr>
          <w:rFonts w:ascii="Tahoma" w:hAnsi="Tahoma" w:cs="Tahoma"/>
          <w:b/>
          <w:bCs/>
          <w:sz w:val="22"/>
          <w:szCs w:val="22"/>
          <w:lang w:val="eu-ES"/>
        </w:rPr>
        <w:t>- 5. artikuluak (Luzatutako kredituen araubidea)</w:t>
      </w:r>
      <w:r>
        <w:rPr>
          <w:rFonts w:ascii="Tahoma" w:hAnsi="Tahoma" w:cs="Tahoma"/>
          <w:sz w:val="22"/>
          <w:szCs w:val="22"/>
          <w:lang w:val="eu-ES"/>
        </w:rPr>
        <w:t xml:space="preserve"> luzatutako kredituen aurrekontuko araubide juridikoa zehazten du, 53/92 Foru Arauaren 87.5 artikuluan berariaz jasotako alderdietan (</w:t>
      </w:r>
      <w:r>
        <w:rPr>
          <w:rFonts w:ascii="Tahoma" w:hAnsi="Tahoma" w:cs="Tahoma"/>
          <w:i/>
          <w:iCs/>
          <w:sz w:val="22"/>
          <w:szCs w:val="22"/>
          <w:lang w:val="eu-ES"/>
        </w:rPr>
        <w:t xml:space="preserve">aurretik </w:t>
      </w:r>
      <w:r>
        <w:rPr>
          <w:rFonts w:ascii="Tahoma" w:hAnsi="Tahoma" w:cs="Tahoma"/>
          <w:b/>
          <w:bCs/>
          <w:i/>
          <w:iCs/>
          <w:sz w:val="22"/>
          <w:szCs w:val="22"/>
          <w:lang w:val="eu-ES"/>
        </w:rPr>
        <w:t>hitz emanda zeuden gastuak</w:t>
      </w:r>
      <w:r>
        <w:rPr>
          <w:rFonts w:ascii="Tahoma" w:hAnsi="Tahoma" w:cs="Tahoma"/>
          <w:i/>
          <w:iCs/>
          <w:sz w:val="22"/>
          <w:szCs w:val="22"/>
          <w:lang w:val="eu-ES"/>
        </w:rPr>
        <w:t xml:space="preserve">, hitz eman zenean indarrean zeuden </w:t>
      </w:r>
      <w:r>
        <w:rPr>
          <w:rFonts w:ascii="Tahoma" w:hAnsi="Tahoma" w:cs="Tahoma"/>
          <w:b/>
          <w:bCs/>
          <w:i/>
          <w:iCs/>
          <w:sz w:val="22"/>
          <w:szCs w:val="22"/>
          <w:lang w:val="eu-ES"/>
        </w:rPr>
        <w:t>baimenen</w:t>
      </w:r>
      <w:r>
        <w:rPr>
          <w:rFonts w:ascii="Tahoma" w:hAnsi="Tahoma" w:cs="Tahoma"/>
          <w:i/>
          <w:iCs/>
          <w:sz w:val="22"/>
          <w:szCs w:val="22"/>
          <w:lang w:val="eu-ES"/>
        </w:rPr>
        <w:t xml:space="preserve"> balditzetan</w:t>
      </w:r>
      <w:r>
        <w:rPr>
          <w:sz w:val="22"/>
          <w:szCs w:val="22"/>
          <w:lang w:val="eu-ES"/>
        </w:rPr>
        <w:t xml:space="preserve">) </w:t>
      </w:r>
      <w:r>
        <w:rPr>
          <w:rFonts w:ascii="Tahoma" w:hAnsi="Tahoma" w:cs="Tahoma"/>
          <w:sz w:val="22"/>
          <w:szCs w:val="22"/>
          <w:lang w:val="eu-ES"/>
        </w:rPr>
        <w:t xml:space="preserve">eta artikulu horretan aipatzen ez diren baina izateko arrazoi argia duten beste batzuetan: luzatutako aurrekontuko lotura maila berari eustea, aurreko aurrekontuan zabalgarri zirenak bertan ezarritako mugaraino zabalgarri izaten jarraitzea, eta berariazko ohartarazpen hau: ez dira luzagarriak izango, </w:t>
      </w:r>
      <w:r>
        <w:rPr>
          <w:rFonts w:ascii="Tahoma" w:hAnsi="Tahoma" w:cs="Tahoma"/>
          <w:sz w:val="22"/>
          <w:szCs w:val="22"/>
          <w:lang w:val="eu-ES"/>
        </w:rPr>
        <w:lastRenderedPageBreak/>
        <w:t>beste erakunde publiko nahiz pribatuetatik jasotako funtsei dagokien zenbatekoan, 2018ko ekitaldian bakarrik jasoko ziren berariazko sarrerekin guztiz edo partzialki finantzatutako kredituak.</w:t>
      </w:r>
    </w:p>
    <w:p w:rsidR="00AA612F" w:rsidRDefault="00AA612F" w:rsidP="00AA612F">
      <w:pPr>
        <w:spacing w:before="240"/>
        <w:ind w:left="284"/>
        <w:jc w:val="both"/>
        <w:rPr>
          <w:rFonts w:ascii="Tahoma" w:hAnsi="Tahoma" w:cs="Tahoma"/>
          <w:lang w:val="eu-ES"/>
        </w:rPr>
      </w:pPr>
      <w:r>
        <w:rPr>
          <w:rFonts w:ascii="Tahoma" w:hAnsi="Tahoma" w:cs="Tahoma"/>
          <w:b/>
          <w:bCs/>
          <w:sz w:val="22"/>
          <w:szCs w:val="22"/>
          <w:lang w:val="eu-ES"/>
        </w:rPr>
        <w:t xml:space="preserve">-6. artikulua (Finantza eragiketen araubidea) </w:t>
      </w:r>
      <w:r>
        <w:rPr>
          <w:rFonts w:ascii="Tahoma" w:hAnsi="Tahoma" w:cs="Tahoma"/>
          <w:sz w:val="22"/>
          <w:szCs w:val="22"/>
          <w:lang w:val="eu-ES"/>
        </w:rPr>
        <w:tab/>
        <w:t>adierazten du zein mugataraino itundu ahalko dituzten zorpetzeko eragiketa berriak Arabako Foru Aldundiak eta Araba Garapen Agentzia SAk, baita beste erakunde batzuek euren helburu sozialari lotuta egindako inbertsioak finantzatzeko eragiketak bermatzeko ere, apirilaren 27ko 2/2012 Lege Organikoa, Aurrekontu Egonkortasunari eta Finantza Iraunkortasunari buruzkoa betez.</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7. artikuluak (Langileak)</w:t>
      </w:r>
      <w:r>
        <w:rPr>
          <w:rFonts w:ascii="Tahoma" w:hAnsi="Tahoma" w:cs="Tahoma"/>
          <w:sz w:val="22"/>
          <w:szCs w:val="22"/>
          <w:lang w:val="eu-ES"/>
        </w:rPr>
        <w:t xml:space="preserve"> dio, langileen kudeaketaren arloan, indarrean jarraituko dutela, aplikagarri diren kontuetan, abenduaren 22ko 21/2017 Foru Arauak, 2018rako aurrekontua gauzatzekoak, V. tituluan jasotako aurreikuspenak.</w:t>
      </w:r>
    </w:p>
    <w:p w:rsidR="00AA612F" w:rsidRDefault="00AA612F" w:rsidP="00AA612F">
      <w:pPr>
        <w:spacing w:before="240"/>
        <w:ind w:left="284"/>
        <w:jc w:val="both"/>
        <w:rPr>
          <w:rFonts w:ascii="Tahoma" w:hAnsi="Tahoma" w:cs="Tahoma"/>
          <w:lang w:val="eu-ES"/>
        </w:rPr>
      </w:pPr>
      <w:r>
        <w:rPr>
          <w:rFonts w:ascii="Tahoma" w:hAnsi="Tahoma" w:cs="Tahoma"/>
          <w:b/>
          <w:bCs/>
          <w:sz w:val="22"/>
          <w:szCs w:val="22"/>
          <w:lang w:val="eu-ES"/>
        </w:rPr>
        <w:t>-8. artikuluak (Ondasun arrunten eta zerbitzuen erosketa)</w:t>
      </w:r>
      <w:r>
        <w:rPr>
          <w:rFonts w:ascii="Tahoma" w:hAnsi="Tahoma" w:cs="Tahoma"/>
          <w:sz w:val="22"/>
          <w:szCs w:val="22"/>
          <w:lang w:val="eu-ES"/>
        </w:rPr>
        <w:t xml:space="preserve"> ez ditu urratzen 53/92 Foru Arauaren 87.2 artikuluaren aurreikuspenak, zeinak xedatzen baitu luzapenak ez diela eragingo luzatutako aurrekontuaren ekitaldian amaitzen diren zerbitzu edo programa funtzionalei dagozkien gastuetarako kredituei; izan ere, kontrako kasua jasotzen du, hain zuzen ere: foru administrazioaren eskumenak ondo ibiltzeko eta erabiltzeko behar diren zerbitzuak edo programak.</w:t>
      </w:r>
    </w:p>
    <w:p w:rsidR="00AA612F" w:rsidRDefault="00AA612F" w:rsidP="00AA612F">
      <w:pPr>
        <w:spacing w:before="240"/>
        <w:ind w:left="284"/>
        <w:jc w:val="both"/>
        <w:rPr>
          <w:rFonts w:ascii="Tahoma" w:hAnsi="Tahoma" w:cs="Tahoma"/>
          <w:lang w:val="eu-ES"/>
        </w:rPr>
      </w:pPr>
      <w:r>
        <w:rPr>
          <w:rFonts w:ascii="Tahoma" w:hAnsi="Tahoma" w:cs="Tahoma"/>
          <w:b/>
          <w:bCs/>
          <w:sz w:val="22"/>
          <w:szCs w:val="22"/>
          <w:lang w:val="eu-ES"/>
        </w:rPr>
        <w:t>-9. artikuluak (Finantza gastuak eta finantza pasiboen bariazioa)</w:t>
      </w:r>
      <w:r>
        <w:rPr>
          <w:rFonts w:ascii="Tahoma" w:hAnsi="Tahoma" w:cs="Tahoma"/>
          <w:sz w:val="22"/>
          <w:szCs w:val="22"/>
          <w:lang w:val="eu-ES"/>
        </w:rPr>
        <w:t xml:space="preserve"> 53/92 Foru Arauaren 5. artikuluaren zehaztapen berri bat jasotzen du (“</w:t>
      </w:r>
      <w:r>
        <w:rPr>
          <w:rFonts w:ascii="Tahoma" w:hAnsi="Tahoma" w:cs="Tahoma"/>
          <w:i/>
          <w:iCs/>
          <w:sz w:val="22"/>
          <w:szCs w:val="22"/>
          <w:lang w:val="eu-ES"/>
        </w:rPr>
        <w:t>Aurretik hitz emanda zeuden gastuak ere egin daitezke luzapenean, hitz eman zenean indarrean zeuden baimenen baldintzetan</w:t>
      </w:r>
      <w:r>
        <w:rPr>
          <w:rFonts w:ascii="Tahoma" w:hAnsi="Tahoma" w:cs="Tahoma"/>
          <w:sz w:val="22"/>
          <w:szCs w:val="22"/>
          <w:lang w:val="eu-ES"/>
        </w:rPr>
        <w:t>”), halako moldez non Arabako Foru Aldundiak 2019ko ekitaldia hasi aurretik baimendutako finantza eragiketetatik datozen gastuak edo Foru Dekretu honen 6. artikuluan xedatutakoaren arabera ekitaldi honetan ituntzen direnak egikaritu ahalko dituen.</w:t>
      </w:r>
    </w:p>
    <w:p w:rsidR="00AA612F" w:rsidRDefault="00AA612F" w:rsidP="00AA612F">
      <w:pPr>
        <w:spacing w:before="240"/>
        <w:ind w:left="284"/>
        <w:jc w:val="both"/>
        <w:rPr>
          <w:rFonts w:ascii="Tahoma" w:hAnsi="Tahoma" w:cs="Tahoma"/>
          <w:b/>
          <w:bCs/>
          <w:lang w:val="eu-ES"/>
        </w:rPr>
      </w:pPr>
      <w:r>
        <w:rPr>
          <w:rFonts w:ascii="Tahoma" w:hAnsi="Tahoma" w:cs="Tahoma"/>
          <w:b/>
          <w:bCs/>
          <w:sz w:val="22"/>
          <w:szCs w:val="22"/>
          <w:lang w:val="eu-ES"/>
        </w:rPr>
        <w:t>10. artikuluak (Dirulaguntzak eta transferentziak)</w:t>
      </w:r>
      <w:r>
        <w:rPr>
          <w:rFonts w:ascii="Tahoma" w:hAnsi="Tahoma" w:cs="Tahoma"/>
          <w:sz w:val="22"/>
          <w:szCs w:val="22"/>
          <w:lang w:val="eu-ES"/>
        </w:rPr>
        <w:t xml:space="preserve"> dirulaguntza izendunen ordainketaren jarraikortasuna bermatu eta 53/92 Foru Arauaren 87.3 artikuluan dirulaguntza arruntei edo kapital eragiketetarakoei buruz adierazitakoaren errepikapen hutsa egiten du, dirulaguntza horiek luzatzen den aurrekontu ekitaldia amaitu aurretik sinatutako xedapen eta hitzarmenen arabera eman badira eta haien urte anitzeko eraginkortasuna aurreikusita badago. </w:t>
      </w:r>
    </w:p>
    <w:p w:rsidR="00AA612F" w:rsidRDefault="00AA612F" w:rsidP="00AA612F">
      <w:pPr>
        <w:spacing w:before="240"/>
        <w:ind w:left="284"/>
        <w:jc w:val="both"/>
        <w:rPr>
          <w:rFonts w:ascii="Tahoma" w:hAnsi="Tahoma" w:cs="Tahoma"/>
          <w:b/>
          <w:bCs/>
          <w:lang w:val="eu-ES"/>
        </w:rPr>
      </w:pPr>
      <w:r>
        <w:rPr>
          <w:rFonts w:ascii="Tahoma" w:hAnsi="Tahoma" w:cs="Tahoma"/>
          <w:sz w:val="22"/>
          <w:szCs w:val="22"/>
          <w:lang w:val="eu-ES"/>
        </w:rPr>
        <w:t>Nolanahi ere, 2. zenbakiak dirulaguntza arruntak edo kapital eragiketetarakoak aipatzen baditu ere, xedapenen edo hitzarmenen arabera eman direnak, eta abenduaren 18ko 53/1992 Foru Arauak, Ekonomia eta Aurrekontu Erregimenari buruzkoak, 87.3 artikuluan xedatutakora bidaltzen badu ere, 1. zenbakiak, luzapenean dirulaguntza eta transferentzia izendun arruntak eta kapitalekoak sartzeko, gauza bakarra eskatzen du: 2018ko ekitaldiko aurrekontuan sartuta egotea. Itxura batean dagoen kontraesan hori argitu behar litzateke Foru Dekretuan.</w:t>
      </w:r>
    </w:p>
    <w:p w:rsidR="00AA612F" w:rsidRDefault="00AA612F" w:rsidP="00AA612F">
      <w:pPr>
        <w:spacing w:before="240"/>
        <w:ind w:left="284"/>
        <w:jc w:val="both"/>
        <w:rPr>
          <w:rFonts w:ascii="Tahoma" w:hAnsi="Tahoma" w:cs="Tahoma"/>
          <w:b/>
          <w:bCs/>
          <w:sz w:val="22"/>
          <w:szCs w:val="22"/>
          <w:lang w:val="eu-ES"/>
        </w:rPr>
      </w:pPr>
      <w:r>
        <w:rPr>
          <w:rFonts w:ascii="Tahoma" w:hAnsi="Tahoma" w:cs="Tahoma"/>
          <w:sz w:val="22"/>
          <w:szCs w:val="22"/>
          <w:lang w:val="eu-ES"/>
        </w:rPr>
        <w:t>Halaber, proiektuak onartzen du Gizarte Ongizaterako Foru Erakundeak kudeatutako familientzako transferentziei dagozkien aldizkako sortzapeneko prestazio ekonomikoak sartzea, dagokien araudia aplikatuta ateratzen den zenbatekoan.</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Azkenik, bermatzen du transferentzia arruntak eta kapitalezkoak egitea foru sektore publikoko gainerako entitateei eta berak bazkide gisa edo antzerako beste moduren batean parte hartzen duen beste entitateei.</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lastRenderedPageBreak/>
        <w:t>-11. artikuluak (inbertsio errealak)</w:t>
      </w:r>
      <w:r>
        <w:rPr>
          <w:rFonts w:ascii="Tahoma" w:hAnsi="Tahoma" w:cs="Tahoma"/>
          <w:sz w:val="22"/>
          <w:szCs w:val="22"/>
          <w:lang w:val="eu-ES"/>
        </w:rPr>
        <w:t xml:space="preserve"> berritzeko eta mantentzeko inbertsio gastuak baino ez ditu baimentzen, ondorio horietarako foru administrazioaren eskumenak ondo ibili eta erabiltzeko behar diren gastuak izanik gastu horiek.</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-12. artikuluak (Finantza aktiboen bariazioa)</w:t>
      </w:r>
      <w:r>
        <w:rPr>
          <w:rFonts w:ascii="Tahoma" w:hAnsi="Tahoma" w:cs="Tahoma"/>
          <w:sz w:val="22"/>
          <w:szCs w:val="22"/>
          <w:lang w:val="eu-ES"/>
        </w:rPr>
        <w:t xml:space="preserve"> gastu hauek baino ez ditu onartzen: bere momentuan indarrean zeuden baimenen arabera lehenago hitzartutako finantza aktiboetako gastuak, 2019ko ekitaldiari eta hurrengoei dagokien konpromisoa betetzeko behar den kopuruan, eta foru sozietate publikoen eta parte hartzen den beste sozietateen finantza oreka bermatzeko gastuak.</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-13. artikuluak (Batzar Nagusiei informatzea)</w:t>
      </w:r>
      <w:r>
        <w:rPr>
          <w:rFonts w:ascii="Tahoma" w:hAnsi="Tahoma" w:cs="Tahoma"/>
          <w:sz w:val="22"/>
          <w:szCs w:val="22"/>
          <w:lang w:val="eu-ES"/>
        </w:rPr>
        <w:t xml:space="preserve"> dio aurrekontuaren luzapen aldian Arabako Batzar Nagusiei bidaliko zaiola 53/1992 Foru Arauan (131. artikuluan) aurreikusitako informazioa.</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w:t>
      </w:r>
      <w:r>
        <w:rPr>
          <w:rFonts w:ascii="Tahoma" w:hAnsi="Tahoma" w:cs="Tahoma"/>
          <w:b/>
          <w:bCs/>
          <w:sz w:val="22"/>
          <w:szCs w:val="22"/>
          <w:lang w:val="eu-ES"/>
        </w:rPr>
        <w:t xml:space="preserve">Lehenengo xedapen gehigarriak </w:t>
      </w:r>
      <w:r>
        <w:rPr>
          <w:rFonts w:ascii="Tahoma" w:hAnsi="Tahoma" w:cs="Tahoma"/>
          <w:sz w:val="22"/>
          <w:szCs w:val="22"/>
          <w:lang w:val="eu-ES"/>
        </w:rPr>
        <w:t>aurreikusten du luzapenak dirauen bitartean aplikagarria dela 53/92 Foru Arauaren 70. artikuluan gerora hartutako eskumenei buruz xedatutakoa ere.</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w:t>
      </w:r>
      <w:r>
        <w:rPr>
          <w:rFonts w:ascii="Tahoma" w:hAnsi="Tahoma" w:cs="Tahoma"/>
          <w:b/>
          <w:bCs/>
          <w:sz w:val="22"/>
          <w:szCs w:val="22"/>
          <w:lang w:val="eu-ES"/>
        </w:rPr>
        <w:t xml:space="preserve">Bigarren xedapen gehigarriak </w:t>
      </w:r>
      <w:r>
        <w:rPr>
          <w:rFonts w:ascii="Tahoma" w:hAnsi="Tahoma" w:cs="Tahoma"/>
          <w:sz w:val="22"/>
          <w:szCs w:val="22"/>
          <w:lang w:val="eu-ES"/>
        </w:rPr>
        <w:t>kreditua gaitzea baimentzen du, hauek eguneratzeko: langile funtzionarioen, lan kontratudunen eta behin-behinekoen eta goi karguen ordainsari osoak, prezioa eta/edo kostuak berrikusi eta/edo eguneratzea eskatzen duten kontratuen edo hitzarmenen edo lankidetza hitzarmenen prezioak, Gizarte Ongizaterako Foru Erakundeak kudeatutako familientzako transferentziei dagozkien aldizkako sortzapeneko prestazio ekonomikoak.</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Antzera aurreikusten du foru erakunde autonomoentzako transferentzien eta foru sozietate publikoentzako zein partaidetzako erakundeentzako kreditu zuzkiduren eguneratzea, kontratu eta/edo hitzarmenen zenbatekoak eguneratzeko eta, hala behar denean, langileen gastuak handitzeko.</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Halaber, gaikuntzak aurreikusten ditu erakunde konpromisoak eguneratzeko –kupoa, ekarpenak, transferentziak Batzar Nagusiei, Arabako toki erakundeak finantzatzeko eta obra, zerbitzu eta beste batzuetarako foru planerako foru funtsa, itundu gabeko zergetako toki erakundeentzako partaidetzak, Ekonomia Itunaren Legearen 51. artikuluan aurreikusitakoak...-, dagozkien lege eta arauetan xedatutakoaren arabera egingo direnak.</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Halaber, aurrekontua luzatzen zaion ekitaldian osorik eman ez diren zerbitzuak finantzatzeko kredituak eguneratzeko kasua ere aurreikusten du.</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Azkenik, Arabako Lurralde Historikoko Biltzar Nagusiak hautatzeko 2019ko hauteskunde prozesuaren gastuak sartzen dira, Lurralde Historikoetako Biltzar Nagusietarako hauteskundeak arautzen dituen martxoaren 27ko 1/1987 Legearen eta Hauteskundeen Araubide Orokorraren ekainaren 19ko 5/1985 Lege Organikoan xedatutakoaren arabera.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w:t>
      </w:r>
      <w:r>
        <w:rPr>
          <w:rFonts w:ascii="Tahoma" w:hAnsi="Tahoma" w:cs="Tahoma"/>
          <w:b/>
          <w:bCs/>
          <w:sz w:val="22"/>
          <w:szCs w:val="22"/>
          <w:lang w:val="eu-ES"/>
        </w:rPr>
        <w:t xml:space="preserve">Hirugarren xedapen gehigarriak </w:t>
      </w:r>
      <w:r>
        <w:rPr>
          <w:rFonts w:ascii="Tahoma" w:hAnsi="Tahoma" w:cs="Tahoma"/>
          <w:sz w:val="22"/>
          <w:szCs w:val="22"/>
          <w:lang w:val="eu-ES"/>
        </w:rPr>
        <w:t>indarrean uzten ditu abenduaren 22ko 21/2017 Foru Arauak, Arabako Lurralde Historikoaren 2018rako aurrekontua gauzatzekoak, lehenengo xedapen gehigarrian ezarritako zenbatekoak, ondasun higiezinen besterentzeen eta foru ondarearen doako besterentzeen atalase ekonomikoei dagokienez.</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lastRenderedPageBreak/>
        <w:t>Halaber, 21/2017 Foru Arauaren bigarren xedapen gehigarriaren aurreikuspena uzten du, ondasun higiezinen errentamenduetako atalase ekonomikoari eta denbora atalaseari buruzkoa.</w:t>
      </w:r>
    </w:p>
    <w:p w:rsidR="00AA612F" w:rsidRDefault="00AA612F" w:rsidP="00AA612F">
      <w:pPr>
        <w:spacing w:before="240"/>
        <w:ind w:left="284"/>
        <w:jc w:val="both"/>
        <w:rPr>
          <w:rFonts w:ascii="Tahoma" w:hAnsi="Tahoma" w:cs="Tahoma"/>
          <w:u w:val="single"/>
          <w:lang w:val="eu-ES"/>
        </w:rPr>
      </w:pPr>
      <w:r>
        <w:rPr>
          <w:rFonts w:ascii="Tahoma" w:hAnsi="Tahoma" w:cs="Tahoma"/>
          <w:sz w:val="22"/>
          <w:szCs w:val="22"/>
          <w:lang w:val="eu-ES"/>
        </w:rPr>
        <w:t xml:space="preserve">Era berean, 21/2017 Foru Arauaren hirugarren xedapen gehigarriaren aurreikuspena uzten du, dirulaguntzen eta transferentzien aurrerakin araubideari dagokionez.  </w:t>
      </w:r>
    </w:p>
    <w:p w:rsidR="00AA612F" w:rsidRDefault="00AA612F" w:rsidP="00AA612F">
      <w:pPr>
        <w:spacing w:before="240"/>
        <w:ind w:left="284"/>
        <w:jc w:val="both"/>
        <w:rPr>
          <w:rFonts w:ascii="Tahoma" w:hAnsi="Tahoma" w:cs="Tahoma"/>
          <w:b/>
          <w:bCs/>
          <w:sz w:val="22"/>
          <w:szCs w:val="22"/>
          <w:u w:val="single"/>
          <w:lang w:val="eu-ES"/>
        </w:rPr>
      </w:pPr>
      <w:r>
        <w:rPr>
          <w:rFonts w:ascii="Tahoma" w:hAnsi="Tahoma" w:cs="Tahoma"/>
          <w:sz w:val="22"/>
          <w:szCs w:val="22"/>
          <w:lang w:val="eu-ES"/>
        </w:rPr>
        <w:t>Halaber, 21/2017 Foru Arauaren laugarren xedapen gehigarriaren aurreikuspena uzten du, Arabako toki erakundeek itundu beharreko epe luzeko kreditu eragiketei dagokienez.</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w:t>
      </w:r>
      <w:r>
        <w:rPr>
          <w:rFonts w:ascii="Tahoma" w:hAnsi="Tahoma" w:cs="Tahoma"/>
          <w:b/>
          <w:bCs/>
          <w:sz w:val="22"/>
          <w:szCs w:val="22"/>
          <w:lang w:val="eu-ES"/>
        </w:rPr>
        <w:t xml:space="preserve">Laugarren xedapen gehigarriak </w:t>
      </w:r>
      <w:r>
        <w:rPr>
          <w:rFonts w:ascii="Tahoma" w:hAnsi="Tahoma" w:cs="Tahoma"/>
          <w:sz w:val="22"/>
          <w:szCs w:val="22"/>
          <w:lang w:val="eu-ES"/>
        </w:rPr>
        <w:t>aurreikusten du sozietate publikoek eta foru fundazioek dirulaguntzak gauzatu ahalko dituztela, 10. artikuluan ezarritako baldintzetan.</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“Dirulaguntzak” esapidearen ordez “kontraprestaziorik gabeko diruzko emateak” erabiltzea proposatzen du, urriaren 19ko 11/2016 Foru Arauak, Arabako Lurralde Historikoaren dirulaguntzei buruzkoak, 2.2 artikuluan xedatutakoa kontuan hartuta.</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 xml:space="preserve">Azkenik, </w:t>
      </w:r>
      <w:r>
        <w:rPr>
          <w:rFonts w:ascii="Tahoma" w:hAnsi="Tahoma" w:cs="Tahoma"/>
          <w:b/>
          <w:bCs/>
          <w:sz w:val="22"/>
          <w:szCs w:val="22"/>
          <w:lang w:val="eu-ES"/>
        </w:rPr>
        <w:t>azken xedapenetan lehenengoak</w:t>
      </w:r>
      <w:r>
        <w:rPr>
          <w:rFonts w:ascii="Tahoma" w:hAnsi="Tahoma" w:cs="Tahoma"/>
          <w:sz w:val="22"/>
          <w:szCs w:val="22"/>
          <w:lang w:val="eu-ES"/>
        </w:rPr>
        <w:t xml:space="preserve"> Ogasun, Finantza eta Aurrekontu Saileko titularra gaitzen du Foru Dekretu hau garatu eta egikaritzeko behar diren xedapenak emateko, eta </w:t>
      </w:r>
      <w:r>
        <w:rPr>
          <w:rFonts w:ascii="Tahoma" w:hAnsi="Tahoma" w:cs="Tahoma"/>
          <w:b/>
          <w:bCs/>
          <w:sz w:val="22"/>
          <w:szCs w:val="22"/>
          <w:lang w:val="eu-ES"/>
        </w:rPr>
        <w:t>azken xedapenetan bigarrenak</w:t>
      </w:r>
      <w:r>
        <w:rPr>
          <w:rFonts w:ascii="Tahoma" w:hAnsi="Tahoma" w:cs="Tahoma"/>
          <w:sz w:val="22"/>
          <w:szCs w:val="22"/>
          <w:lang w:val="eu-ES"/>
        </w:rPr>
        <w:t xml:space="preserve"> indarrean jartzea arautu eta aurrekontuaren luzapen aldiaren denbora eremua errepikatzen du.</w:t>
      </w:r>
    </w:p>
    <w:p w:rsidR="00AA612F" w:rsidRDefault="00AA612F" w:rsidP="00AA612F">
      <w:pPr>
        <w:spacing w:before="240"/>
        <w:ind w:left="284"/>
        <w:jc w:val="both"/>
        <w:rPr>
          <w:rFonts w:ascii="Tahoma" w:hAnsi="Tahoma" w:cs="Tahoma"/>
          <w:lang w:val="eu-ES"/>
        </w:rPr>
      </w:pPr>
      <w:r>
        <w:rPr>
          <w:rFonts w:ascii="Tahoma" w:hAnsi="Tahoma" w:cs="Tahoma"/>
          <w:sz w:val="22"/>
          <w:szCs w:val="22"/>
          <w:lang w:val="eu-ES"/>
        </w:rPr>
        <w:t>Azken batean, proiektuan sartutako manuak aztertuta ez da ezein kasutan ikusten haren edukiak 53/1992 Foru Arauaren 87. artikuluan edo Konstituzioko printzipioetan edo araubide horri edo aurrekontuen legezkotasunari buruzko konstituzionaltasunaren multzoan definitutako aurrekontuaren luzapen araubidea urratzen duenik.</w:t>
      </w:r>
    </w:p>
    <w:p w:rsidR="00AA612F" w:rsidRDefault="00AA612F" w:rsidP="00AA612F">
      <w:pPr>
        <w:spacing w:before="240"/>
        <w:ind w:left="284"/>
        <w:jc w:val="both"/>
        <w:rPr>
          <w:rFonts w:ascii="Tahoma" w:hAnsi="Tahoma" w:cs="Tahoma"/>
          <w:sz w:val="22"/>
          <w:szCs w:val="22"/>
          <w:lang w:val="eu-ES"/>
        </w:rPr>
      </w:pPr>
      <w:r>
        <w:rPr>
          <w:rFonts w:ascii="Tahoma" w:hAnsi="Tahoma" w:cs="Tahoma"/>
          <w:sz w:val="22"/>
          <w:szCs w:val="22"/>
          <w:lang w:val="eu-ES"/>
        </w:rPr>
        <w:t>Proiektuak aurrekontuaren luzapen araubidea errespetatzen du, eta alderdi batzuk baino ez ditu modulatzen, 2018ko ekitaldia amaitu aurretik hartutako konpromisoek bezala, konpromiso horien xedea betetzeko arautegi garapenen bat behar dutenak, aurrekontua egikaritzeko segurtasun juridiko handiagoa emanez.</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ONDORIOAK</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Aholku Batzordeak eskumena dauka Arabako Lurralde Historikoaren 2018ko ekitaldiko aurrekontu orokorren 2019rako luzapen araubidea ezartzen duen Foru Dekretuaren proiektua aztertu eta hari buruzko irizpena emateko.</w:t>
      </w:r>
    </w:p>
    <w:p w:rsidR="00AA612F" w:rsidRDefault="00AA612F" w:rsidP="00AA612F">
      <w:pPr>
        <w:spacing w:before="240"/>
        <w:ind w:left="284"/>
        <w:jc w:val="both"/>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xml:space="preserve">.- Irizpenean adierazitakoaren arabera, proiektua </w:t>
      </w:r>
      <w:r>
        <w:rPr>
          <w:rFonts w:ascii="Tahoma" w:hAnsi="Tahoma" w:cs="Tahoma"/>
          <w:b/>
          <w:bCs/>
          <w:sz w:val="22"/>
          <w:szCs w:val="22"/>
          <w:lang w:val="eu-ES"/>
        </w:rPr>
        <w:t>zuzenbidearen araberakotzat</w:t>
      </w:r>
      <w:r>
        <w:rPr>
          <w:rFonts w:ascii="Tahoma" w:hAnsi="Tahoma" w:cs="Tahoma"/>
          <w:sz w:val="22"/>
          <w:szCs w:val="22"/>
          <w:lang w:val="eu-ES"/>
        </w:rPr>
        <w:t xml:space="preserve"> jotzen da.</w:t>
      </w:r>
    </w:p>
    <w:p w:rsidR="00AA612F" w:rsidRDefault="00AA612F" w:rsidP="00AA612F">
      <w:pPr>
        <w:spacing w:after="240"/>
        <w:ind w:left="284"/>
        <w:jc w:val="both"/>
        <w:rPr>
          <w:lang w:val="eu-ES"/>
        </w:rPr>
      </w:pPr>
    </w:p>
    <w:p w:rsidR="00334A60" w:rsidRPr="00AA612F" w:rsidRDefault="00334A60">
      <w:pPr>
        <w:rPr>
          <w:lang w:val="eu-ES"/>
        </w:rPr>
      </w:pPr>
    </w:p>
    <w:sectPr w:rsidR="00334A60" w:rsidRPr="00AA612F">
      <w:headerReference w:type="default" r:id="rId7"/>
      <w:footerReference w:type="default" r:id="rId8"/>
      <w:headerReference w:type="first" r:id="rId9"/>
      <w:pgSz w:w="11906" w:h="16838" w:code="9"/>
      <w:pgMar w:top="1701" w:right="1361" w:bottom="1134" w:left="1588" w:header="283"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758D">
      <w:r>
        <w:separator/>
      </w:r>
    </w:p>
  </w:endnote>
  <w:endnote w:type="continuationSeparator" w:id="0">
    <w:p w:rsidR="00000000" w:rsidRDefault="00C7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93" w:rsidRDefault="00AA612F">
    <w:pPr>
      <w:pStyle w:val="Piedepgina"/>
      <w:jc w:val="center"/>
    </w:pPr>
    <w:r>
      <w:fldChar w:fldCharType="begin"/>
    </w:r>
    <w:r>
      <w:instrText>PAGE</w:instrText>
    </w:r>
    <w:r>
      <w:fldChar w:fldCharType="separate"/>
    </w:r>
    <w:r w:rsidR="00C7758D">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758D">
      <w:r>
        <w:separator/>
      </w:r>
    </w:p>
  </w:footnote>
  <w:footnote w:type="continuationSeparator" w:id="0">
    <w:p w:rsidR="00000000" w:rsidRDefault="00C77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D16593">
      <w:trPr>
        <w:cantSplit/>
        <w:trHeight w:val="338"/>
      </w:trPr>
      <w:tc>
        <w:tcPr>
          <w:tcW w:w="3856" w:type="dxa"/>
          <w:tcBorders>
            <w:bottom w:val="single" w:sz="4" w:space="0" w:color="auto"/>
          </w:tcBorders>
        </w:tcPr>
        <w:p w:rsidR="00D16593" w:rsidRDefault="00C7758D">
          <w:pPr>
            <w:pStyle w:val="Encabezado"/>
          </w:pPr>
        </w:p>
      </w:tc>
      <w:tc>
        <w:tcPr>
          <w:tcW w:w="1361" w:type="dxa"/>
          <w:vMerge w:val="restart"/>
          <w:tcBorders>
            <w:bottom w:val="single" w:sz="4" w:space="0" w:color="auto"/>
          </w:tcBorders>
        </w:tcPr>
        <w:p w:rsidR="00D16593" w:rsidRDefault="00AA612F">
          <w:pPr>
            <w:pStyle w:val="Encabezado"/>
            <w:jc w:val="center"/>
          </w:pPr>
          <w:r>
            <w:rPr>
              <w:noProof/>
              <w:snapToGrid/>
              <w:lang w:val="es-ES" w:eastAsia="es-ES"/>
            </w:rPr>
            <w:drawing>
              <wp:inline distT="0" distB="0" distL="0" distR="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Borders>
            <w:bottom w:val="single" w:sz="4" w:space="0" w:color="auto"/>
          </w:tcBorders>
        </w:tcPr>
        <w:p w:rsidR="00D16593" w:rsidRDefault="00C7758D">
          <w:pPr>
            <w:pStyle w:val="Encabezado"/>
          </w:pPr>
        </w:p>
      </w:tc>
    </w:tr>
    <w:tr w:rsidR="00D16593">
      <w:trPr>
        <w:cantSplit/>
        <w:trHeight w:val="337"/>
      </w:trPr>
      <w:tc>
        <w:tcPr>
          <w:tcW w:w="3856" w:type="dxa"/>
          <w:tcBorders>
            <w:top w:val="single" w:sz="4" w:space="0" w:color="auto"/>
          </w:tcBorders>
        </w:tcPr>
        <w:p w:rsidR="00D16593" w:rsidRDefault="00C7758D">
          <w:pPr>
            <w:pStyle w:val="Encabezado"/>
          </w:pPr>
        </w:p>
      </w:tc>
      <w:tc>
        <w:tcPr>
          <w:tcW w:w="1361" w:type="dxa"/>
          <w:vMerge/>
          <w:tcBorders>
            <w:top w:val="single" w:sz="4" w:space="0" w:color="auto"/>
          </w:tcBorders>
        </w:tcPr>
        <w:p w:rsidR="00D16593" w:rsidRDefault="00C7758D">
          <w:pPr>
            <w:pStyle w:val="Encabezado"/>
            <w:jc w:val="center"/>
          </w:pPr>
        </w:p>
      </w:tc>
      <w:tc>
        <w:tcPr>
          <w:tcW w:w="3856" w:type="dxa"/>
          <w:tcBorders>
            <w:top w:val="single" w:sz="4" w:space="0" w:color="auto"/>
          </w:tcBorders>
        </w:tcPr>
        <w:p w:rsidR="00D16593" w:rsidRDefault="00C7758D">
          <w:pPr>
            <w:pStyle w:val="Encabezado"/>
          </w:pPr>
        </w:p>
      </w:tc>
    </w:tr>
  </w:tbl>
  <w:p w:rsidR="00D16593" w:rsidRDefault="00C775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D16593">
      <w:tc>
        <w:tcPr>
          <w:tcW w:w="6804" w:type="dxa"/>
        </w:tcPr>
        <w:p w:rsidR="00D16593" w:rsidRDefault="00AA612F">
          <w:pPr>
            <w:pStyle w:val="Encabezado"/>
            <w:spacing w:after="1200"/>
            <w:ind w:left="74"/>
            <w:rPr>
              <w:noProof/>
              <w:sz w:val="16"/>
              <w:szCs w:val="16"/>
              <w:lang w:val="eu-ES"/>
            </w:rPr>
          </w:pPr>
          <w: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5.5pt" o:ole="" fillcolor="window">
                <v:imagedata r:id="rId1" o:title=""/>
              </v:shape>
              <o:OLEObject Type="Embed" ProgID="Word.Picture.8" ShapeID="_x0000_i1025" DrawAspect="Content" ObjectID="_1611723596" r:id="rId2"/>
            </w:object>
          </w:r>
        </w:p>
        <w:p w:rsidR="00D16593" w:rsidRDefault="00C7758D">
          <w:pPr>
            <w:pStyle w:val="Encabezado"/>
            <w:ind w:left="1064"/>
            <w:rPr>
              <w:noProof/>
              <w:sz w:val="16"/>
              <w:szCs w:val="16"/>
              <w:lang w:val="eu-ES"/>
            </w:rPr>
          </w:pPr>
        </w:p>
      </w:tc>
      <w:tc>
        <w:tcPr>
          <w:tcW w:w="3402" w:type="dxa"/>
        </w:tcPr>
        <w:p w:rsidR="00D16593" w:rsidRDefault="00C7758D">
          <w:pPr>
            <w:rPr>
              <w:i/>
              <w:iCs/>
              <w:sz w:val="14"/>
              <w:szCs w:val="14"/>
            </w:rPr>
          </w:pPr>
        </w:p>
        <w:p w:rsidR="00D16593" w:rsidRDefault="00C7758D">
          <w:pPr>
            <w:rPr>
              <w:i/>
              <w:iCs/>
            </w:rPr>
          </w:pPr>
        </w:p>
        <w:p w:rsidR="00D16593" w:rsidRDefault="00AA612F">
          <w:pPr>
            <w:pStyle w:val="Textoindependiente3"/>
            <w:rPr>
              <w:sz w:val="16"/>
              <w:szCs w:val="16"/>
            </w:rPr>
          </w:pPr>
          <w:r>
            <w:rPr>
              <w:noProof/>
              <w:sz w:val="16"/>
              <w:szCs w:val="16"/>
            </w:rPr>
            <w:t>Arabako Foru Administrazioko Aholku Batzordea</w:t>
          </w:r>
        </w:p>
        <w:p w:rsidR="00D16593" w:rsidRDefault="00AA612F">
          <w:pPr>
            <w:rPr>
              <w:rFonts w:ascii="CG Times (W1)" w:hAnsi="CG Times (W1)" w:cs="CG Times (W1)"/>
              <w:i/>
              <w:iCs/>
            </w:rPr>
          </w:pPr>
          <w:r>
            <w:rPr>
              <w:rFonts w:ascii="Arial" w:hAnsi="Arial" w:cs="Arial"/>
              <w:i/>
              <w:iCs/>
              <w:noProof/>
              <w:sz w:val="16"/>
              <w:szCs w:val="16"/>
            </w:rPr>
            <w:t>Comisión Consultiva de la Administración Foral de Álava</w:t>
          </w:r>
        </w:p>
        <w:p w:rsidR="00D16593" w:rsidRDefault="00C7758D">
          <w:pPr>
            <w:pStyle w:val="Encabezado"/>
            <w:spacing w:after="240" w:line="240" w:lineRule="exact"/>
            <w:ind w:left="-68"/>
            <w:rPr>
              <w:b/>
              <w:bCs/>
              <w:noProof/>
              <w:sz w:val="18"/>
              <w:szCs w:val="18"/>
              <w:lang w:val="eu-ES"/>
            </w:rPr>
          </w:pPr>
        </w:p>
        <w:p w:rsidR="00D16593" w:rsidRDefault="00C7758D">
          <w:pPr>
            <w:pStyle w:val="Encabezado"/>
            <w:spacing w:after="60" w:line="190" w:lineRule="exact"/>
            <w:ind w:left="-70"/>
            <w:rPr>
              <w:noProof/>
              <w:sz w:val="18"/>
              <w:szCs w:val="18"/>
              <w:lang w:val="eu-ES"/>
            </w:rPr>
          </w:pPr>
        </w:p>
      </w:tc>
    </w:tr>
  </w:tbl>
  <w:p w:rsidR="00D16593" w:rsidRDefault="00C775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51"/>
    <w:rsid w:val="00334A60"/>
    <w:rsid w:val="00937E51"/>
    <w:rsid w:val="00AA612F"/>
    <w:rsid w:val="00C775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2F"/>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AA612F"/>
    <w:pPr>
      <w:tabs>
        <w:tab w:val="center" w:pos="4819"/>
        <w:tab w:val="right" w:pos="9071"/>
      </w:tabs>
    </w:pPr>
  </w:style>
  <w:style w:type="character" w:customStyle="1" w:styleId="PiedepginaCar">
    <w:name w:val="Pie de página Car"/>
    <w:basedOn w:val="Fuentedeprrafopredeter"/>
    <w:link w:val="Piedepgina"/>
    <w:semiHidden/>
    <w:rsid w:val="00AA612F"/>
    <w:rPr>
      <w:rFonts w:ascii="Times New Roman" w:eastAsia="Times New Roman" w:hAnsi="Times New Roman" w:cs="Times New Roman"/>
      <w:snapToGrid w:val="0"/>
      <w:sz w:val="20"/>
      <w:szCs w:val="20"/>
      <w:lang w:val="es-ES_tradnl" w:eastAsia="eu-ES"/>
    </w:rPr>
  </w:style>
  <w:style w:type="paragraph" w:styleId="Encabezado">
    <w:name w:val="header"/>
    <w:basedOn w:val="Normal"/>
    <w:link w:val="EncabezadoCar"/>
    <w:semiHidden/>
    <w:rsid w:val="00AA612F"/>
    <w:pPr>
      <w:tabs>
        <w:tab w:val="center" w:pos="4819"/>
        <w:tab w:val="right" w:pos="9071"/>
      </w:tabs>
    </w:pPr>
  </w:style>
  <w:style w:type="character" w:customStyle="1" w:styleId="EncabezadoCar">
    <w:name w:val="Encabezado Car"/>
    <w:basedOn w:val="Fuentedeprrafopredeter"/>
    <w:link w:val="Encabezado"/>
    <w:semiHidden/>
    <w:rsid w:val="00AA612F"/>
    <w:rPr>
      <w:rFonts w:ascii="Times New Roman" w:eastAsia="Times New Roman" w:hAnsi="Times New Roman" w:cs="Times New Roman"/>
      <w:snapToGrid w:val="0"/>
      <w:sz w:val="20"/>
      <w:szCs w:val="20"/>
      <w:lang w:val="es-ES_tradnl" w:eastAsia="eu-ES"/>
    </w:rPr>
  </w:style>
  <w:style w:type="paragraph" w:styleId="Textoindependiente3">
    <w:name w:val="Body Text 3"/>
    <w:basedOn w:val="Normal"/>
    <w:link w:val="Textoindependiente3Car"/>
    <w:semiHidden/>
    <w:rsid w:val="00AA612F"/>
    <w:pPr>
      <w:jc w:val="both"/>
    </w:pPr>
    <w:rPr>
      <w:rFonts w:ascii="Arial" w:hAnsi="Arial" w:cs="Arial"/>
      <w:b/>
      <w:bCs/>
      <w:sz w:val="22"/>
      <w:szCs w:val="22"/>
    </w:rPr>
  </w:style>
  <w:style w:type="character" w:customStyle="1" w:styleId="Textoindependiente3Car">
    <w:name w:val="Texto independiente 3 Car"/>
    <w:basedOn w:val="Fuentedeprrafopredeter"/>
    <w:link w:val="Textoindependiente3"/>
    <w:semiHidden/>
    <w:rsid w:val="00AA612F"/>
    <w:rPr>
      <w:rFonts w:ascii="Arial" w:eastAsia="Times New Roman" w:hAnsi="Arial" w:cs="Arial"/>
      <w:b/>
      <w:bCs/>
      <w:snapToGrid w:val="0"/>
      <w:lang w:val="es-ES_tradnl" w:eastAsia="eu-ES"/>
    </w:rPr>
  </w:style>
  <w:style w:type="paragraph" w:styleId="Textodeglobo">
    <w:name w:val="Balloon Text"/>
    <w:basedOn w:val="Normal"/>
    <w:link w:val="TextodegloboCar"/>
    <w:uiPriority w:val="99"/>
    <w:semiHidden/>
    <w:unhideWhenUsed/>
    <w:rsid w:val="00AA612F"/>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12F"/>
    <w:rPr>
      <w:rFonts w:ascii="Tahoma" w:eastAsia="Times New Roman" w:hAnsi="Tahoma" w:cs="Tahoma"/>
      <w:snapToGrid w:val="0"/>
      <w:sz w:val="16"/>
      <w:szCs w:val="16"/>
      <w:lang w:val="es-ES_tradnl" w:eastAsia="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2F"/>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AA612F"/>
    <w:pPr>
      <w:tabs>
        <w:tab w:val="center" w:pos="4819"/>
        <w:tab w:val="right" w:pos="9071"/>
      </w:tabs>
    </w:pPr>
  </w:style>
  <w:style w:type="character" w:customStyle="1" w:styleId="PiedepginaCar">
    <w:name w:val="Pie de página Car"/>
    <w:basedOn w:val="Fuentedeprrafopredeter"/>
    <w:link w:val="Piedepgina"/>
    <w:semiHidden/>
    <w:rsid w:val="00AA612F"/>
    <w:rPr>
      <w:rFonts w:ascii="Times New Roman" w:eastAsia="Times New Roman" w:hAnsi="Times New Roman" w:cs="Times New Roman"/>
      <w:snapToGrid w:val="0"/>
      <w:sz w:val="20"/>
      <w:szCs w:val="20"/>
      <w:lang w:val="es-ES_tradnl" w:eastAsia="eu-ES"/>
    </w:rPr>
  </w:style>
  <w:style w:type="paragraph" w:styleId="Encabezado">
    <w:name w:val="header"/>
    <w:basedOn w:val="Normal"/>
    <w:link w:val="EncabezadoCar"/>
    <w:semiHidden/>
    <w:rsid w:val="00AA612F"/>
    <w:pPr>
      <w:tabs>
        <w:tab w:val="center" w:pos="4819"/>
        <w:tab w:val="right" w:pos="9071"/>
      </w:tabs>
    </w:pPr>
  </w:style>
  <w:style w:type="character" w:customStyle="1" w:styleId="EncabezadoCar">
    <w:name w:val="Encabezado Car"/>
    <w:basedOn w:val="Fuentedeprrafopredeter"/>
    <w:link w:val="Encabezado"/>
    <w:semiHidden/>
    <w:rsid w:val="00AA612F"/>
    <w:rPr>
      <w:rFonts w:ascii="Times New Roman" w:eastAsia="Times New Roman" w:hAnsi="Times New Roman" w:cs="Times New Roman"/>
      <w:snapToGrid w:val="0"/>
      <w:sz w:val="20"/>
      <w:szCs w:val="20"/>
      <w:lang w:val="es-ES_tradnl" w:eastAsia="eu-ES"/>
    </w:rPr>
  </w:style>
  <w:style w:type="paragraph" w:styleId="Textoindependiente3">
    <w:name w:val="Body Text 3"/>
    <w:basedOn w:val="Normal"/>
    <w:link w:val="Textoindependiente3Car"/>
    <w:semiHidden/>
    <w:rsid w:val="00AA612F"/>
    <w:pPr>
      <w:jc w:val="both"/>
    </w:pPr>
    <w:rPr>
      <w:rFonts w:ascii="Arial" w:hAnsi="Arial" w:cs="Arial"/>
      <w:b/>
      <w:bCs/>
      <w:sz w:val="22"/>
      <w:szCs w:val="22"/>
    </w:rPr>
  </w:style>
  <w:style w:type="character" w:customStyle="1" w:styleId="Textoindependiente3Car">
    <w:name w:val="Texto independiente 3 Car"/>
    <w:basedOn w:val="Fuentedeprrafopredeter"/>
    <w:link w:val="Textoindependiente3"/>
    <w:semiHidden/>
    <w:rsid w:val="00AA612F"/>
    <w:rPr>
      <w:rFonts w:ascii="Arial" w:eastAsia="Times New Roman" w:hAnsi="Arial" w:cs="Arial"/>
      <w:b/>
      <w:bCs/>
      <w:snapToGrid w:val="0"/>
      <w:lang w:val="es-ES_tradnl" w:eastAsia="eu-ES"/>
    </w:rPr>
  </w:style>
  <w:style w:type="paragraph" w:styleId="Textodeglobo">
    <w:name w:val="Balloon Text"/>
    <w:basedOn w:val="Normal"/>
    <w:link w:val="TextodegloboCar"/>
    <w:uiPriority w:val="99"/>
    <w:semiHidden/>
    <w:unhideWhenUsed/>
    <w:rsid w:val="00AA612F"/>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12F"/>
    <w:rPr>
      <w:rFonts w:ascii="Tahoma" w:eastAsia="Times New Roman" w:hAnsi="Tahoma" w:cs="Tahoma"/>
      <w:snapToGrid w:val="0"/>
      <w:sz w:val="16"/>
      <w:szCs w:val="16"/>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3447</Words>
  <Characters>18960</Characters>
  <Application>Microsoft Office Word</Application>
  <DocSecurity>4</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2019-02-15T07:14:00Z</dcterms:created>
  <dcterms:modified xsi:type="dcterms:W3CDTF">2019-02-15T07:14:00Z</dcterms:modified>
</cp:coreProperties>
</file>