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360" w:type="dxa"/>
        <w:tblLayout w:type="fixed"/>
        <w:tblCellMar>
          <w:left w:w="0" w:type="dxa"/>
          <w:right w:w="0" w:type="dxa"/>
        </w:tblCellMar>
        <w:tblLook w:val="04A0" w:firstRow="1" w:lastRow="0" w:firstColumn="1" w:lastColumn="0" w:noHBand="0" w:noVBand="1"/>
      </w:tblPr>
      <w:tblGrid>
        <w:gridCol w:w="4396"/>
        <w:gridCol w:w="568"/>
        <w:gridCol w:w="4396"/>
      </w:tblGrid>
      <w:tr w:rsidR="00E45822" w14:paraId="0FD27C1D" w14:textId="77777777" w:rsidTr="00E45822">
        <w:tc>
          <w:tcPr>
            <w:tcW w:w="4394" w:type="dxa"/>
            <w:hideMark/>
          </w:tcPr>
          <w:p w14:paraId="6945D339" w14:textId="77777777" w:rsidR="00E45822" w:rsidRDefault="00E45822" w:rsidP="00E45822">
            <w:pPr>
              <w:pStyle w:val="Ttulo1"/>
              <w:spacing w:before="240"/>
              <w:ind w:firstLine="0"/>
              <w:jc w:val="left"/>
              <w:rPr>
                <w:rFonts w:ascii="Times New Roman" w:hAnsi="Times New Roman"/>
                <w:sz w:val="24"/>
              </w:rPr>
            </w:pPr>
            <w:r>
              <w:rPr>
                <w:rFonts w:ascii="Times New Roman" w:hAnsi="Times New Roman"/>
                <w:noProof/>
                <w:sz w:val="24"/>
              </w:rPr>
              <w:t>FORU AGUINDU</w:t>
            </w:r>
          </w:p>
        </w:tc>
        <w:tc>
          <w:tcPr>
            <w:tcW w:w="568" w:type="dxa"/>
          </w:tcPr>
          <w:p w14:paraId="36C50F71" w14:textId="77777777" w:rsidR="00E45822" w:rsidRDefault="00E45822">
            <w:pPr>
              <w:snapToGrid w:val="0"/>
              <w:spacing w:before="240" w:after="480"/>
            </w:pPr>
          </w:p>
        </w:tc>
        <w:tc>
          <w:tcPr>
            <w:tcW w:w="4393" w:type="dxa"/>
            <w:hideMark/>
          </w:tcPr>
          <w:p w14:paraId="40EE44CE" w14:textId="77777777" w:rsidR="00E45822" w:rsidRDefault="00E45822">
            <w:pPr>
              <w:snapToGrid w:val="0"/>
              <w:spacing w:before="240" w:after="480"/>
            </w:pPr>
            <w:r>
              <w:rPr>
                <w:b/>
                <w:noProof/>
              </w:rPr>
              <w:t>ORDEN FORAL</w:t>
            </w:r>
          </w:p>
        </w:tc>
      </w:tr>
      <w:tr w:rsidR="00E45822" w14:paraId="2E65F0F3" w14:textId="77777777" w:rsidTr="00E45822">
        <w:tc>
          <w:tcPr>
            <w:tcW w:w="4394" w:type="dxa"/>
            <w:hideMark/>
          </w:tcPr>
          <w:p w14:paraId="18F01FE2" w14:textId="77777777" w:rsidR="00E45822" w:rsidRDefault="00E45822">
            <w:pPr>
              <w:snapToGrid w:val="0"/>
              <w:spacing w:after="360"/>
              <w:rPr>
                <w:sz w:val="22"/>
              </w:rPr>
            </w:pPr>
            <w:r>
              <w:rPr>
                <w:sz w:val="22"/>
              </w:rPr>
              <w:t>Euskera, Kultura eta Kirol Saila</w:t>
            </w:r>
            <w:r>
              <w:rPr>
                <w:sz w:val="22"/>
              </w:rPr>
              <w:br/>
            </w:r>
            <w:r>
              <w:rPr>
                <w:noProof/>
                <w:sz w:val="22"/>
              </w:rPr>
              <w:t>Idazkaritza Teknikoko Zerbitzua</w:t>
            </w:r>
            <w:r>
              <w:rPr>
                <w:noProof/>
                <w:sz w:val="22"/>
              </w:rPr>
              <w:br/>
              <w:t>Esp.</w:t>
            </w:r>
            <w:r>
              <w:rPr>
                <w:sz w:val="22"/>
              </w:rPr>
              <w:t xml:space="preserve"> </w:t>
            </w:r>
            <w:r>
              <w:rPr>
                <w:noProof/>
                <w:sz w:val="22"/>
              </w:rPr>
              <w:t>Zk.:</w:t>
            </w:r>
            <w:r>
              <w:rPr>
                <w:sz w:val="22"/>
              </w:rPr>
              <w:t xml:space="preserve"> 18 ST12</w:t>
            </w:r>
          </w:p>
        </w:tc>
        <w:tc>
          <w:tcPr>
            <w:tcW w:w="568" w:type="dxa"/>
          </w:tcPr>
          <w:p w14:paraId="4F03CF2F" w14:textId="77777777" w:rsidR="00E45822" w:rsidRDefault="00E45822">
            <w:pPr>
              <w:snapToGrid w:val="0"/>
              <w:spacing w:after="360"/>
              <w:rPr>
                <w:sz w:val="22"/>
              </w:rPr>
            </w:pPr>
          </w:p>
        </w:tc>
        <w:tc>
          <w:tcPr>
            <w:tcW w:w="4393" w:type="dxa"/>
            <w:hideMark/>
          </w:tcPr>
          <w:p w14:paraId="60300CBF" w14:textId="77777777" w:rsidR="00E45822" w:rsidRDefault="00E45822">
            <w:pPr>
              <w:snapToGrid w:val="0"/>
              <w:spacing w:after="360"/>
              <w:rPr>
                <w:sz w:val="22"/>
              </w:rPr>
            </w:pPr>
            <w:r>
              <w:rPr>
                <w:sz w:val="22"/>
              </w:rPr>
              <w:t>Departamento de Euskera, Cultura y Deporte</w:t>
            </w:r>
            <w:r>
              <w:rPr>
                <w:sz w:val="22"/>
              </w:rPr>
              <w:br/>
            </w:r>
            <w:r>
              <w:rPr>
                <w:noProof/>
                <w:sz w:val="22"/>
              </w:rPr>
              <w:t xml:space="preserve">Servicio de Secretaria Técnica </w:t>
            </w:r>
            <w:r>
              <w:rPr>
                <w:noProof/>
                <w:sz w:val="22"/>
              </w:rPr>
              <w:br/>
              <w:t>Nº Expte.:</w:t>
            </w:r>
            <w:r>
              <w:rPr>
                <w:sz w:val="22"/>
              </w:rPr>
              <w:t xml:space="preserve"> 18 ST 12</w:t>
            </w:r>
          </w:p>
        </w:tc>
      </w:tr>
      <w:tr w:rsidR="00E45822" w14:paraId="6571A715" w14:textId="77777777" w:rsidTr="00E45822">
        <w:tc>
          <w:tcPr>
            <w:tcW w:w="4394" w:type="dxa"/>
          </w:tcPr>
          <w:p w14:paraId="17D973E5" w14:textId="77777777" w:rsidR="00E45822" w:rsidRDefault="00E45822">
            <w:pPr>
              <w:rPr>
                <w:b/>
                <w:noProof/>
                <w:sz w:val="22"/>
                <w:szCs w:val="22"/>
              </w:rPr>
            </w:pPr>
            <w:r>
              <w:rPr>
                <w:b/>
                <w:sz w:val="22"/>
                <w:szCs w:val="22"/>
                <w:lang w:val="eu-ES"/>
              </w:rPr>
              <w:t>Informazio publikoaren zati bat eskuratzea</w:t>
            </w:r>
          </w:p>
          <w:p w14:paraId="0C3FD4F6" w14:textId="77777777" w:rsidR="00E45822" w:rsidRDefault="00E45822">
            <w:pPr>
              <w:snapToGrid w:val="0"/>
              <w:spacing w:after="240"/>
              <w:rPr>
                <w:b/>
                <w:sz w:val="22"/>
              </w:rPr>
            </w:pPr>
          </w:p>
        </w:tc>
        <w:tc>
          <w:tcPr>
            <w:tcW w:w="568" w:type="dxa"/>
          </w:tcPr>
          <w:p w14:paraId="07D9A0C3" w14:textId="77777777" w:rsidR="00E45822" w:rsidRDefault="00E45822">
            <w:pPr>
              <w:snapToGrid w:val="0"/>
              <w:spacing w:after="240"/>
              <w:rPr>
                <w:b/>
                <w:sz w:val="22"/>
              </w:rPr>
            </w:pPr>
          </w:p>
        </w:tc>
        <w:tc>
          <w:tcPr>
            <w:tcW w:w="4393" w:type="dxa"/>
            <w:hideMark/>
          </w:tcPr>
          <w:p w14:paraId="42F8FF94" w14:textId="77777777" w:rsidR="00E45822" w:rsidRDefault="00E45822">
            <w:pPr>
              <w:snapToGrid w:val="0"/>
              <w:spacing w:after="240"/>
              <w:rPr>
                <w:b/>
                <w:sz w:val="22"/>
                <w:szCs w:val="22"/>
              </w:rPr>
            </w:pPr>
            <w:r>
              <w:rPr>
                <w:b/>
                <w:noProof/>
                <w:sz w:val="22"/>
                <w:szCs w:val="22"/>
              </w:rPr>
              <w:t>Acceso parcial a la información publica.</w:t>
            </w:r>
          </w:p>
        </w:tc>
      </w:tr>
      <w:tr w:rsidR="00E45822" w14:paraId="014D32F6" w14:textId="77777777" w:rsidTr="00E45822">
        <w:tc>
          <w:tcPr>
            <w:tcW w:w="4394" w:type="dxa"/>
          </w:tcPr>
          <w:p w14:paraId="5423B40F" w14:textId="1E6C45FA" w:rsidR="00E45822" w:rsidRPr="009115F5" w:rsidRDefault="00E45822">
            <w:pPr>
              <w:pStyle w:val="Sangradet2"/>
              <w:jc w:val="left"/>
              <w:rPr>
                <w:rFonts w:ascii="Times New Roman" w:hAnsi="Times New Roman"/>
                <w:noProof/>
              </w:rPr>
            </w:pPr>
            <w:r w:rsidRPr="009115F5">
              <w:rPr>
                <w:rFonts w:ascii="Times New Roman" w:hAnsi="Times New Roman"/>
              </w:rPr>
              <w:t xml:space="preserve">2017ko abenduaren 26ko eskaera bidez, </w:t>
            </w:r>
            <w:r w:rsidR="00074AAC" w:rsidRPr="000C1CA3">
              <w:rPr>
                <w:highlight w:val="black"/>
              </w:rPr>
              <w:t>xxxxx</w:t>
            </w:r>
            <w:r w:rsidR="008B533E">
              <w:rPr>
                <w:rFonts w:ascii="Times New Roman" w:hAnsi="Times New Roman"/>
              </w:rPr>
              <w:t>k</w:t>
            </w:r>
            <w:r w:rsidRPr="009115F5">
              <w:rPr>
                <w:rFonts w:ascii="Times New Roman" w:hAnsi="Times New Roman"/>
              </w:rPr>
              <w:t xml:space="preserve"> eskatu zuen 2015/2016 denboraldiari buruzko informazio hau eskuratzeko:</w:t>
            </w:r>
          </w:p>
          <w:p w14:paraId="78BF7EB5" w14:textId="77777777" w:rsidR="00E45822" w:rsidRPr="009115F5" w:rsidRDefault="00E45822">
            <w:pPr>
              <w:pStyle w:val="Sangradet2"/>
              <w:jc w:val="left"/>
              <w:rPr>
                <w:rFonts w:ascii="Times New Roman" w:hAnsi="Times New Roman"/>
                <w:noProof/>
              </w:rPr>
            </w:pPr>
          </w:p>
          <w:p w14:paraId="656CEF18" w14:textId="77777777" w:rsidR="00E45822" w:rsidRPr="009115F5" w:rsidRDefault="00E45822" w:rsidP="00E45822">
            <w:pPr>
              <w:pStyle w:val="Sangradet2"/>
              <w:numPr>
                <w:ilvl w:val="0"/>
                <w:numId w:val="5"/>
              </w:numPr>
              <w:jc w:val="left"/>
              <w:rPr>
                <w:rFonts w:ascii="Times New Roman" w:hAnsi="Times New Roman"/>
                <w:noProof/>
              </w:rPr>
            </w:pPr>
            <w:r w:rsidRPr="009115F5">
              <w:rPr>
                <w:rFonts w:ascii="Times New Roman" w:hAnsi="Times New Roman"/>
              </w:rPr>
              <w:t>Aldundiak dituen gastuak Karate, Taekwondo eta Boxeo federazioekin dagoen hitzarmenerako.</w:t>
            </w:r>
          </w:p>
          <w:p w14:paraId="1F1D69FA" w14:textId="77777777" w:rsidR="00E45822" w:rsidRPr="009115F5" w:rsidRDefault="00E45822" w:rsidP="00E45822">
            <w:pPr>
              <w:pStyle w:val="Sangradet2"/>
              <w:numPr>
                <w:ilvl w:val="0"/>
                <w:numId w:val="5"/>
              </w:numPr>
              <w:jc w:val="left"/>
              <w:rPr>
                <w:rFonts w:ascii="Times New Roman" w:hAnsi="Times New Roman"/>
                <w:noProof/>
              </w:rPr>
            </w:pPr>
            <w:r w:rsidRPr="009115F5">
              <w:rPr>
                <w:rFonts w:ascii="Times New Roman" w:hAnsi="Times New Roman"/>
              </w:rPr>
              <w:t>Kirol erakundeei eta gurasoen elkarteei emaniko dirulaguntzak, ikasleek eskola kirolean (karate, taekwondo eta boxeo) parte hartzea lortzeko akuilu gisa.</w:t>
            </w:r>
          </w:p>
          <w:p w14:paraId="467751C5" w14:textId="77777777" w:rsidR="00E45822" w:rsidRPr="009115F5" w:rsidRDefault="00E45822" w:rsidP="00E45822">
            <w:pPr>
              <w:pStyle w:val="Sangradet2"/>
              <w:numPr>
                <w:ilvl w:val="0"/>
                <w:numId w:val="5"/>
              </w:numPr>
              <w:jc w:val="left"/>
              <w:rPr>
                <w:rFonts w:ascii="Times New Roman" w:hAnsi="Times New Roman"/>
                <w:noProof/>
              </w:rPr>
            </w:pPr>
            <w:r w:rsidRPr="009115F5">
              <w:rPr>
                <w:rFonts w:ascii="Times New Roman" w:hAnsi="Times New Roman"/>
              </w:rPr>
              <w:t>Zenbat ordaintzen zaien kirol erakundeei eta gurasoen elkarteei arte martzialak egiten dituzten eskola umeentzako kirol proiektuak sortu eta mantentzeko.</w:t>
            </w:r>
          </w:p>
          <w:p w14:paraId="6A88C403" w14:textId="77777777" w:rsidR="00E45822" w:rsidRPr="009115F5" w:rsidRDefault="00E45822" w:rsidP="00E45822">
            <w:pPr>
              <w:pStyle w:val="Sangradet2"/>
              <w:numPr>
                <w:ilvl w:val="0"/>
                <w:numId w:val="5"/>
              </w:numPr>
              <w:jc w:val="left"/>
              <w:rPr>
                <w:rFonts w:ascii="Times New Roman" w:hAnsi="Times New Roman"/>
                <w:noProof/>
              </w:rPr>
            </w:pPr>
            <w:r w:rsidRPr="009115F5">
              <w:rPr>
                <w:rFonts w:ascii="Times New Roman" w:hAnsi="Times New Roman"/>
              </w:rPr>
              <w:t>Eskola kirolera bideratzen den edozein diru kopuru eta karate, taekwondo, boxeo eta kenporako aseguru polizak.</w:t>
            </w:r>
          </w:p>
          <w:p w14:paraId="1BD491F1" w14:textId="77777777" w:rsidR="00E45822" w:rsidRPr="009115F5" w:rsidRDefault="00E45822" w:rsidP="00E45822">
            <w:pPr>
              <w:pStyle w:val="Sangradet2"/>
              <w:numPr>
                <w:ilvl w:val="0"/>
                <w:numId w:val="5"/>
              </w:numPr>
              <w:jc w:val="left"/>
              <w:rPr>
                <w:rFonts w:ascii="Times New Roman" w:hAnsi="Times New Roman"/>
                <w:noProof/>
              </w:rPr>
            </w:pPr>
            <w:r w:rsidRPr="009115F5">
              <w:rPr>
                <w:rFonts w:ascii="Times New Roman" w:hAnsi="Times New Roman"/>
              </w:rPr>
              <w:t>Zenbat “gradu txartel” izapidetu dituen Karate Federazioak, FTAKen bidez.</w:t>
            </w:r>
          </w:p>
          <w:p w14:paraId="44EF7EC7" w14:textId="77777777" w:rsidR="00E45822" w:rsidRPr="009115F5" w:rsidRDefault="00E45822" w:rsidP="00E45822">
            <w:pPr>
              <w:pStyle w:val="Sangradet2"/>
              <w:numPr>
                <w:ilvl w:val="0"/>
                <w:numId w:val="5"/>
              </w:numPr>
              <w:jc w:val="left"/>
              <w:rPr>
                <w:rFonts w:ascii="Times New Roman" w:hAnsi="Times New Roman"/>
                <w:noProof/>
              </w:rPr>
            </w:pPr>
            <w:r w:rsidRPr="009115F5">
              <w:rPr>
                <w:rFonts w:ascii="Times New Roman" w:hAnsi="Times New Roman"/>
              </w:rPr>
              <w:t>Eta zenbatek parte hartu duen eskola kirolean eta haien klasifikazioa.</w:t>
            </w:r>
          </w:p>
          <w:p w14:paraId="32DF62EC" w14:textId="77777777" w:rsidR="00E45822" w:rsidRPr="009115F5" w:rsidRDefault="00E45822">
            <w:pPr>
              <w:pStyle w:val="Sangradet2"/>
              <w:jc w:val="left"/>
              <w:rPr>
                <w:rFonts w:ascii="Times New Roman" w:hAnsi="Times New Roman"/>
                <w:noProof/>
              </w:rPr>
            </w:pPr>
          </w:p>
          <w:p w14:paraId="3EE2CE47" w14:textId="77777777" w:rsidR="00E45822" w:rsidRPr="009115F5" w:rsidRDefault="00E45822">
            <w:pPr>
              <w:rPr>
                <w:rFonts w:ascii="Times New Roman" w:hAnsi="Times New Roman"/>
                <w:sz w:val="22"/>
              </w:rPr>
            </w:pPr>
          </w:p>
          <w:p w14:paraId="1E104BC4" w14:textId="77777777" w:rsidR="00E45822" w:rsidRPr="009115F5" w:rsidRDefault="00E45822">
            <w:pPr>
              <w:rPr>
                <w:rFonts w:ascii="Times New Roman" w:hAnsi="Times New Roman"/>
                <w:sz w:val="22"/>
              </w:rPr>
            </w:pPr>
          </w:p>
          <w:p w14:paraId="72376D1A" w14:textId="77777777" w:rsidR="00E45822" w:rsidRPr="009115F5" w:rsidRDefault="00E45822">
            <w:pPr>
              <w:rPr>
                <w:rFonts w:ascii="Times New Roman" w:hAnsi="Times New Roman"/>
                <w:i/>
                <w:sz w:val="22"/>
              </w:rPr>
            </w:pPr>
            <w:r w:rsidRPr="009115F5">
              <w:rPr>
                <w:rFonts w:ascii="Times New Roman" w:hAnsi="Times New Roman"/>
                <w:sz w:val="22"/>
              </w:rPr>
              <w:t>Arlo honetako oinarrizko legea abenduaren 9ko 19/2013 Legea da, gardentasunari, informazio publikoa eskuratzeari eta gobernu onari buruzkoa (GIPEGOL). Lege horrek hauxe xedatzen du 13. artikuluan: “Informazio publikotzat jotzen dira titulu honetako subjektuek beren eginkizunetan sortu edo jaso eta beren esku dituzten edukiak eta dokumentuak, formatua edo euskarria gorabehera.”</w:t>
            </w:r>
          </w:p>
          <w:p w14:paraId="5361628C" w14:textId="77777777" w:rsidR="00E45822" w:rsidRPr="009115F5" w:rsidRDefault="00E45822">
            <w:pPr>
              <w:jc w:val="both"/>
              <w:rPr>
                <w:rFonts w:ascii="Times New Roman" w:hAnsi="Times New Roman"/>
                <w:sz w:val="22"/>
                <w:szCs w:val="22"/>
              </w:rPr>
            </w:pPr>
          </w:p>
          <w:p w14:paraId="5A0E8879" w14:textId="77777777" w:rsidR="00E45822" w:rsidRPr="009115F5" w:rsidRDefault="00E45822">
            <w:pPr>
              <w:rPr>
                <w:rFonts w:ascii="Times New Roman" w:hAnsi="Times New Roman"/>
                <w:sz w:val="22"/>
                <w:szCs w:val="22"/>
              </w:rPr>
            </w:pPr>
          </w:p>
          <w:p w14:paraId="7A966E35" w14:textId="77777777" w:rsidR="00E45822" w:rsidRPr="009115F5" w:rsidRDefault="00E45822">
            <w:pPr>
              <w:rPr>
                <w:rFonts w:ascii="Times New Roman" w:hAnsi="Times New Roman"/>
                <w:sz w:val="22"/>
                <w:szCs w:val="22"/>
              </w:rPr>
            </w:pPr>
            <w:r w:rsidRPr="009115F5">
              <w:rPr>
                <w:rFonts w:ascii="Times New Roman" w:hAnsi="Times New Roman"/>
                <w:sz w:val="22"/>
                <w:szCs w:val="22"/>
              </w:rPr>
              <w:t>Halaber, GIPEGOLek mugak ezartzen dizkio informazio publikoa eskuratzeko eskubideari. Muga horiek kontuan ditu otsailaren 8ko 1/2017 Foru Arauak, Arabako Lurralde Historikoko sektore publikoaren gardentasunaren, herritarren parte hartzearen eta gobernu onarenak, 31. artikuluan ezartzen baitu informazio publikoa eskuratzeko eskubidea mugatu edo ukatu egingo dela oinarrizko legerian ezartzen diren arrazoiengatik eta bertan adierazten den moduan</w:t>
            </w:r>
          </w:p>
          <w:p w14:paraId="780EE8CD" w14:textId="77777777" w:rsidR="00E45822" w:rsidRPr="009115F5" w:rsidRDefault="00E45822">
            <w:pPr>
              <w:rPr>
                <w:rFonts w:ascii="Times New Roman" w:hAnsi="Times New Roman"/>
                <w:sz w:val="22"/>
                <w:szCs w:val="22"/>
              </w:rPr>
            </w:pPr>
          </w:p>
          <w:p w14:paraId="6F0602EC" w14:textId="77777777" w:rsidR="00E45822" w:rsidRPr="009115F5" w:rsidRDefault="00E45822">
            <w:pPr>
              <w:rPr>
                <w:rFonts w:ascii="Times New Roman" w:hAnsi="Times New Roman"/>
                <w:sz w:val="22"/>
                <w:szCs w:val="22"/>
              </w:rPr>
            </w:pPr>
          </w:p>
          <w:p w14:paraId="54AAFAB7" w14:textId="77777777" w:rsidR="00E45822" w:rsidRPr="009115F5" w:rsidRDefault="00E45822">
            <w:pPr>
              <w:rPr>
                <w:rFonts w:ascii="Times New Roman" w:hAnsi="Times New Roman"/>
                <w:sz w:val="22"/>
              </w:rPr>
            </w:pPr>
            <w:r w:rsidRPr="009115F5">
              <w:rPr>
                <w:rFonts w:ascii="Times New Roman" w:hAnsi="Times New Roman"/>
                <w:sz w:val="22"/>
                <w:lang w:val="eu-ES"/>
              </w:rPr>
              <w:t>Hizpide dugun eskaerari dagokionez, GIPEGOLek 15. artikuluan ezartzen du kasu batzuetan datu pertsonalak babesteko beharraren ondorioz mugak ezartzen zaizkiola informazio publikoa eskuratzeko eskubideari.</w:t>
            </w:r>
            <w:r w:rsidRPr="009115F5">
              <w:rPr>
                <w:rFonts w:ascii="Times New Roman" w:hAnsi="Times New Roman"/>
                <w:sz w:val="22"/>
              </w:rPr>
              <w:t xml:space="preserve"> </w:t>
            </w:r>
          </w:p>
          <w:p w14:paraId="3E61165F" w14:textId="77777777" w:rsidR="00E45822" w:rsidRPr="009115F5" w:rsidRDefault="00E45822">
            <w:pPr>
              <w:rPr>
                <w:rFonts w:ascii="Times New Roman" w:hAnsi="Times New Roman"/>
                <w:sz w:val="22"/>
              </w:rPr>
            </w:pPr>
          </w:p>
          <w:p w14:paraId="2DA416D3" w14:textId="77777777" w:rsidR="00E45822" w:rsidRPr="009115F5" w:rsidRDefault="00E45822">
            <w:pPr>
              <w:rPr>
                <w:rFonts w:ascii="Times New Roman" w:hAnsi="Times New Roman"/>
                <w:sz w:val="22"/>
              </w:rPr>
            </w:pPr>
            <w:r w:rsidRPr="009115F5">
              <w:rPr>
                <w:rFonts w:ascii="Times New Roman" w:hAnsi="Times New Roman"/>
                <w:sz w:val="22"/>
                <w:lang w:val="eu-ES"/>
              </w:rPr>
              <w:t>Eskatutako informazioaren zati batean, zehazki eskola kiroleko parte hartzaileen sailkapenei dagokienean, datu pertsonalak daude, hain zuzen pertsona fisikoen izen abizenak, zeinen bidez identifikatzen baitira edo identifika baitaitezke pertsona horiek.</w:t>
            </w:r>
          </w:p>
          <w:p w14:paraId="0B0C6E1A" w14:textId="77777777" w:rsidR="00E45822" w:rsidRPr="009115F5" w:rsidRDefault="00E45822">
            <w:pPr>
              <w:rPr>
                <w:rFonts w:ascii="Times New Roman" w:hAnsi="Times New Roman"/>
                <w:sz w:val="22"/>
              </w:rPr>
            </w:pPr>
          </w:p>
          <w:p w14:paraId="76E89FED" w14:textId="77777777" w:rsidR="00E45822" w:rsidRPr="009115F5" w:rsidRDefault="00E45822">
            <w:pPr>
              <w:rPr>
                <w:rFonts w:ascii="Times New Roman" w:hAnsi="Times New Roman"/>
                <w:sz w:val="22"/>
                <w:lang w:val="eu-ES"/>
              </w:rPr>
            </w:pPr>
            <w:r w:rsidRPr="009115F5">
              <w:rPr>
                <w:rFonts w:ascii="Times New Roman" w:hAnsi="Times New Roman"/>
                <w:sz w:val="22"/>
                <w:lang w:val="eu-ES"/>
              </w:rPr>
              <w:t>Datu horiek ez ditu bereziki babesten datu pertsonalak babesteko lege organikoak 7. artikuluan, eta ez dira kasuan kasuko organo edo erakundearen antolaketa, funtzionamendu edo jarduera publikoari loturiko identifikazio datuak huts-hutsik. Beraz, Gardentasunaren eta Gobernu Onaren Kontseiluaren eta Datuak Babesteko Espainiako Bulegoaren arabera, informazioa eskuratzeko baimena eman ala ez erabakitzeko, GIPEGOLek 15. artikuluaren 3. idatz zatian ezarritakoa aztertu eta kontuan hartu beharko da. Hau da, eskaera jaso duen organoak informazioa eskuratzea baimendu edo ukatuko du, informazioa ezagutarazteak daukan interes publikoa eta eskatutako informazioan ageri diren datuen jabeen eskubideak (bereziki datu pertsonalak babesteko oinarrizko eskubidea) behar bezala aztertu eta kontuan hartuta.</w:t>
            </w:r>
          </w:p>
          <w:p w14:paraId="554C480C" w14:textId="77777777" w:rsidR="00E45822" w:rsidRPr="009115F5" w:rsidRDefault="00E45822">
            <w:pPr>
              <w:rPr>
                <w:rFonts w:ascii="Times New Roman" w:hAnsi="Times New Roman"/>
                <w:sz w:val="22"/>
                <w:lang w:val="eu-ES"/>
              </w:rPr>
            </w:pPr>
          </w:p>
          <w:p w14:paraId="6A74E56D" w14:textId="77777777" w:rsidR="00E45822" w:rsidRPr="009115F5" w:rsidRDefault="00E45822">
            <w:pPr>
              <w:rPr>
                <w:rFonts w:ascii="Times New Roman" w:hAnsi="Times New Roman"/>
                <w:sz w:val="22"/>
                <w:lang w:val="eu-ES"/>
              </w:rPr>
            </w:pPr>
            <w:r w:rsidRPr="009115F5">
              <w:rPr>
                <w:rFonts w:ascii="Times New Roman" w:hAnsi="Times New Roman"/>
                <w:sz w:val="22"/>
                <w:lang w:val="eu-ES"/>
              </w:rPr>
              <w:t xml:space="preserve">Beraz, eskaera egiteko arrazoia ez denez eskubide bat baliatzea, edo ikertzaile izatea, eta ez duenez arrazoitzen informazioa helburu </w:t>
            </w:r>
            <w:r w:rsidRPr="009115F5">
              <w:rPr>
                <w:rFonts w:ascii="Times New Roman" w:hAnsi="Times New Roman"/>
                <w:sz w:val="22"/>
                <w:lang w:val="eu-ES"/>
              </w:rPr>
              <w:lastRenderedPageBreak/>
              <w:t xml:space="preserve">historiko, zientifiko edo estatistikoekin lortu nahi duela, eta datuak adingabeei buruzkoak direnean eragindakoen eskubideak ahalik eta ondoen bermatu beharra gailentzen denez, ezin da baimenik eman eskola kiroleko parte hartzaileen sailkapenei buruzko informazioa eskuratzeko. </w:t>
            </w:r>
          </w:p>
          <w:p w14:paraId="2192641C" w14:textId="77777777" w:rsidR="00E45822" w:rsidRPr="009115F5" w:rsidRDefault="00E45822">
            <w:pPr>
              <w:rPr>
                <w:rFonts w:ascii="Times New Roman" w:hAnsi="Times New Roman"/>
                <w:sz w:val="22"/>
                <w:lang w:val="eu-ES"/>
              </w:rPr>
            </w:pPr>
          </w:p>
          <w:p w14:paraId="08175407" w14:textId="77777777" w:rsidR="00E45822" w:rsidRPr="009115F5" w:rsidRDefault="00E45822">
            <w:pPr>
              <w:rPr>
                <w:rFonts w:ascii="Times New Roman" w:hAnsi="Times New Roman"/>
                <w:sz w:val="22"/>
                <w:lang w:val="eu-ES"/>
              </w:rPr>
            </w:pPr>
            <w:r w:rsidRPr="009115F5">
              <w:rPr>
                <w:rFonts w:ascii="Times New Roman" w:hAnsi="Times New Roman"/>
                <w:sz w:val="22"/>
                <w:lang w:val="eu-ES"/>
              </w:rPr>
              <w:t xml:space="preserve">Otsailaren 8ko 1/2017 Foru Arauak, Arabako Lurralde Historikoko sektore publikoaren gardentasunaren, herritarren parte hartzearen eta gobernu onarenak, ere 31.1 artikuluan jasotzen du adingabeak babestea izan daitekeela informazioa eskuratzeko baimena ukatzeko arrazoietako bat, betiere arrazoituta eta gatazkan dauden interesak haztatu ondoren. </w:t>
            </w:r>
          </w:p>
          <w:p w14:paraId="01FF3975" w14:textId="77777777" w:rsidR="00E45822" w:rsidRPr="009115F5" w:rsidRDefault="00E45822">
            <w:pPr>
              <w:jc w:val="both"/>
              <w:rPr>
                <w:rFonts w:ascii="Times New Roman" w:hAnsi="Times New Roman"/>
                <w:sz w:val="22"/>
                <w:lang w:val="eu-ES"/>
              </w:rPr>
            </w:pPr>
          </w:p>
          <w:p w14:paraId="374BF7B9" w14:textId="77777777" w:rsidR="00E45822" w:rsidRPr="009115F5" w:rsidRDefault="00E45822">
            <w:pPr>
              <w:rPr>
                <w:rFonts w:ascii="Times New Roman" w:hAnsi="Times New Roman"/>
                <w:sz w:val="22"/>
                <w:szCs w:val="22"/>
                <w:lang w:val="eu-ES"/>
              </w:rPr>
            </w:pPr>
            <w:r w:rsidRPr="009115F5">
              <w:rPr>
                <w:rFonts w:ascii="Times New Roman" w:hAnsi="Times New Roman"/>
                <w:sz w:val="22"/>
                <w:lang w:val="eu-ES"/>
              </w:rPr>
              <w:t>Informazioa paperean emango da, nahiz eta xedatzen den nagusiki eta ahal den guztietan bide elektronikoen bitartez emango dela. Izan ere, eskatzaileak eskaera formatu horretan aurkeztu du, eta ez du adierazi nola eta zein formatutan jaso nahi duen erantzuna. Eta ez du prezio publikorik ordaindu beharko, DIN A4 formatuko 20 orrialde baino gutxiago hartzen dituelako eman beharreko informazioak (Foru Gobernu Kontseiluaren abuztuaren 3ko 40/2017 Foru Dekretuaren, informazio publikoa emateko prezio publikoak onartzen dituenaren, 4.2 artikulua)</w:t>
            </w:r>
          </w:p>
          <w:p w14:paraId="786B5337" w14:textId="77777777" w:rsidR="00E45822" w:rsidRPr="009115F5" w:rsidRDefault="00E45822">
            <w:pPr>
              <w:rPr>
                <w:rFonts w:ascii="Times New Roman" w:hAnsi="Times New Roman"/>
                <w:sz w:val="22"/>
                <w:szCs w:val="22"/>
                <w:lang w:val="eu-ES"/>
              </w:rPr>
            </w:pPr>
          </w:p>
          <w:p w14:paraId="4864621C" w14:textId="77777777" w:rsidR="00E45822" w:rsidRPr="009115F5" w:rsidRDefault="00E45822">
            <w:pPr>
              <w:jc w:val="both"/>
              <w:rPr>
                <w:rFonts w:ascii="Times New Roman" w:hAnsi="Times New Roman"/>
                <w:noProof/>
                <w:sz w:val="22"/>
              </w:rPr>
            </w:pPr>
            <w:r w:rsidRPr="009115F5">
              <w:rPr>
                <w:rFonts w:ascii="Times New Roman" w:hAnsi="Times New Roman"/>
                <w:sz w:val="22"/>
              </w:rPr>
              <w:t>Aginduzko txostenak aztertu dira.</w:t>
            </w:r>
          </w:p>
          <w:p w14:paraId="4E14B333" w14:textId="77777777" w:rsidR="00E45822" w:rsidRPr="009115F5" w:rsidRDefault="00E45822">
            <w:pPr>
              <w:pStyle w:val="Textoindependiente"/>
              <w:rPr>
                <w:rFonts w:ascii="Times New Roman" w:hAnsi="Times New Roman"/>
                <w:noProof/>
                <w:lang w:val="eu-ES"/>
              </w:rPr>
            </w:pPr>
          </w:p>
          <w:p w14:paraId="0B2B7C01" w14:textId="77777777" w:rsidR="00E45822" w:rsidRPr="009115F5" w:rsidRDefault="00E45822">
            <w:pPr>
              <w:pStyle w:val="Textoindependiente"/>
              <w:jc w:val="left"/>
              <w:rPr>
                <w:rFonts w:ascii="Times New Roman" w:hAnsi="Times New Roman"/>
                <w:noProof/>
                <w:lang w:val="eu-ES"/>
              </w:rPr>
            </w:pPr>
            <w:r w:rsidRPr="009115F5">
              <w:rPr>
                <w:rFonts w:ascii="Times New Roman" w:hAnsi="Times New Roman"/>
                <w:lang w:val="eu-ES"/>
              </w:rPr>
              <w:t>Horregatik, eta dagozkidan eskumenez baliatuz, hau</w:t>
            </w:r>
          </w:p>
          <w:p w14:paraId="1E40E8FD" w14:textId="77777777" w:rsidR="00E45822" w:rsidRPr="009115F5" w:rsidRDefault="00E45822">
            <w:pPr>
              <w:rPr>
                <w:rFonts w:ascii="Times New Roman" w:hAnsi="Times New Roman"/>
                <w:sz w:val="22"/>
                <w:szCs w:val="22"/>
                <w:lang w:val="eu-ES"/>
              </w:rPr>
            </w:pPr>
          </w:p>
          <w:p w14:paraId="3B36F559" w14:textId="77777777" w:rsidR="00E45822" w:rsidRPr="009115F5" w:rsidRDefault="00E45822">
            <w:pPr>
              <w:pStyle w:val="Textoindependiente"/>
              <w:jc w:val="left"/>
              <w:rPr>
                <w:rFonts w:ascii="Times New Roman" w:hAnsi="Times New Roman"/>
                <w:lang w:val="eu-ES"/>
              </w:rPr>
            </w:pPr>
          </w:p>
        </w:tc>
        <w:tc>
          <w:tcPr>
            <w:tcW w:w="568" w:type="dxa"/>
          </w:tcPr>
          <w:p w14:paraId="466F1D17" w14:textId="77777777" w:rsidR="00E45822" w:rsidRPr="009115F5" w:rsidRDefault="00E45822">
            <w:pPr>
              <w:widowControl w:val="0"/>
              <w:snapToGrid w:val="0"/>
              <w:rPr>
                <w:rFonts w:ascii="Times New Roman" w:hAnsi="Times New Roman"/>
                <w:sz w:val="22"/>
                <w:lang w:val="eu-ES"/>
              </w:rPr>
            </w:pPr>
          </w:p>
        </w:tc>
        <w:tc>
          <w:tcPr>
            <w:tcW w:w="4393" w:type="dxa"/>
          </w:tcPr>
          <w:p w14:paraId="2FBBD951" w14:textId="40772B1F" w:rsidR="00E45822" w:rsidRPr="009115F5" w:rsidRDefault="00E45822">
            <w:pPr>
              <w:pStyle w:val="Sangradet2"/>
              <w:jc w:val="left"/>
              <w:rPr>
                <w:rFonts w:ascii="Times New Roman" w:hAnsi="Times New Roman"/>
                <w:noProof/>
              </w:rPr>
            </w:pPr>
            <w:r w:rsidRPr="009115F5">
              <w:rPr>
                <w:rFonts w:ascii="Times New Roman" w:hAnsi="Times New Roman"/>
                <w:noProof/>
              </w:rPr>
              <w:t xml:space="preserve">Mediante solicitud de fecha 26 de diciembre de 2017, </w:t>
            </w:r>
            <w:r w:rsidR="00074AAC" w:rsidRPr="000C1CA3">
              <w:rPr>
                <w:highlight w:val="black"/>
              </w:rPr>
              <w:t>xxxxx</w:t>
            </w:r>
            <w:r w:rsidRPr="009115F5">
              <w:rPr>
                <w:rFonts w:ascii="Times New Roman" w:hAnsi="Times New Roman"/>
                <w:noProof/>
              </w:rPr>
              <w:t>, solicita el acceso a la siguiente información referida a la temporada 2015/2016:</w:t>
            </w:r>
          </w:p>
          <w:p w14:paraId="548CC9B9" w14:textId="77777777" w:rsidR="00E45822" w:rsidRPr="009115F5" w:rsidRDefault="00E45822">
            <w:pPr>
              <w:pStyle w:val="Sangradet2"/>
              <w:jc w:val="left"/>
              <w:rPr>
                <w:rFonts w:ascii="Times New Roman" w:hAnsi="Times New Roman"/>
                <w:noProof/>
              </w:rPr>
            </w:pPr>
          </w:p>
          <w:p w14:paraId="38239B1E" w14:textId="77777777" w:rsidR="00E45822" w:rsidRPr="009115F5" w:rsidRDefault="00E45822" w:rsidP="00E45822">
            <w:pPr>
              <w:pStyle w:val="Sangradet2"/>
              <w:numPr>
                <w:ilvl w:val="0"/>
                <w:numId w:val="5"/>
              </w:numPr>
              <w:jc w:val="left"/>
              <w:rPr>
                <w:rFonts w:ascii="Times New Roman" w:hAnsi="Times New Roman"/>
                <w:noProof/>
              </w:rPr>
            </w:pPr>
            <w:r w:rsidRPr="009115F5">
              <w:rPr>
                <w:rFonts w:ascii="Times New Roman" w:hAnsi="Times New Roman"/>
                <w:noProof/>
              </w:rPr>
              <w:t>Gastos que tiene Diputación destinados al convenio con la Federación de Karate, Taekwondo, Boxeo.</w:t>
            </w:r>
          </w:p>
          <w:p w14:paraId="4902B0BB" w14:textId="77777777" w:rsidR="00E45822" w:rsidRPr="009115F5" w:rsidRDefault="00E45822" w:rsidP="00E45822">
            <w:pPr>
              <w:pStyle w:val="Sangradet2"/>
              <w:numPr>
                <w:ilvl w:val="0"/>
                <w:numId w:val="5"/>
              </w:numPr>
              <w:jc w:val="left"/>
              <w:rPr>
                <w:rFonts w:ascii="Times New Roman" w:hAnsi="Times New Roman"/>
                <w:noProof/>
              </w:rPr>
            </w:pPr>
            <w:r w:rsidRPr="009115F5">
              <w:rPr>
                <w:rFonts w:ascii="Times New Roman" w:hAnsi="Times New Roman"/>
                <w:noProof/>
              </w:rPr>
              <w:t>Subvenciones dadas a las entidades deportivas y AMPAS como estímulo para lograr que sus alumnos participen en deporte escolar Karate, Taekwondo, Boxeo.</w:t>
            </w:r>
          </w:p>
          <w:p w14:paraId="0742BFD1" w14:textId="77777777" w:rsidR="00E45822" w:rsidRPr="009115F5" w:rsidRDefault="00E45822" w:rsidP="00E45822">
            <w:pPr>
              <w:pStyle w:val="Sangradet2"/>
              <w:numPr>
                <w:ilvl w:val="0"/>
                <w:numId w:val="5"/>
              </w:numPr>
              <w:jc w:val="left"/>
              <w:rPr>
                <w:rFonts w:ascii="Times New Roman" w:hAnsi="Times New Roman"/>
                <w:noProof/>
              </w:rPr>
            </w:pPr>
            <w:r w:rsidRPr="009115F5">
              <w:rPr>
                <w:rFonts w:ascii="Times New Roman" w:hAnsi="Times New Roman"/>
                <w:noProof/>
              </w:rPr>
              <w:t>Lo que se paga a las entidades deportivas y AMPAS por crear y mantener los proyectos deportivos para escolares que hacen artes marciales.</w:t>
            </w:r>
          </w:p>
          <w:p w14:paraId="26C56C26" w14:textId="77777777" w:rsidR="00E45822" w:rsidRPr="009115F5" w:rsidRDefault="00E45822" w:rsidP="00E45822">
            <w:pPr>
              <w:pStyle w:val="Sangradet2"/>
              <w:numPr>
                <w:ilvl w:val="0"/>
                <w:numId w:val="5"/>
              </w:numPr>
              <w:jc w:val="left"/>
              <w:rPr>
                <w:rFonts w:ascii="Times New Roman" w:hAnsi="Times New Roman"/>
                <w:noProof/>
              </w:rPr>
            </w:pPr>
            <w:r w:rsidRPr="009115F5">
              <w:rPr>
                <w:rFonts w:ascii="Times New Roman" w:hAnsi="Times New Roman"/>
                <w:noProof/>
              </w:rPr>
              <w:t>Cualquier otra cantidad que se destine a deporte escolar, como pólizas de seguro para Karate, Taekwondo, Boxeo, Kenpo.</w:t>
            </w:r>
          </w:p>
          <w:p w14:paraId="7ED2C29F" w14:textId="77777777" w:rsidR="00E45822" w:rsidRPr="009115F5" w:rsidRDefault="00E45822" w:rsidP="00E45822">
            <w:pPr>
              <w:pStyle w:val="Sangradet2"/>
              <w:numPr>
                <w:ilvl w:val="0"/>
                <w:numId w:val="5"/>
              </w:numPr>
              <w:jc w:val="left"/>
              <w:rPr>
                <w:rFonts w:ascii="Times New Roman" w:hAnsi="Times New Roman"/>
                <w:noProof/>
              </w:rPr>
            </w:pPr>
            <w:r w:rsidRPr="009115F5">
              <w:rPr>
                <w:rFonts w:ascii="Times New Roman" w:hAnsi="Times New Roman"/>
                <w:noProof/>
              </w:rPr>
              <w:t>El nº de “carnet de grado” que se han tramitado por la Federación de Karate a través de la FTAK.</w:t>
            </w:r>
          </w:p>
          <w:p w14:paraId="76813F46" w14:textId="77777777" w:rsidR="00E45822" w:rsidRPr="009115F5" w:rsidRDefault="00E45822" w:rsidP="00E45822">
            <w:pPr>
              <w:pStyle w:val="Sangradet2"/>
              <w:numPr>
                <w:ilvl w:val="0"/>
                <w:numId w:val="5"/>
              </w:numPr>
              <w:jc w:val="left"/>
              <w:rPr>
                <w:rFonts w:ascii="Times New Roman" w:hAnsi="Times New Roman"/>
                <w:noProof/>
              </w:rPr>
            </w:pPr>
            <w:r w:rsidRPr="009115F5">
              <w:rPr>
                <w:rFonts w:ascii="Times New Roman" w:hAnsi="Times New Roman"/>
                <w:noProof/>
              </w:rPr>
              <w:t>Y los participantes en el deporte escolar y clasificación.</w:t>
            </w:r>
          </w:p>
          <w:p w14:paraId="576567D3" w14:textId="77777777" w:rsidR="00E45822" w:rsidRPr="009115F5" w:rsidRDefault="00E45822">
            <w:pPr>
              <w:pStyle w:val="Sangradet2"/>
              <w:jc w:val="left"/>
              <w:rPr>
                <w:rFonts w:ascii="Times New Roman" w:hAnsi="Times New Roman"/>
                <w:noProof/>
              </w:rPr>
            </w:pPr>
          </w:p>
          <w:p w14:paraId="684CEC2E" w14:textId="77777777" w:rsidR="00E45822" w:rsidRPr="009115F5" w:rsidRDefault="00E45822">
            <w:pPr>
              <w:rPr>
                <w:rFonts w:ascii="Times New Roman" w:hAnsi="Times New Roman"/>
                <w:i/>
                <w:sz w:val="22"/>
              </w:rPr>
            </w:pPr>
            <w:r w:rsidRPr="009115F5">
              <w:rPr>
                <w:rFonts w:ascii="Times New Roman" w:hAnsi="Times New Roman"/>
                <w:sz w:val="22"/>
              </w:rPr>
              <w:t>La Ley 19/2013, de 9 de diciembre, de Transparencia, Acceso a la Información Pública y Buen Gobierno (LTAIBG), como ley básica en la materia, en su artículo 13 dispone “</w:t>
            </w:r>
            <w:r w:rsidRPr="009115F5">
              <w:rPr>
                <w:rFonts w:ascii="Times New Roman" w:hAnsi="Times New Roman"/>
                <w:i/>
                <w:sz w:val="22"/>
              </w:rPr>
              <w:t xml:space="preserve">que se entiende por información pública los contenidos o documentos, cualquiera que sea su formato o soporte, que obren en poder de alguno de los sujetos incluidos en el ámbito de aplicación de este título y que hayan sido elaborados o </w:t>
            </w:r>
            <w:r w:rsidRPr="009115F5">
              <w:rPr>
                <w:rFonts w:ascii="Times New Roman" w:hAnsi="Times New Roman"/>
                <w:i/>
                <w:sz w:val="22"/>
              </w:rPr>
              <w:lastRenderedPageBreak/>
              <w:t>adquiridos en el ejercicio de sus funciones.”</w:t>
            </w:r>
          </w:p>
          <w:p w14:paraId="6A0D9B71" w14:textId="77777777" w:rsidR="00E45822" w:rsidRPr="009115F5" w:rsidRDefault="00E45822">
            <w:pPr>
              <w:rPr>
                <w:rFonts w:ascii="Times New Roman" w:hAnsi="Times New Roman"/>
                <w:sz w:val="22"/>
                <w:szCs w:val="22"/>
              </w:rPr>
            </w:pPr>
          </w:p>
          <w:p w14:paraId="27112C1F" w14:textId="77777777" w:rsidR="00E45822" w:rsidRPr="009115F5" w:rsidRDefault="00E45822">
            <w:pPr>
              <w:rPr>
                <w:rFonts w:ascii="Times New Roman" w:hAnsi="Times New Roman"/>
                <w:sz w:val="22"/>
                <w:szCs w:val="22"/>
              </w:rPr>
            </w:pPr>
            <w:r w:rsidRPr="009115F5">
              <w:rPr>
                <w:rFonts w:ascii="Times New Roman" w:hAnsi="Times New Roman"/>
                <w:sz w:val="22"/>
                <w:szCs w:val="22"/>
              </w:rPr>
              <w:t>Establece también la LTAIBG  límites al derecho de acceso a la información  pública. Límites a los que la propia Norma Foral 1/2017, de 8 febrero, de Transparencia, Participación Ciudadana y Buen Gobierno del Sector Público del Territorio Histórico de Álava se remite cuando dispone en su artículo 31 que el derecho de acceso a la información pública se limitará o denegará por las causas y en los términos previstos en la legislación básica.</w:t>
            </w:r>
          </w:p>
          <w:p w14:paraId="58D67495" w14:textId="77777777" w:rsidR="00E45822" w:rsidRPr="009115F5" w:rsidRDefault="00E45822">
            <w:pPr>
              <w:rPr>
                <w:rFonts w:ascii="Times New Roman" w:hAnsi="Times New Roman"/>
                <w:sz w:val="22"/>
                <w:szCs w:val="22"/>
              </w:rPr>
            </w:pPr>
          </w:p>
          <w:p w14:paraId="3643515F" w14:textId="77777777" w:rsidR="00E45822" w:rsidRPr="009115F5" w:rsidRDefault="00E45822">
            <w:pPr>
              <w:rPr>
                <w:rFonts w:ascii="Times New Roman" w:hAnsi="Times New Roman"/>
                <w:sz w:val="22"/>
              </w:rPr>
            </w:pPr>
          </w:p>
          <w:p w14:paraId="4F9569CD" w14:textId="77777777" w:rsidR="00E45822" w:rsidRPr="009115F5" w:rsidRDefault="00E45822">
            <w:pPr>
              <w:rPr>
                <w:rFonts w:ascii="Times New Roman" w:hAnsi="Times New Roman"/>
                <w:sz w:val="22"/>
              </w:rPr>
            </w:pPr>
            <w:r w:rsidRPr="009115F5">
              <w:rPr>
                <w:rFonts w:ascii="Times New Roman" w:hAnsi="Times New Roman"/>
                <w:sz w:val="22"/>
              </w:rPr>
              <w:t xml:space="preserve">En lo que aquí interesa, la LTAIBG en su artículo 15 establece como límite que hace ceder el derecho al acceso a la información pública la protección de los datos de carácter personal </w:t>
            </w:r>
          </w:p>
          <w:p w14:paraId="3208B178" w14:textId="77777777" w:rsidR="00E45822" w:rsidRPr="009115F5" w:rsidRDefault="00E45822">
            <w:pPr>
              <w:rPr>
                <w:rFonts w:ascii="Times New Roman" w:hAnsi="Times New Roman"/>
                <w:sz w:val="22"/>
              </w:rPr>
            </w:pPr>
          </w:p>
          <w:p w14:paraId="128D13D3" w14:textId="77777777" w:rsidR="00E45822" w:rsidRPr="009115F5" w:rsidRDefault="00E45822">
            <w:pPr>
              <w:rPr>
                <w:rFonts w:ascii="Times New Roman" w:hAnsi="Times New Roman"/>
                <w:sz w:val="22"/>
              </w:rPr>
            </w:pPr>
          </w:p>
          <w:p w14:paraId="493E4737" w14:textId="77777777" w:rsidR="00E45822" w:rsidRPr="009115F5" w:rsidRDefault="00E45822">
            <w:pPr>
              <w:rPr>
                <w:rFonts w:ascii="Times New Roman" w:hAnsi="Times New Roman"/>
                <w:sz w:val="22"/>
              </w:rPr>
            </w:pPr>
            <w:r w:rsidRPr="009115F5">
              <w:rPr>
                <w:rFonts w:ascii="Times New Roman" w:hAnsi="Times New Roman"/>
                <w:sz w:val="22"/>
              </w:rPr>
              <w:t>Parte de la información solicitada, en concreto la referente a las clasificaciones de los participantes en el deporte escolar, contiene datos de carácter personal, como son los nombres y apellidos de personas</w:t>
            </w:r>
            <w:r w:rsidRPr="009115F5">
              <w:rPr>
                <w:rFonts w:ascii="Times New Roman" w:hAnsi="Times New Roman"/>
              </w:rPr>
              <w:t xml:space="preserve"> </w:t>
            </w:r>
            <w:r w:rsidRPr="009115F5">
              <w:rPr>
                <w:rFonts w:ascii="Times New Roman" w:hAnsi="Times New Roman"/>
                <w:sz w:val="22"/>
              </w:rPr>
              <w:t>físicas, que las identifica o hace identificables.</w:t>
            </w:r>
          </w:p>
          <w:p w14:paraId="753EE058" w14:textId="77777777" w:rsidR="00E45822" w:rsidRPr="009115F5" w:rsidRDefault="00E45822">
            <w:pPr>
              <w:rPr>
                <w:rFonts w:ascii="Times New Roman" w:hAnsi="Times New Roman"/>
                <w:sz w:val="22"/>
              </w:rPr>
            </w:pPr>
          </w:p>
          <w:p w14:paraId="0831883B" w14:textId="77777777" w:rsidR="00E45822" w:rsidRPr="009115F5" w:rsidRDefault="00E45822">
            <w:pPr>
              <w:rPr>
                <w:rFonts w:ascii="Times New Roman" w:hAnsi="Times New Roman"/>
                <w:sz w:val="22"/>
              </w:rPr>
            </w:pPr>
            <w:r w:rsidRPr="009115F5">
              <w:rPr>
                <w:rFonts w:ascii="Times New Roman" w:hAnsi="Times New Roman"/>
                <w:sz w:val="22"/>
              </w:rPr>
              <w:t xml:space="preserve">Estos datos no son datos especialmente protegidos en los términos del artículo 7 de la LOPD, ni </w:t>
            </w:r>
            <w:r w:rsidRPr="009115F5">
              <w:rPr>
                <w:rFonts w:ascii="Times New Roman" w:hAnsi="Times New Roman"/>
              </w:rPr>
              <w:t xml:space="preserve"> </w:t>
            </w:r>
            <w:r w:rsidRPr="009115F5">
              <w:rPr>
                <w:rFonts w:ascii="Times New Roman" w:hAnsi="Times New Roman"/>
                <w:sz w:val="22"/>
              </w:rPr>
              <w:t xml:space="preserve">son datos meramente  identificativos relacionados con la organización, el funcionamiento o la actividad pública del órgano o entidad correspondiente, </w:t>
            </w:r>
            <w:r w:rsidRPr="009115F5">
              <w:rPr>
                <w:rFonts w:ascii="Times New Roman" w:hAnsi="Times New Roman"/>
              </w:rPr>
              <w:t xml:space="preserve"> </w:t>
            </w:r>
            <w:r w:rsidRPr="009115F5">
              <w:rPr>
                <w:rFonts w:ascii="Times New Roman" w:hAnsi="Times New Roman"/>
                <w:sz w:val="22"/>
              </w:rPr>
              <w:t>por lo que, según el Consejo de Transparencia y Buen Gobierno y la Agencia Española de Protección de Datos,  para dar o no acceso a la información habría que efectuar la ponderación prevista en el artículo 15 número 3 de la LTAIBG. Es decir, el órgano al que se dirija la solicitud concederá o no el acceso previa ponderación suficientemente razonada del interés público en la divulgación de la información y los derechos de los afectados cuyos datos aparezcan en la información solicitada, en particular su derecho fundamental a la protección de datos de carácter personal.</w:t>
            </w:r>
          </w:p>
          <w:p w14:paraId="6F440770" w14:textId="77777777" w:rsidR="00E45822" w:rsidRPr="009115F5" w:rsidRDefault="00E45822">
            <w:pPr>
              <w:rPr>
                <w:rFonts w:ascii="Times New Roman" w:hAnsi="Times New Roman"/>
                <w:sz w:val="22"/>
              </w:rPr>
            </w:pPr>
          </w:p>
          <w:p w14:paraId="1FDE42E2" w14:textId="77777777" w:rsidR="00E45822" w:rsidRPr="009115F5" w:rsidRDefault="00E45822">
            <w:pPr>
              <w:rPr>
                <w:rFonts w:ascii="Times New Roman" w:hAnsi="Times New Roman"/>
                <w:sz w:val="22"/>
              </w:rPr>
            </w:pPr>
            <w:r w:rsidRPr="009115F5">
              <w:rPr>
                <w:rFonts w:ascii="Times New Roman" w:hAnsi="Times New Roman"/>
                <w:sz w:val="22"/>
              </w:rPr>
              <w:t xml:space="preserve">De esta forma, atendiendo a que la petición no se justifica en el ejercicio de un derecho o el hecho de que tengan la condición de investigador, ni </w:t>
            </w:r>
            <w:r w:rsidRPr="009115F5">
              <w:rPr>
                <w:rFonts w:ascii="Times New Roman" w:hAnsi="Times New Roman"/>
                <w:sz w:val="22"/>
              </w:rPr>
              <w:lastRenderedPageBreak/>
              <w:t xml:space="preserve">motiva el acceso en fines históricos, científicos o estadísticos, y al hecho de que prima la mayor garantía de los derechos de los afectados en caso de que los datos se refieren a menores de edad, no se puede dar acceso a la información sobre clasificaciones de los participantes en el deporte escolar. </w:t>
            </w:r>
          </w:p>
          <w:p w14:paraId="2CB8A0DC" w14:textId="77777777" w:rsidR="00E45822" w:rsidRPr="009115F5" w:rsidRDefault="00E45822">
            <w:pPr>
              <w:rPr>
                <w:rFonts w:ascii="Times New Roman" w:hAnsi="Times New Roman"/>
                <w:sz w:val="22"/>
              </w:rPr>
            </w:pPr>
          </w:p>
          <w:p w14:paraId="41FFD9B6" w14:textId="77777777" w:rsidR="00E45822" w:rsidRPr="009115F5" w:rsidRDefault="00E45822">
            <w:pPr>
              <w:rPr>
                <w:rFonts w:ascii="Times New Roman" w:hAnsi="Times New Roman"/>
                <w:sz w:val="22"/>
              </w:rPr>
            </w:pPr>
            <w:r w:rsidRPr="009115F5">
              <w:rPr>
                <w:rFonts w:ascii="Times New Roman" w:hAnsi="Times New Roman"/>
                <w:sz w:val="22"/>
              </w:rPr>
              <w:t xml:space="preserve">También la Norma Foral 1/2017, de 8 febrero, de transparencia, participación ciudadana y buen gobierno del sector público del Territorio Histórico de Álava en su artículo 31.1 recoge como supuesto que pueden dar lugar a la denegación del acceso a la información, siempre de forma motivada y tras ponderar los intereses en conflicto, la protección de los menores. </w:t>
            </w:r>
          </w:p>
          <w:p w14:paraId="0F4FE107" w14:textId="77777777" w:rsidR="00E45822" w:rsidRPr="009115F5" w:rsidRDefault="00E45822">
            <w:pPr>
              <w:rPr>
                <w:rFonts w:ascii="Times New Roman" w:hAnsi="Times New Roman"/>
                <w:sz w:val="22"/>
              </w:rPr>
            </w:pPr>
          </w:p>
          <w:p w14:paraId="06788F15" w14:textId="77777777" w:rsidR="00E45822" w:rsidRPr="009115F5" w:rsidRDefault="00E45822">
            <w:pPr>
              <w:rPr>
                <w:rFonts w:ascii="Times New Roman" w:hAnsi="Times New Roman"/>
                <w:sz w:val="22"/>
              </w:rPr>
            </w:pPr>
            <w:r w:rsidRPr="009115F5">
              <w:rPr>
                <w:rFonts w:ascii="Times New Roman" w:hAnsi="Times New Roman"/>
                <w:sz w:val="22"/>
              </w:rPr>
              <w:t>La información se facilitará en formato papel porque, aunque en su defecto, se establece que se facilitará, preferentemente y siempre que sea posible, por vía electrónica, el solicitante ha presentado la solicitud en el mismo formato y no ha indicado forma y formato para la respuesta. Y estará exenta del pago de precio público porque la entrega de la información es de menos de 20 páginas de formato DIN A4 (artículo 4.2 del Decreto Foral 40/2017, del Consejo de Gobierno Foral de 3 de agosto, que aprueba los precios públicos por suministro de información pública).</w:t>
            </w:r>
          </w:p>
          <w:p w14:paraId="5A15BB52" w14:textId="77777777" w:rsidR="00E45822" w:rsidRPr="009115F5" w:rsidRDefault="00E45822">
            <w:pPr>
              <w:rPr>
                <w:rFonts w:ascii="Times New Roman" w:hAnsi="Times New Roman"/>
                <w:sz w:val="22"/>
              </w:rPr>
            </w:pPr>
          </w:p>
          <w:p w14:paraId="0EC01674" w14:textId="77777777" w:rsidR="00E45822" w:rsidRPr="009115F5" w:rsidRDefault="00E45822">
            <w:pPr>
              <w:rPr>
                <w:rFonts w:ascii="Times New Roman" w:hAnsi="Times New Roman"/>
                <w:noProof/>
                <w:sz w:val="22"/>
              </w:rPr>
            </w:pPr>
            <w:r w:rsidRPr="009115F5">
              <w:rPr>
                <w:rFonts w:ascii="Times New Roman" w:hAnsi="Times New Roman"/>
                <w:noProof/>
                <w:sz w:val="22"/>
              </w:rPr>
              <w:t>Vistos los informes preceptivos.</w:t>
            </w:r>
          </w:p>
          <w:p w14:paraId="7A2A1590" w14:textId="77777777" w:rsidR="00E45822" w:rsidRPr="009115F5" w:rsidRDefault="00E45822">
            <w:pPr>
              <w:pStyle w:val="Textoindependiente"/>
              <w:jc w:val="left"/>
              <w:rPr>
                <w:rFonts w:ascii="Times New Roman" w:hAnsi="Times New Roman"/>
                <w:noProof/>
              </w:rPr>
            </w:pPr>
          </w:p>
          <w:p w14:paraId="3B8A22B5" w14:textId="77777777" w:rsidR="00E45822" w:rsidRPr="009115F5" w:rsidRDefault="00E45822">
            <w:pPr>
              <w:pStyle w:val="Textoindependiente"/>
              <w:jc w:val="left"/>
              <w:rPr>
                <w:rFonts w:ascii="Times New Roman" w:hAnsi="Times New Roman"/>
                <w:noProof/>
              </w:rPr>
            </w:pPr>
            <w:r w:rsidRPr="009115F5">
              <w:rPr>
                <w:rFonts w:ascii="Times New Roman" w:hAnsi="Times New Roman"/>
                <w:noProof/>
              </w:rPr>
              <w:t>En su virtud, haciendo uso de las facultades que me competen,</w:t>
            </w:r>
          </w:p>
          <w:p w14:paraId="3D625B16" w14:textId="77777777" w:rsidR="00E45822" w:rsidRPr="009115F5" w:rsidRDefault="00E45822">
            <w:pPr>
              <w:snapToGrid w:val="0"/>
              <w:rPr>
                <w:rFonts w:ascii="Times New Roman" w:hAnsi="Times New Roman"/>
                <w:sz w:val="22"/>
              </w:rPr>
            </w:pPr>
          </w:p>
        </w:tc>
      </w:tr>
      <w:tr w:rsidR="00E45822" w14:paraId="19C25785" w14:textId="77777777" w:rsidTr="00E45822">
        <w:tc>
          <w:tcPr>
            <w:tcW w:w="4394" w:type="dxa"/>
            <w:hideMark/>
          </w:tcPr>
          <w:p w14:paraId="09A8C44A" w14:textId="77777777" w:rsidR="00E45822" w:rsidRDefault="00E45822">
            <w:pPr>
              <w:snapToGrid w:val="0"/>
              <w:spacing w:before="240" w:after="360"/>
              <w:jc w:val="center"/>
              <w:rPr>
                <w:b/>
                <w:sz w:val="22"/>
              </w:rPr>
            </w:pPr>
            <w:r>
              <w:rPr>
                <w:b/>
                <w:noProof/>
                <w:sz w:val="22"/>
              </w:rPr>
              <w:lastRenderedPageBreak/>
              <w:t>XEDATZEN DUT</w:t>
            </w:r>
          </w:p>
        </w:tc>
        <w:tc>
          <w:tcPr>
            <w:tcW w:w="568" w:type="dxa"/>
          </w:tcPr>
          <w:p w14:paraId="2A7EF1D9" w14:textId="77777777" w:rsidR="00E45822" w:rsidRDefault="00E45822">
            <w:pPr>
              <w:snapToGrid w:val="0"/>
              <w:spacing w:before="240" w:after="360"/>
              <w:jc w:val="center"/>
              <w:rPr>
                <w:b/>
                <w:sz w:val="22"/>
              </w:rPr>
            </w:pPr>
          </w:p>
        </w:tc>
        <w:tc>
          <w:tcPr>
            <w:tcW w:w="4393" w:type="dxa"/>
            <w:hideMark/>
          </w:tcPr>
          <w:p w14:paraId="6310E231" w14:textId="77777777" w:rsidR="00E45822" w:rsidRDefault="00E45822">
            <w:pPr>
              <w:snapToGrid w:val="0"/>
              <w:spacing w:before="240" w:after="360"/>
              <w:jc w:val="center"/>
              <w:rPr>
                <w:b/>
                <w:sz w:val="22"/>
              </w:rPr>
            </w:pPr>
            <w:r>
              <w:rPr>
                <w:b/>
                <w:noProof/>
                <w:sz w:val="22"/>
              </w:rPr>
              <w:t>DISPONGO</w:t>
            </w:r>
          </w:p>
        </w:tc>
      </w:tr>
      <w:tr w:rsidR="00E45822" w14:paraId="73E09235" w14:textId="77777777" w:rsidTr="00E45822">
        <w:tc>
          <w:tcPr>
            <w:tcW w:w="4394" w:type="dxa"/>
          </w:tcPr>
          <w:p w14:paraId="4FA43FB7" w14:textId="77777777" w:rsidR="00E45822" w:rsidRDefault="00E45822">
            <w:pPr>
              <w:tabs>
                <w:tab w:val="left" w:pos="993"/>
              </w:tabs>
              <w:jc w:val="both"/>
              <w:rPr>
                <w:noProof/>
                <w:sz w:val="22"/>
              </w:rPr>
            </w:pPr>
            <w:r>
              <w:rPr>
                <w:sz w:val="22"/>
              </w:rPr>
              <w:t>Lehenengoa.-</w:t>
            </w:r>
            <w:r>
              <w:rPr>
                <w:noProof/>
                <w:sz w:val="22"/>
              </w:rPr>
              <w:t xml:space="preserve"> </w:t>
            </w:r>
            <w:r>
              <w:rPr>
                <w:sz w:val="22"/>
                <w:szCs w:val="22"/>
                <w:lang w:val="eu-ES"/>
              </w:rPr>
              <w:t>Eskatutako informazioaren zati bat eskuratzeko baimena ematea</w:t>
            </w:r>
          </w:p>
          <w:p w14:paraId="6B2D245F" w14:textId="77777777" w:rsidR="00E45822" w:rsidRDefault="00E45822">
            <w:pPr>
              <w:tabs>
                <w:tab w:val="left" w:pos="993"/>
              </w:tabs>
              <w:jc w:val="both"/>
              <w:rPr>
                <w:noProof/>
                <w:sz w:val="22"/>
                <w:szCs w:val="22"/>
              </w:rPr>
            </w:pPr>
          </w:p>
          <w:p w14:paraId="3DD948FF" w14:textId="77777777" w:rsidR="00E45822" w:rsidRDefault="00E45822">
            <w:pPr>
              <w:tabs>
                <w:tab w:val="left" w:pos="993"/>
              </w:tabs>
              <w:rPr>
                <w:sz w:val="22"/>
              </w:rPr>
            </w:pPr>
            <w:r>
              <w:rPr>
                <w:sz w:val="22"/>
              </w:rPr>
              <w:t>Bigarrena.-</w:t>
            </w:r>
            <w:r>
              <w:rPr>
                <w:noProof/>
                <w:sz w:val="22"/>
              </w:rPr>
              <w:t xml:space="preserve"> </w:t>
            </w:r>
            <w:r>
              <w:rPr>
                <w:sz w:val="22"/>
              </w:rPr>
              <w:t xml:space="preserve">Ebazpen honek administrazio bidea amaitzen du. Haren kontra administrazioarekiko auzi errekurtsoa aurkeztu ahal izango da, jakinarazten den egunaren biharamunetik bi hilabete pasatu baino lehen edo, bestela, </w:t>
            </w:r>
            <w:r>
              <w:rPr>
                <w:sz w:val="22"/>
              </w:rPr>
              <w:lastRenderedPageBreak/>
              <w:t>errekurtso horren aurretik, erreklamazioa aurkeztu ahal izango da Gardentasunaren Foru Kontseiluaren aurrean, aurreko egun beretik hilabete pasatu baino lehen.</w:t>
            </w:r>
          </w:p>
          <w:p w14:paraId="53D23B79" w14:textId="77777777" w:rsidR="00E45822" w:rsidRDefault="00E45822">
            <w:pPr>
              <w:tabs>
                <w:tab w:val="left" w:pos="993"/>
              </w:tabs>
              <w:snapToGrid w:val="0"/>
              <w:rPr>
                <w:sz w:val="22"/>
              </w:rPr>
            </w:pPr>
          </w:p>
        </w:tc>
        <w:tc>
          <w:tcPr>
            <w:tcW w:w="568" w:type="dxa"/>
          </w:tcPr>
          <w:p w14:paraId="43406CD2" w14:textId="77777777" w:rsidR="00E45822" w:rsidRDefault="00E45822">
            <w:pPr>
              <w:widowControl w:val="0"/>
              <w:snapToGrid w:val="0"/>
              <w:rPr>
                <w:sz w:val="22"/>
              </w:rPr>
            </w:pPr>
          </w:p>
        </w:tc>
        <w:tc>
          <w:tcPr>
            <w:tcW w:w="4393" w:type="dxa"/>
          </w:tcPr>
          <w:p w14:paraId="199B824B" w14:textId="77777777" w:rsidR="00E45822" w:rsidRDefault="00E45822">
            <w:pPr>
              <w:tabs>
                <w:tab w:val="left" w:pos="993"/>
              </w:tabs>
              <w:rPr>
                <w:noProof/>
                <w:sz w:val="22"/>
                <w:szCs w:val="22"/>
              </w:rPr>
            </w:pPr>
            <w:r>
              <w:rPr>
                <w:noProof/>
                <w:sz w:val="22"/>
              </w:rPr>
              <w:t>Primero.- Dar acceso parcial a la información solicitada.</w:t>
            </w:r>
          </w:p>
          <w:p w14:paraId="7DE22E17" w14:textId="77777777" w:rsidR="00E45822" w:rsidRDefault="00E45822">
            <w:pPr>
              <w:tabs>
                <w:tab w:val="left" w:pos="993"/>
              </w:tabs>
              <w:rPr>
                <w:noProof/>
                <w:sz w:val="22"/>
                <w:szCs w:val="22"/>
              </w:rPr>
            </w:pPr>
          </w:p>
          <w:p w14:paraId="690F270F" w14:textId="77777777" w:rsidR="00E45822" w:rsidRDefault="00E45822">
            <w:pPr>
              <w:tabs>
                <w:tab w:val="left" w:pos="993"/>
              </w:tabs>
              <w:rPr>
                <w:sz w:val="22"/>
              </w:rPr>
            </w:pPr>
            <w:r>
              <w:rPr>
                <w:noProof/>
                <w:sz w:val="22"/>
              </w:rPr>
              <w:t xml:space="preserve">Segundo.- Contra la presente resolución que pone fin a la via administrativa, podrá interponerse recurso contencioso-administrativo en el plazo de dos meses o, previa y potestativamente, reclamación ante el Consejo Foral de </w:t>
            </w:r>
            <w:r>
              <w:rPr>
                <w:noProof/>
                <w:sz w:val="22"/>
              </w:rPr>
              <w:lastRenderedPageBreak/>
              <w:t>Transparencia en el plazo de un mes; en ambos casos el plazo  se contará desde el día siguiente al de la notificación de la presente resolución.</w:t>
            </w:r>
          </w:p>
          <w:p w14:paraId="055A4A49" w14:textId="77777777" w:rsidR="00E45822" w:rsidRDefault="00E45822">
            <w:pPr>
              <w:tabs>
                <w:tab w:val="left" w:pos="993"/>
              </w:tabs>
              <w:snapToGrid w:val="0"/>
              <w:rPr>
                <w:sz w:val="22"/>
              </w:rPr>
            </w:pPr>
          </w:p>
        </w:tc>
      </w:tr>
      <w:tr w:rsidR="00E45822" w14:paraId="3F217158" w14:textId="77777777" w:rsidTr="00E45822">
        <w:trPr>
          <w:gridAfter w:val="2"/>
          <w:wAfter w:w="4962" w:type="dxa"/>
        </w:trPr>
        <w:tc>
          <w:tcPr>
            <w:tcW w:w="4394" w:type="dxa"/>
            <w:hideMark/>
          </w:tcPr>
          <w:p w14:paraId="0955E43B" w14:textId="77777777" w:rsidR="00E45822" w:rsidRDefault="00E45822">
            <w:pPr>
              <w:snapToGrid w:val="0"/>
              <w:spacing w:before="120"/>
              <w:jc w:val="both"/>
              <w:rPr>
                <w:sz w:val="22"/>
              </w:rPr>
            </w:pPr>
            <w:r>
              <w:rPr>
                <w:noProof/>
                <w:sz w:val="22"/>
              </w:rPr>
              <w:lastRenderedPageBreak/>
              <w:t>Vitoria-Gasteiz,</w:t>
            </w:r>
          </w:p>
        </w:tc>
      </w:tr>
      <w:tr w:rsidR="00E45822" w14:paraId="661B3716" w14:textId="77777777" w:rsidTr="00E45822">
        <w:tc>
          <w:tcPr>
            <w:tcW w:w="4394" w:type="dxa"/>
            <w:hideMark/>
          </w:tcPr>
          <w:p w14:paraId="01060282" w14:textId="77777777" w:rsidR="00E45822" w:rsidRDefault="00E45822">
            <w:pPr>
              <w:tabs>
                <w:tab w:val="right" w:pos="8789"/>
              </w:tabs>
              <w:spacing w:before="1560" w:after="60" w:line="240" w:lineRule="exact"/>
              <w:rPr>
                <w:b/>
                <w:sz w:val="22"/>
              </w:rPr>
            </w:pPr>
            <w:r>
              <w:rPr>
                <w:b/>
                <w:noProof/>
                <w:sz w:val="22"/>
              </w:rPr>
              <w:t>Igone Martínez de Luna Unanue</w:t>
            </w:r>
          </w:p>
          <w:p w14:paraId="5E9AD7EB" w14:textId="77777777" w:rsidR="00E45822" w:rsidRDefault="00E45822">
            <w:pPr>
              <w:tabs>
                <w:tab w:val="right" w:pos="8789"/>
              </w:tabs>
              <w:spacing w:after="20" w:line="240" w:lineRule="exact"/>
              <w:rPr>
                <w:sz w:val="22"/>
              </w:rPr>
            </w:pPr>
            <w:r>
              <w:rPr>
                <w:noProof/>
                <w:sz w:val="22"/>
              </w:rPr>
              <w:t>Euskara, Kultura eta Kirol Saileko diputatua</w:t>
            </w:r>
            <w:r>
              <w:rPr>
                <w:sz w:val="22"/>
              </w:rPr>
              <w:t xml:space="preserve"> </w:t>
            </w:r>
          </w:p>
          <w:p w14:paraId="755A3008" w14:textId="77777777" w:rsidR="00E45822" w:rsidRDefault="00E45822">
            <w:pPr>
              <w:tabs>
                <w:tab w:val="right" w:pos="8789"/>
              </w:tabs>
              <w:snapToGrid w:val="0"/>
              <w:spacing w:after="20" w:line="240" w:lineRule="exact"/>
              <w:rPr>
                <w:b/>
                <w:sz w:val="22"/>
              </w:rPr>
            </w:pPr>
            <w:r>
              <w:rPr>
                <w:noProof/>
                <w:sz w:val="22"/>
              </w:rPr>
              <w:t>Diputada de Euskera, Cultura y Deporte</w:t>
            </w:r>
            <w:r>
              <w:rPr>
                <w:b/>
                <w:sz w:val="22"/>
              </w:rPr>
              <w:t xml:space="preserve"> </w:t>
            </w:r>
          </w:p>
        </w:tc>
        <w:tc>
          <w:tcPr>
            <w:tcW w:w="568" w:type="dxa"/>
          </w:tcPr>
          <w:p w14:paraId="1FF18A29" w14:textId="77777777" w:rsidR="00E45822" w:rsidRDefault="00E45822">
            <w:pPr>
              <w:snapToGrid w:val="0"/>
              <w:spacing w:before="1560"/>
              <w:rPr>
                <w:sz w:val="22"/>
              </w:rPr>
            </w:pPr>
          </w:p>
        </w:tc>
        <w:tc>
          <w:tcPr>
            <w:tcW w:w="4394" w:type="dxa"/>
            <w:hideMark/>
          </w:tcPr>
          <w:p w14:paraId="104E0610" w14:textId="77777777" w:rsidR="00E45822" w:rsidRDefault="00E45822">
            <w:pPr>
              <w:tabs>
                <w:tab w:val="right" w:pos="8789"/>
              </w:tabs>
              <w:spacing w:before="1560" w:after="60" w:line="240" w:lineRule="exact"/>
              <w:rPr>
                <w:b/>
                <w:sz w:val="22"/>
              </w:rPr>
            </w:pPr>
            <w:r>
              <w:rPr>
                <w:b/>
                <w:noProof/>
                <w:sz w:val="22"/>
              </w:rPr>
              <w:t>Joseba Koldo Pérez de Heredia Arbígano</w:t>
            </w:r>
          </w:p>
          <w:p w14:paraId="1C4B4C03" w14:textId="77777777" w:rsidR="00E45822" w:rsidRDefault="00E45822">
            <w:pPr>
              <w:tabs>
                <w:tab w:val="right" w:pos="8789"/>
              </w:tabs>
              <w:spacing w:after="20" w:line="240" w:lineRule="exact"/>
              <w:rPr>
                <w:sz w:val="22"/>
              </w:rPr>
            </w:pPr>
            <w:r>
              <w:rPr>
                <w:noProof/>
                <w:sz w:val="22"/>
              </w:rPr>
              <w:t>Euskara, Kultura eta Kirol zuzendaria</w:t>
            </w:r>
            <w:r>
              <w:rPr>
                <w:sz w:val="22"/>
              </w:rPr>
              <w:t xml:space="preserve"> </w:t>
            </w:r>
          </w:p>
          <w:p w14:paraId="0FAFCB69" w14:textId="77777777" w:rsidR="00E45822" w:rsidRDefault="00E45822">
            <w:pPr>
              <w:tabs>
                <w:tab w:val="right" w:pos="8789"/>
              </w:tabs>
              <w:snapToGrid w:val="0"/>
              <w:spacing w:after="20" w:line="240" w:lineRule="exact"/>
              <w:rPr>
                <w:sz w:val="22"/>
              </w:rPr>
            </w:pPr>
            <w:r>
              <w:rPr>
                <w:noProof/>
                <w:sz w:val="22"/>
              </w:rPr>
              <w:t>Director de Euskera, Cultura y Deporte</w:t>
            </w:r>
          </w:p>
        </w:tc>
      </w:tr>
    </w:tbl>
    <w:p w14:paraId="3D1D2CD2" w14:textId="77777777" w:rsidR="00E45822" w:rsidRDefault="00E45822" w:rsidP="00E45822">
      <w:pPr>
        <w:tabs>
          <w:tab w:val="right" w:pos="8789"/>
        </w:tabs>
        <w:spacing w:after="480"/>
        <w:rPr>
          <w:sz w:val="22"/>
        </w:rPr>
      </w:pPr>
    </w:p>
    <w:p w14:paraId="234D485C" w14:textId="77777777" w:rsidR="00DA04FD" w:rsidRPr="00E45822" w:rsidRDefault="00074AAC" w:rsidP="00E45822"/>
    <w:sectPr w:rsidR="00DA04FD" w:rsidRPr="00E45822" w:rsidSect="0018267A">
      <w:headerReference w:type="default" r:id="rId8"/>
      <w:footerReference w:type="default" r:id="rId9"/>
      <w:headerReference w:type="first" r:id="rId10"/>
      <w:footerReference w:type="first" r:id="rId11"/>
      <w:type w:val="continuous"/>
      <w:pgSz w:w="11907" w:h="16840" w:code="9"/>
      <w:pgMar w:top="2835" w:right="851" w:bottom="1418" w:left="1701" w:header="851" w:footer="56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F965C3" w14:textId="77777777" w:rsidR="00662CC5" w:rsidRDefault="00662CC5">
      <w:r>
        <w:separator/>
      </w:r>
    </w:p>
  </w:endnote>
  <w:endnote w:type="continuationSeparator" w:id="0">
    <w:p w14:paraId="602FA1E7" w14:textId="77777777" w:rsidR="00662CC5" w:rsidRDefault="00662C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ms Rmn">
    <w:altName w:val="Times New Roman"/>
    <w:panose1 w:val="02020603040505020304"/>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Helv">
    <w:panose1 w:val="020B0604020202030204"/>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aconcuadrcula"/>
      <w:tblW w:w="0" w:type="auto"/>
      <w:tblInd w:w="108" w:type="dxa"/>
      <w:tblBorders>
        <w:top w:val="nil"/>
        <w:left w:val="nil"/>
        <w:bottom w:val="nil"/>
        <w:right w:val="nil"/>
        <w:insideH w:val="nil"/>
        <w:insideV w:val="nil"/>
      </w:tblBorders>
      <w:tblLayout w:type="fixed"/>
      <w:tblLook w:val="04A0" w:firstRow="1" w:lastRow="0" w:firstColumn="1" w:lastColumn="0" w:noHBand="0" w:noVBand="1"/>
    </w:tblPr>
    <w:tblGrid>
      <w:gridCol w:w="2835"/>
      <w:gridCol w:w="3686"/>
      <w:gridCol w:w="2835"/>
    </w:tblGrid>
    <w:tr w:rsidR="0029750F" w14:paraId="495FD5E9" w14:textId="77777777" w:rsidTr="008D4BBB">
      <w:tc>
        <w:tcPr>
          <w:tcW w:w="2835" w:type="dxa"/>
        </w:tcPr>
        <w:p w14:paraId="735729BC" w14:textId="77777777" w:rsidR="00E70534" w:rsidRPr="001F2BE9" w:rsidRDefault="00074AAC" w:rsidP="008D4BBB">
          <w:pPr>
            <w:pStyle w:val="Piedepgina"/>
            <w:rPr>
              <w:rFonts w:ascii="Arial" w:hAnsi="Arial" w:cs="Arial"/>
              <w:color w:val="000000" w:themeColor="text1"/>
              <w:sz w:val="14"/>
              <w:szCs w:val="14"/>
            </w:rPr>
          </w:pPr>
        </w:p>
      </w:tc>
      <w:tc>
        <w:tcPr>
          <w:tcW w:w="3686" w:type="dxa"/>
        </w:tcPr>
        <w:p w14:paraId="71E8F7A5" w14:textId="77777777" w:rsidR="00E70534" w:rsidRPr="001F2BE9" w:rsidRDefault="00074AAC" w:rsidP="008D4BBB">
          <w:pPr>
            <w:pStyle w:val="Encabezado"/>
            <w:rPr>
              <w:rFonts w:ascii="Arial" w:hAnsi="Arial" w:cs="Arial"/>
              <w:color w:val="000000" w:themeColor="text1"/>
              <w:sz w:val="14"/>
              <w:szCs w:val="14"/>
              <w:lang w:val="es-ES"/>
            </w:rPr>
          </w:pPr>
        </w:p>
      </w:tc>
      <w:tc>
        <w:tcPr>
          <w:tcW w:w="2835" w:type="dxa"/>
        </w:tcPr>
        <w:p w14:paraId="117179F1" w14:textId="77777777" w:rsidR="00E70534" w:rsidRPr="00594BB4" w:rsidRDefault="00AA1692" w:rsidP="008D4BBB">
          <w:pPr>
            <w:pStyle w:val="Piedepgina"/>
            <w:jc w:val="right"/>
            <w:rPr>
              <w:rFonts w:ascii="Times New Roman" w:hAnsi="Times New Roman"/>
              <w:color w:val="000000" w:themeColor="text1"/>
              <w:sz w:val="20"/>
            </w:rPr>
          </w:pPr>
          <w:r w:rsidRPr="00594BB4">
            <w:rPr>
              <w:rFonts w:ascii="Times New Roman" w:hAnsi="Times New Roman"/>
              <w:color w:val="808080"/>
              <w:sz w:val="20"/>
            </w:rPr>
            <w:fldChar w:fldCharType="begin"/>
          </w:r>
          <w:r w:rsidRPr="00594BB4">
            <w:rPr>
              <w:rFonts w:ascii="Times New Roman" w:hAnsi="Times New Roman"/>
              <w:color w:val="808080"/>
              <w:sz w:val="20"/>
            </w:rPr>
            <w:instrText xml:space="preserve"> PAGE </w:instrText>
          </w:r>
          <w:r w:rsidRPr="00594BB4">
            <w:rPr>
              <w:rFonts w:ascii="Times New Roman" w:hAnsi="Times New Roman"/>
              <w:color w:val="808080"/>
              <w:sz w:val="20"/>
            </w:rPr>
            <w:fldChar w:fldCharType="separate"/>
          </w:r>
          <w:r w:rsidR="009115F5">
            <w:rPr>
              <w:rFonts w:ascii="Times New Roman" w:hAnsi="Times New Roman"/>
              <w:noProof/>
              <w:color w:val="808080"/>
              <w:sz w:val="20"/>
            </w:rPr>
            <w:t>3</w:t>
          </w:r>
          <w:r w:rsidRPr="00594BB4">
            <w:rPr>
              <w:rFonts w:ascii="Times New Roman" w:hAnsi="Times New Roman"/>
              <w:color w:val="808080"/>
              <w:sz w:val="20"/>
            </w:rPr>
            <w:fldChar w:fldCharType="end"/>
          </w:r>
          <w:r w:rsidRPr="00594BB4">
            <w:rPr>
              <w:rFonts w:ascii="Times New Roman" w:hAnsi="Times New Roman"/>
              <w:color w:val="808080"/>
              <w:sz w:val="20"/>
            </w:rPr>
            <w:t>/</w:t>
          </w:r>
          <w:r w:rsidRPr="00594BB4">
            <w:rPr>
              <w:rFonts w:ascii="Times New Roman" w:hAnsi="Times New Roman"/>
              <w:color w:val="808080"/>
              <w:sz w:val="20"/>
            </w:rPr>
            <w:fldChar w:fldCharType="begin"/>
          </w:r>
          <w:r w:rsidRPr="00594BB4">
            <w:rPr>
              <w:rFonts w:ascii="Times New Roman" w:hAnsi="Times New Roman"/>
              <w:color w:val="808080"/>
              <w:sz w:val="20"/>
            </w:rPr>
            <w:instrText xml:space="preserve"> NUMPAGES </w:instrText>
          </w:r>
          <w:r w:rsidRPr="00594BB4">
            <w:rPr>
              <w:rFonts w:ascii="Times New Roman" w:hAnsi="Times New Roman"/>
              <w:color w:val="808080"/>
              <w:sz w:val="20"/>
            </w:rPr>
            <w:fldChar w:fldCharType="separate"/>
          </w:r>
          <w:r w:rsidR="009115F5">
            <w:rPr>
              <w:rFonts w:ascii="Times New Roman" w:hAnsi="Times New Roman"/>
              <w:noProof/>
              <w:color w:val="808080"/>
              <w:sz w:val="20"/>
            </w:rPr>
            <w:t>4</w:t>
          </w:r>
          <w:r w:rsidRPr="00594BB4">
            <w:rPr>
              <w:rFonts w:ascii="Times New Roman" w:hAnsi="Times New Roman"/>
              <w:color w:val="808080"/>
              <w:sz w:val="20"/>
            </w:rPr>
            <w:fldChar w:fldCharType="end"/>
          </w:r>
        </w:p>
      </w:tc>
    </w:tr>
  </w:tbl>
  <w:p w14:paraId="7C9E30CB" w14:textId="77777777" w:rsidR="00E70534" w:rsidRDefault="00074AAC">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aconcuadrcula"/>
      <w:tblW w:w="0" w:type="auto"/>
      <w:tblInd w:w="108" w:type="dxa"/>
      <w:tblBorders>
        <w:top w:val="nil"/>
        <w:left w:val="nil"/>
        <w:bottom w:val="nil"/>
        <w:right w:val="nil"/>
        <w:insideH w:val="nil"/>
        <w:insideV w:val="nil"/>
      </w:tblBorders>
      <w:tblLayout w:type="fixed"/>
      <w:tblLook w:val="04A0" w:firstRow="1" w:lastRow="0" w:firstColumn="1" w:lastColumn="0" w:noHBand="0" w:noVBand="1"/>
    </w:tblPr>
    <w:tblGrid>
      <w:gridCol w:w="2835"/>
      <w:gridCol w:w="3686"/>
      <w:gridCol w:w="2835"/>
    </w:tblGrid>
    <w:tr w:rsidR="0029750F" w14:paraId="305A3B9C" w14:textId="77777777" w:rsidTr="0054442C">
      <w:tc>
        <w:tcPr>
          <w:tcW w:w="2835" w:type="dxa"/>
        </w:tcPr>
        <w:p w14:paraId="61E47743" w14:textId="77777777" w:rsidR="00CA66A5" w:rsidRPr="003A5DEF" w:rsidRDefault="00AA1692" w:rsidP="003A5DEF">
          <w:pPr>
            <w:tabs>
              <w:tab w:val="left" w:pos="0"/>
            </w:tabs>
            <w:rPr>
              <w:rFonts w:ascii="Arial" w:hAnsi="Arial"/>
              <w:noProof/>
              <w:color w:val="000000"/>
              <w:sz w:val="14"/>
            </w:rPr>
          </w:pPr>
          <w:r>
            <w:rPr>
              <w:rFonts w:ascii="Arial" w:hAnsi="Arial"/>
              <w:noProof/>
              <w:color w:val="000000"/>
              <w:sz w:val="14"/>
            </w:rPr>
            <w:t>PRRE01</w:t>
          </w:r>
        </w:p>
      </w:tc>
      <w:tc>
        <w:tcPr>
          <w:tcW w:w="3686" w:type="dxa"/>
        </w:tcPr>
        <w:p w14:paraId="14C02FE4" w14:textId="77777777" w:rsidR="00CA66A5" w:rsidRPr="001F2BE9" w:rsidRDefault="00074AAC" w:rsidP="00470015">
          <w:pPr>
            <w:pStyle w:val="Encabezado"/>
            <w:rPr>
              <w:rFonts w:ascii="Arial" w:hAnsi="Arial" w:cs="Arial"/>
              <w:color w:val="000000" w:themeColor="text1"/>
              <w:sz w:val="14"/>
              <w:szCs w:val="14"/>
              <w:lang w:val="es-ES"/>
            </w:rPr>
          </w:pPr>
        </w:p>
      </w:tc>
      <w:tc>
        <w:tcPr>
          <w:tcW w:w="2835" w:type="dxa"/>
        </w:tcPr>
        <w:p w14:paraId="2BF9FC8B" w14:textId="77777777" w:rsidR="00CA66A5" w:rsidRPr="003A5DEF" w:rsidRDefault="00AA1692" w:rsidP="00F6748E">
          <w:pPr>
            <w:pStyle w:val="Piedepgina"/>
            <w:jc w:val="right"/>
            <w:rPr>
              <w:rFonts w:ascii="Times New Roman" w:hAnsi="Times New Roman"/>
              <w:color w:val="000000" w:themeColor="text1"/>
              <w:sz w:val="20"/>
            </w:rPr>
          </w:pPr>
          <w:r w:rsidRPr="003A5DEF">
            <w:rPr>
              <w:rFonts w:ascii="Times New Roman" w:hAnsi="Times New Roman"/>
              <w:color w:val="808080"/>
              <w:sz w:val="20"/>
            </w:rPr>
            <w:fldChar w:fldCharType="begin"/>
          </w:r>
          <w:r w:rsidRPr="003A5DEF">
            <w:rPr>
              <w:rFonts w:ascii="Times New Roman" w:hAnsi="Times New Roman"/>
              <w:color w:val="808080"/>
              <w:sz w:val="20"/>
            </w:rPr>
            <w:instrText xml:space="preserve"> PAGE </w:instrText>
          </w:r>
          <w:r w:rsidRPr="003A5DEF">
            <w:rPr>
              <w:rFonts w:ascii="Times New Roman" w:hAnsi="Times New Roman"/>
              <w:color w:val="808080"/>
              <w:sz w:val="20"/>
            </w:rPr>
            <w:fldChar w:fldCharType="separate"/>
          </w:r>
          <w:r w:rsidR="009115F5">
            <w:rPr>
              <w:rFonts w:ascii="Times New Roman" w:hAnsi="Times New Roman"/>
              <w:noProof/>
              <w:color w:val="808080"/>
              <w:sz w:val="20"/>
            </w:rPr>
            <w:t>1</w:t>
          </w:r>
          <w:r w:rsidRPr="003A5DEF">
            <w:rPr>
              <w:rFonts w:ascii="Times New Roman" w:hAnsi="Times New Roman"/>
              <w:color w:val="808080"/>
              <w:sz w:val="20"/>
            </w:rPr>
            <w:fldChar w:fldCharType="end"/>
          </w:r>
          <w:r w:rsidRPr="003A5DEF">
            <w:rPr>
              <w:rFonts w:ascii="Times New Roman" w:hAnsi="Times New Roman"/>
              <w:color w:val="808080"/>
              <w:sz w:val="20"/>
            </w:rPr>
            <w:t>/</w:t>
          </w:r>
          <w:r w:rsidRPr="003A5DEF">
            <w:rPr>
              <w:rFonts w:ascii="Times New Roman" w:hAnsi="Times New Roman"/>
              <w:color w:val="808080"/>
              <w:sz w:val="20"/>
            </w:rPr>
            <w:fldChar w:fldCharType="begin"/>
          </w:r>
          <w:r w:rsidRPr="003A5DEF">
            <w:rPr>
              <w:rFonts w:ascii="Times New Roman" w:hAnsi="Times New Roman"/>
              <w:color w:val="808080"/>
              <w:sz w:val="20"/>
            </w:rPr>
            <w:instrText xml:space="preserve"> NUMPAGES </w:instrText>
          </w:r>
          <w:r w:rsidRPr="003A5DEF">
            <w:rPr>
              <w:rFonts w:ascii="Times New Roman" w:hAnsi="Times New Roman"/>
              <w:color w:val="808080"/>
              <w:sz w:val="20"/>
            </w:rPr>
            <w:fldChar w:fldCharType="separate"/>
          </w:r>
          <w:r w:rsidR="009115F5">
            <w:rPr>
              <w:rFonts w:ascii="Times New Roman" w:hAnsi="Times New Roman"/>
              <w:noProof/>
              <w:color w:val="808080"/>
              <w:sz w:val="20"/>
            </w:rPr>
            <w:t>4</w:t>
          </w:r>
          <w:r w:rsidRPr="003A5DEF">
            <w:rPr>
              <w:rFonts w:ascii="Times New Roman" w:hAnsi="Times New Roman"/>
              <w:color w:val="808080"/>
              <w:sz w:val="20"/>
            </w:rPr>
            <w:fldChar w:fldCharType="end"/>
          </w:r>
        </w:p>
      </w:tc>
    </w:tr>
  </w:tbl>
  <w:p w14:paraId="10ADA4B8" w14:textId="77777777" w:rsidR="00CA66A5" w:rsidRPr="00405F61" w:rsidRDefault="00074AAC" w:rsidP="00405F61">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DDC39E" w14:textId="77777777" w:rsidR="00662CC5" w:rsidRDefault="00662CC5">
      <w:r>
        <w:separator/>
      </w:r>
    </w:p>
  </w:footnote>
  <w:footnote w:type="continuationSeparator" w:id="0">
    <w:p w14:paraId="5EF86AA1" w14:textId="77777777" w:rsidR="00662CC5" w:rsidRDefault="00662CC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Ind w:w="70" w:type="dxa"/>
      <w:tblBorders>
        <w:insideH w:val="single" w:sz="4" w:space="0" w:color="auto"/>
      </w:tblBorders>
      <w:tblLayout w:type="fixed"/>
      <w:tblCellMar>
        <w:left w:w="70" w:type="dxa"/>
        <w:right w:w="70" w:type="dxa"/>
      </w:tblCellMar>
      <w:tblLook w:val="0000" w:firstRow="0" w:lastRow="0" w:firstColumn="0" w:lastColumn="0" w:noHBand="0" w:noVBand="0"/>
    </w:tblPr>
    <w:tblGrid>
      <w:gridCol w:w="4253"/>
      <w:gridCol w:w="851"/>
      <w:gridCol w:w="4253"/>
    </w:tblGrid>
    <w:tr w:rsidR="0029750F" w14:paraId="784DD6D3" w14:textId="77777777" w:rsidTr="0054442C">
      <w:trPr>
        <w:cantSplit/>
        <w:trHeight w:hRule="exact" w:val="567"/>
      </w:trPr>
      <w:tc>
        <w:tcPr>
          <w:tcW w:w="4253" w:type="dxa"/>
          <w:vAlign w:val="center"/>
        </w:tcPr>
        <w:p w14:paraId="589BE262" w14:textId="77777777" w:rsidR="00CA66A5" w:rsidRDefault="00074AAC" w:rsidP="0078412B">
          <w:pPr>
            <w:pStyle w:val="Encabezado"/>
          </w:pPr>
        </w:p>
      </w:tc>
      <w:tc>
        <w:tcPr>
          <w:tcW w:w="851" w:type="dxa"/>
          <w:vMerge w:val="restart"/>
          <w:vAlign w:val="center"/>
        </w:tcPr>
        <w:p w14:paraId="6F48BB44" w14:textId="77777777" w:rsidR="00CA66A5" w:rsidRDefault="00AA1692" w:rsidP="0078412B">
          <w:pPr>
            <w:pStyle w:val="Encabezado"/>
            <w:jc w:val="center"/>
          </w:pPr>
          <w:r>
            <w:rPr>
              <w:noProof/>
              <w:lang w:val="es-ES"/>
            </w:rPr>
            <w:drawing>
              <wp:inline distT="0" distB="0" distL="0" distR="0" wp14:anchorId="5DE4D641" wp14:editId="2EFC6FE7">
                <wp:extent cx="428625" cy="428625"/>
                <wp:effectExtent l="19050" t="0" r="9525" b="0"/>
                <wp:docPr id="2" name="Imagen 2" descr="S MBOLO 12 X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 MBOLO 12 X 12"/>
                        <pic:cNvPicPr>
                          <a:picLocks noChangeAspect="1" noChangeArrowheads="1"/>
                        </pic:cNvPicPr>
                      </pic:nvPicPr>
                      <pic:blipFill>
                        <a:blip r:embed="rId1"/>
                        <a:srcRect/>
                        <a:stretch>
                          <a:fillRect/>
                        </a:stretch>
                      </pic:blipFill>
                      <pic:spPr bwMode="auto">
                        <a:xfrm>
                          <a:off x="0" y="0"/>
                          <a:ext cx="428625" cy="428625"/>
                        </a:xfrm>
                        <a:prstGeom prst="rect">
                          <a:avLst/>
                        </a:prstGeom>
                        <a:noFill/>
                        <a:ln w="9525">
                          <a:noFill/>
                          <a:miter lim="800000"/>
                          <a:headEnd/>
                          <a:tailEnd/>
                        </a:ln>
                      </pic:spPr>
                    </pic:pic>
                  </a:graphicData>
                </a:graphic>
              </wp:inline>
            </w:drawing>
          </w:r>
        </w:p>
      </w:tc>
      <w:tc>
        <w:tcPr>
          <w:tcW w:w="4253" w:type="dxa"/>
          <w:vAlign w:val="center"/>
        </w:tcPr>
        <w:p w14:paraId="54450E99" w14:textId="77777777" w:rsidR="00CA66A5" w:rsidRDefault="00074AAC" w:rsidP="0078412B">
          <w:pPr>
            <w:pStyle w:val="Encabezado"/>
          </w:pPr>
        </w:p>
      </w:tc>
    </w:tr>
    <w:tr w:rsidR="0029750F" w14:paraId="44BF532E" w14:textId="77777777" w:rsidTr="0054442C">
      <w:trPr>
        <w:cantSplit/>
        <w:trHeight w:hRule="exact" w:val="567"/>
      </w:trPr>
      <w:tc>
        <w:tcPr>
          <w:tcW w:w="4253" w:type="dxa"/>
          <w:vAlign w:val="center"/>
        </w:tcPr>
        <w:p w14:paraId="5D375549" w14:textId="77777777" w:rsidR="00CA66A5" w:rsidRDefault="00074AAC" w:rsidP="0078412B">
          <w:pPr>
            <w:pStyle w:val="Encabezado"/>
          </w:pPr>
        </w:p>
      </w:tc>
      <w:tc>
        <w:tcPr>
          <w:tcW w:w="851" w:type="dxa"/>
          <w:vMerge/>
          <w:vAlign w:val="center"/>
        </w:tcPr>
        <w:p w14:paraId="2ECFBC72" w14:textId="77777777" w:rsidR="00CA66A5" w:rsidRDefault="00074AAC" w:rsidP="0078412B">
          <w:pPr>
            <w:pStyle w:val="Encabezado"/>
            <w:jc w:val="center"/>
          </w:pPr>
        </w:p>
      </w:tc>
      <w:tc>
        <w:tcPr>
          <w:tcW w:w="4253" w:type="dxa"/>
          <w:vAlign w:val="center"/>
        </w:tcPr>
        <w:p w14:paraId="727D1C9B" w14:textId="77777777" w:rsidR="00CA66A5" w:rsidRDefault="00074AAC" w:rsidP="0078412B">
          <w:pPr>
            <w:pStyle w:val="Encabezado"/>
          </w:pPr>
        </w:p>
      </w:tc>
    </w:tr>
  </w:tbl>
  <w:p w14:paraId="7AE6E2B3" w14:textId="77777777" w:rsidR="00CA66A5" w:rsidRPr="0013766D" w:rsidRDefault="00074AAC" w:rsidP="005070E8">
    <w:pPr>
      <w:pStyle w:val="Encabezado"/>
      <w:rPr>
        <w:rFonts w:ascii="Arial" w:hAnsi="Arial" w:cs="Arial"/>
        <w:sz w:val="16"/>
        <w:szCs w:val="1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Ind w:w="-1064" w:type="dxa"/>
      <w:tblLayout w:type="fixed"/>
      <w:tblCellMar>
        <w:left w:w="70" w:type="dxa"/>
        <w:right w:w="70" w:type="dxa"/>
      </w:tblCellMar>
      <w:tblLook w:val="04A0" w:firstRow="1" w:lastRow="0" w:firstColumn="1" w:lastColumn="0" w:noHBand="0" w:noVBand="1"/>
    </w:tblPr>
    <w:tblGrid>
      <w:gridCol w:w="6804"/>
      <w:gridCol w:w="3686"/>
    </w:tblGrid>
    <w:tr w:rsidR="00E45822" w14:paraId="776630C3" w14:textId="77777777" w:rsidTr="00E45822">
      <w:tc>
        <w:tcPr>
          <w:tcW w:w="6804" w:type="dxa"/>
        </w:tcPr>
        <w:p w14:paraId="5EB8FCCC" w14:textId="77777777" w:rsidR="00E45822" w:rsidRDefault="00E45822">
          <w:pPr>
            <w:pStyle w:val="Encabezado"/>
            <w:tabs>
              <w:tab w:val="left" w:pos="708"/>
            </w:tabs>
            <w:spacing w:after="1200"/>
            <w:ind w:left="74"/>
            <w:rPr>
              <w:rFonts w:ascii="Arial" w:hAnsi="Arial"/>
              <w:noProof/>
              <w:sz w:val="16"/>
            </w:rPr>
          </w:pPr>
          <w:r>
            <w:rPr>
              <w:rFonts w:ascii="Arial" w:hAnsi="Arial"/>
              <w:noProof/>
              <w:sz w:val="16"/>
              <w:lang w:val="es-ES"/>
            </w:rPr>
            <w:drawing>
              <wp:inline distT="0" distB="0" distL="0" distR="0" wp14:anchorId="255DC72A" wp14:editId="19AE4C5C">
                <wp:extent cx="2105025" cy="723900"/>
                <wp:effectExtent l="0" t="0" r="9525" b="0"/>
                <wp:docPr id="1" name="Imagen 1" descr="H 20 MARC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 20 MARC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05025" cy="723900"/>
                        </a:xfrm>
                        <a:prstGeom prst="rect">
                          <a:avLst/>
                        </a:prstGeom>
                        <a:noFill/>
                        <a:ln>
                          <a:noFill/>
                        </a:ln>
                      </pic:spPr>
                    </pic:pic>
                  </a:graphicData>
                </a:graphic>
              </wp:inline>
            </w:drawing>
          </w:r>
        </w:p>
        <w:p w14:paraId="79C70582" w14:textId="77777777" w:rsidR="00E45822" w:rsidRDefault="00E45822">
          <w:pPr>
            <w:pStyle w:val="Encabezado"/>
            <w:ind w:left="1064"/>
            <w:rPr>
              <w:rFonts w:ascii="Arial" w:hAnsi="Arial"/>
              <w:noProof/>
              <w:sz w:val="16"/>
            </w:rPr>
          </w:pPr>
        </w:p>
      </w:tc>
      <w:tc>
        <w:tcPr>
          <w:tcW w:w="3686" w:type="dxa"/>
        </w:tcPr>
        <w:p w14:paraId="632B3F8A" w14:textId="77777777" w:rsidR="00E45822" w:rsidRDefault="00E45822">
          <w:pPr>
            <w:pStyle w:val="Encabezado"/>
            <w:spacing w:after="40" w:line="240" w:lineRule="exact"/>
            <w:ind w:left="-68"/>
            <w:rPr>
              <w:rFonts w:ascii="Arial" w:hAnsi="Arial"/>
              <w:b/>
              <w:noProof/>
              <w:sz w:val="18"/>
            </w:rPr>
          </w:pPr>
          <w:r>
            <w:rPr>
              <w:rFonts w:ascii="Arial" w:hAnsi="Arial"/>
              <w:b/>
              <w:noProof/>
              <w:sz w:val="18"/>
            </w:rPr>
            <w:t>Euskara, Kultura eta Kirol Saila</w:t>
          </w:r>
        </w:p>
        <w:p w14:paraId="0D317FF5" w14:textId="77777777" w:rsidR="00E45822" w:rsidRDefault="00E45822">
          <w:pPr>
            <w:pStyle w:val="Encabezado"/>
            <w:spacing w:after="40" w:line="240" w:lineRule="exact"/>
            <w:ind w:left="-68"/>
            <w:rPr>
              <w:rFonts w:ascii="Arial" w:hAnsi="Arial"/>
              <w:b/>
              <w:noProof/>
              <w:sz w:val="18"/>
            </w:rPr>
          </w:pPr>
          <w:r>
            <w:rPr>
              <w:rFonts w:ascii="Arial" w:hAnsi="Arial"/>
              <w:b/>
              <w:noProof/>
              <w:sz w:val="18"/>
            </w:rPr>
            <w:t>Departamento de Euskera, Cultura y Deporte</w:t>
          </w:r>
        </w:p>
        <w:p w14:paraId="3F067FEB" w14:textId="77777777" w:rsidR="00E45822" w:rsidRDefault="00E45822">
          <w:pPr>
            <w:pStyle w:val="Encabezado"/>
            <w:ind w:left="-70"/>
            <w:rPr>
              <w:rFonts w:ascii="Arial" w:hAnsi="Arial"/>
              <w:noProof/>
              <w:sz w:val="18"/>
            </w:rPr>
          </w:pPr>
        </w:p>
      </w:tc>
    </w:tr>
  </w:tbl>
  <w:tbl>
    <w:tblPr>
      <w:tblStyle w:val="Tablaconcuadrcula"/>
      <w:tblW w:w="10349" w:type="dxa"/>
      <w:tblInd w:w="-885" w:type="dxa"/>
      <w:tblBorders>
        <w:top w:val="nil"/>
        <w:left w:val="nil"/>
        <w:right w:val="nil"/>
        <w:insideH w:val="nil"/>
        <w:insideV w:val="nil"/>
      </w:tblBorders>
      <w:tblLayout w:type="fixed"/>
      <w:tblLook w:val="04A0" w:firstRow="1" w:lastRow="0" w:firstColumn="1" w:lastColumn="0" w:noHBand="0" w:noVBand="1"/>
    </w:tblPr>
    <w:tblGrid>
      <w:gridCol w:w="993"/>
      <w:gridCol w:w="5670"/>
      <w:gridCol w:w="3686"/>
    </w:tblGrid>
    <w:tr w:rsidR="0029750F" w14:paraId="3A9FF5D0" w14:textId="77777777" w:rsidTr="00252C19">
      <w:trPr>
        <w:trHeight w:val="284"/>
      </w:trPr>
      <w:tc>
        <w:tcPr>
          <w:tcW w:w="993" w:type="dxa"/>
          <w:tcBorders>
            <w:bottom w:val="nil"/>
          </w:tcBorders>
        </w:tcPr>
        <w:p w14:paraId="2669933D" w14:textId="77777777" w:rsidR="00CA66A5" w:rsidRDefault="00074AAC" w:rsidP="00470015">
          <w:pPr>
            <w:pStyle w:val="Encabezado"/>
            <w:rPr>
              <w:rFonts w:ascii="Arial" w:hAnsi="Arial"/>
              <w:noProof/>
              <w:sz w:val="16"/>
            </w:rPr>
          </w:pPr>
        </w:p>
      </w:tc>
      <w:tc>
        <w:tcPr>
          <w:tcW w:w="5670" w:type="dxa"/>
        </w:tcPr>
        <w:p w14:paraId="3B42624D" w14:textId="77777777" w:rsidR="00CA66A5" w:rsidRPr="001F228B" w:rsidRDefault="00074AAC" w:rsidP="001F228B">
          <w:pPr>
            <w:pStyle w:val="Encabezado"/>
            <w:ind w:left="-68"/>
            <w:rPr>
              <w:rFonts w:ascii="Arial" w:hAnsi="Arial" w:cs="Arial"/>
              <w:b/>
              <w:color w:val="808080" w:themeColor="background1" w:themeShade="80"/>
              <w:sz w:val="18"/>
              <w:szCs w:val="18"/>
            </w:rPr>
          </w:pPr>
        </w:p>
      </w:tc>
      <w:tc>
        <w:tcPr>
          <w:tcW w:w="3686" w:type="dxa"/>
        </w:tcPr>
        <w:p w14:paraId="7CC20753" w14:textId="77777777" w:rsidR="00CA66A5" w:rsidRDefault="00074AAC" w:rsidP="00F6748E">
          <w:pPr>
            <w:pStyle w:val="Encabezado"/>
            <w:ind w:left="-68"/>
            <w:rPr>
              <w:rFonts w:ascii="Arial" w:hAnsi="Arial"/>
              <w:b/>
              <w:noProof/>
              <w:sz w:val="16"/>
              <w:szCs w:val="16"/>
            </w:rPr>
          </w:pPr>
        </w:p>
      </w:tc>
    </w:tr>
  </w:tbl>
  <w:p w14:paraId="25A5ED61" w14:textId="77777777" w:rsidR="00CA66A5" w:rsidRPr="0013766D" w:rsidRDefault="00074AAC" w:rsidP="00971872">
    <w:pPr>
      <w:pStyle w:val="Encabezado"/>
      <w:rPr>
        <w:rFonts w:ascii="Arial" w:hAnsi="Arial" w:cs="Arial"/>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A730DF"/>
    <w:multiLevelType w:val="singleLevel"/>
    <w:tmpl w:val="0C0A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12B67706"/>
    <w:multiLevelType w:val="singleLevel"/>
    <w:tmpl w:val="0C0A000F"/>
    <w:lvl w:ilvl="0">
      <w:start w:val="1"/>
      <w:numFmt w:val="decimal"/>
      <w:lvlText w:val="%1."/>
      <w:lvlJc w:val="left"/>
      <w:pPr>
        <w:tabs>
          <w:tab w:val="num" w:pos="360"/>
        </w:tabs>
        <w:ind w:left="360" w:hanging="360"/>
      </w:pPr>
    </w:lvl>
  </w:abstractNum>
  <w:abstractNum w:abstractNumId="2" w15:restartNumberingAfterBreak="0">
    <w:nsid w:val="223D2EA9"/>
    <w:multiLevelType w:val="hybridMultilevel"/>
    <w:tmpl w:val="83062592"/>
    <w:lvl w:ilvl="0" w:tplc="17FA1664">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3" w15:restartNumberingAfterBreak="0">
    <w:nsid w:val="29B06D91"/>
    <w:multiLevelType w:val="singleLevel"/>
    <w:tmpl w:val="0C0A000F"/>
    <w:lvl w:ilvl="0">
      <w:start w:val="1"/>
      <w:numFmt w:val="decimal"/>
      <w:lvlText w:val="%1."/>
      <w:lvlJc w:val="left"/>
      <w:pPr>
        <w:tabs>
          <w:tab w:val="num" w:pos="360"/>
        </w:tabs>
        <w:ind w:left="360" w:hanging="360"/>
      </w:pPr>
    </w:lvl>
  </w:abstractNum>
  <w:abstractNum w:abstractNumId="4" w15:restartNumberingAfterBreak="0">
    <w:nsid w:val="6AAC21F7"/>
    <w:multiLevelType w:val="singleLevel"/>
    <w:tmpl w:val="0C0A000F"/>
    <w:lvl w:ilvl="0">
      <w:start w:val="1"/>
      <w:numFmt w:val="decimal"/>
      <w:lvlText w:val="%1."/>
      <w:lvlJc w:val="left"/>
      <w:pPr>
        <w:tabs>
          <w:tab w:val="num" w:pos="360"/>
        </w:tabs>
        <w:ind w:left="360" w:hanging="360"/>
      </w:pPr>
    </w:lvl>
  </w:abstractNum>
  <w:num w:numId="1">
    <w:abstractNumId w:val="0"/>
  </w:num>
  <w:num w:numId="2">
    <w:abstractNumId w:val="3"/>
  </w:num>
  <w:num w:numId="3">
    <w:abstractNumId w:val="1"/>
  </w:num>
  <w:num w:numId="4">
    <w:abstractNumId w:val="4"/>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intFractionalCharacterWidth/>
  <w:attachedTemplate r:id="rId1"/>
  <w:doNotTrackMoves/>
  <w:defaultTabStop w:val="709"/>
  <w:hyphenationZone w:val="425"/>
  <w:doNotHyphenateCaps/>
  <w:displayHorizontalDrawingGridEvery w:val="0"/>
  <w:displayVerticalDrawingGridEvery w:val="0"/>
  <w:doNotUseMarginsForDrawingGridOrigin/>
  <w:noPunctuationKerning/>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9750F"/>
    <w:rsid w:val="00074AAC"/>
    <w:rsid w:val="0029750F"/>
    <w:rsid w:val="00662CC5"/>
    <w:rsid w:val="008B533E"/>
    <w:rsid w:val="009115F5"/>
    <w:rsid w:val="00AA1692"/>
    <w:rsid w:val="00E45822"/>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6F00B7A7"/>
  <w15:docId w15:val="{009BB423-F582-4D44-9A74-414AC20C2B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ms Rmn" w:eastAsia="Times New Roman" w:hAnsi="Tms Rmn" w:cs="Times New Roman"/>
        <w:lang w:val="es-ES" w:eastAsia="es-E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7F13"/>
    <w:rPr>
      <w:sz w:val="24"/>
      <w:lang w:val="es-ES_tradnl"/>
    </w:rPr>
  </w:style>
  <w:style w:type="paragraph" w:styleId="Ttulo1">
    <w:name w:val="heading 1"/>
    <w:basedOn w:val="Normal"/>
    <w:next w:val="Normal"/>
    <w:qFormat/>
    <w:rsid w:val="00807F13"/>
    <w:pPr>
      <w:keepNext/>
      <w:tabs>
        <w:tab w:val="left" w:pos="1702"/>
        <w:tab w:val="left" w:pos="4253"/>
        <w:tab w:val="left" w:pos="5104"/>
        <w:tab w:val="left" w:pos="5812"/>
      </w:tabs>
      <w:spacing w:after="120"/>
      <w:ind w:firstLine="851"/>
      <w:jc w:val="center"/>
      <w:outlineLvl w:val="0"/>
    </w:pPr>
    <w:rPr>
      <w:rFonts w:ascii="Arial" w:hAnsi="Arial"/>
      <w:b/>
      <w:sz w:val="22"/>
    </w:rPr>
  </w:style>
  <w:style w:type="paragraph" w:styleId="Ttulo2">
    <w:name w:val="heading 2"/>
    <w:basedOn w:val="Normal"/>
    <w:next w:val="Normal"/>
    <w:qFormat/>
    <w:rsid w:val="00807F13"/>
    <w:pPr>
      <w:keepNext/>
      <w:tabs>
        <w:tab w:val="left" w:pos="1560"/>
      </w:tabs>
      <w:ind w:right="-780"/>
      <w:outlineLvl w:val="1"/>
    </w:pPr>
    <w:rPr>
      <w:rFonts w:ascii="Arial" w:hAnsi="Arial"/>
      <w:b/>
      <w:sz w:val="22"/>
    </w:rPr>
  </w:style>
  <w:style w:type="paragraph" w:styleId="Ttulo5">
    <w:name w:val="heading 5"/>
    <w:basedOn w:val="Normal"/>
    <w:next w:val="Normal"/>
    <w:link w:val="Ttulo5Car"/>
    <w:qFormat/>
    <w:rsid w:val="00913835"/>
    <w:pPr>
      <w:keepNext/>
      <w:tabs>
        <w:tab w:val="left" w:pos="-851"/>
      </w:tabs>
      <w:spacing w:after="240"/>
      <w:jc w:val="both"/>
      <w:outlineLvl w:val="4"/>
    </w:pPr>
    <w:rPr>
      <w:rFonts w:ascii="Times New Roman" w:hAnsi="Times New Roman"/>
      <w:sz w:val="22"/>
      <w:u w:val="singl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iedepgina">
    <w:name w:val="footer"/>
    <w:basedOn w:val="Normal"/>
    <w:semiHidden/>
    <w:rsid w:val="00807F13"/>
    <w:pPr>
      <w:tabs>
        <w:tab w:val="center" w:pos="4252"/>
        <w:tab w:val="right" w:pos="8504"/>
      </w:tabs>
    </w:pPr>
  </w:style>
  <w:style w:type="paragraph" w:styleId="Encabezado">
    <w:name w:val="header"/>
    <w:basedOn w:val="Normal"/>
    <w:link w:val="EncabezadoCar"/>
    <w:rsid w:val="00807F13"/>
    <w:pPr>
      <w:tabs>
        <w:tab w:val="center" w:pos="4819"/>
        <w:tab w:val="right" w:pos="9071"/>
      </w:tabs>
    </w:pPr>
  </w:style>
  <w:style w:type="paragraph" w:customStyle="1" w:styleId="membrete">
    <w:name w:val="membrete"/>
    <w:basedOn w:val="Normal"/>
    <w:rsid w:val="00807F13"/>
    <w:pPr>
      <w:framePr w:hSpace="142" w:vSpace="142" w:wrap="auto" w:hAnchor="margin" w:xAlign="center"/>
      <w:jc w:val="right"/>
    </w:pPr>
    <w:rPr>
      <w:rFonts w:ascii="Helv" w:hAnsi="Helv"/>
      <w:sz w:val="14"/>
    </w:rPr>
  </w:style>
  <w:style w:type="paragraph" w:customStyle="1" w:styleId="membretei">
    <w:name w:val="membretei"/>
    <w:basedOn w:val="membrete"/>
    <w:rsid w:val="00807F13"/>
    <w:pPr>
      <w:framePr w:hSpace="0" w:vSpace="0" w:wrap="auto" w:hAnchor="text" w:xAlign="left"/>
      <w:spacing w:after="96"/>
    </w:pPr>
  </w:style>
  <w:style w:type="paragraph" w:customStyle="1" w:styleId="membreted">
    <w:name w:val="membreted"/>
    <w:basedOn w:val="Normal"/>
    <w:rsid w:val="00807F13"/>
    <w:rPr>
      <w:rFonts w:ascii="Helv" w:hAnsi="Helv"/>
      <w:b/>
      <w:sz w:val="18"/>
    </w:rPr>
  </w:style>
  <w:style w:type="paragraph" w:styleId="Sangradetextonormal">
    <w:name w:val="Body Text Indent"/>
    <w:basedOn w:val="Normal"/>
    <w:semiHidden/>
    <w:rsid w:val="00807F13"/>
    <w:pPr>
      <w:tabs>
        <w:tab w:val="left" w:pos="1702"/>
        <w:tab w:val="left" w:pos="4253"/>
        <w:tab w:val="left" w:pos="5104"/>
        <w:tab w:val="left" w:pos="5812"/>
      </w:tabs>
      <w:spacing w:before="480" w:after="120"/>
      <w:ind w:firstLine="851"/>
    </w:pPr>
  </w:style>
  <w:style w:type="paragraph" w:styleId="Sangra2detindependiente">
    <w:name w:val="Body Text Indent 2"/>
    <w:basedOn w:val="Normal"/>
    <w:semiHidden/>
    <w:rsid w:val="00807F13"/>
    <w:pPr>
      <w:tabs>
        <w:tab w:val="left" w:pos="1702"/>
      </w:tabs>
      <w:ind w:right="-638" w:firstLine="851"/>
    </w:pPr>
  </w:style>
  <w:style w:type="paragraph" w:styleId="Sangra3detindependiente">
    <w:name w:val="Body Text Indent 3"/>
    <w:basedOn w:val="Normal"/>
    <w:semiHidden/>
    <w:rsid w:val="00807F13"/>
    <w:pPr>
      <w:tabs>
        <w:tab w:val="left" w:pos="1702"/>
        <w:tab w:val="left" w:pos="4253"/>
        <w:tab w:val="left" w:pos="5104"/>
        <w:tab w:val="left" w:pos="5812"/>
      </w:tabs>
      <w:spacing w:after="120"/>
      <w:ind w:left="851"/>
    </w:pPr>
  </w:style>
  <w:style w:type="paragraph" w:styleId="Textoindependiente">
    <w:name w:val="Body Text"/>
    <w:basedOn w:val="Normal"/>
    <w:semiHidden/>
    <w:rsid w:val="00807F13"/>
    <w:pPr>
      <w:spacing w:after="240"/>
      <w:jc w:val="both"/>
    </w:pPr>
    <w:rPr>
      <w:rFonts w:ascii="Arial" w:hAnsi="Arial"/>
      <w:sz w:val="22"/>
    </w:rPr>
  </w:style>
  <w:style w:type="paragraph" w:styleId="Textodeglobo">
    <w:name w:val="Balloon Text"/>
    <w:basedOn w:val="Normal"/>
    <w:link w:val="TextodegloboCar"/>
    <w:uiPriority w:val="99"/>
    <w:semiHidden/>
    <w:unhideWhenUsed/>
    <w:rsid w:val="00405F61"/>
    <w:rPr>
      <w:rFonts w:ascii="Tahoma" w:hAnsi="Tahoma" w:cs="Tahoma"/>
      <w:sz w:val="16"/>
      <w:szCs w:val="16"/>
    </w:rPr>
  </w:style>
  <w:style w:type="character" w:customStyle="1" w:styleId="TextodegloboCar">
    <w:name w:val="Texto de globo Car"/>
    <w:basedOn w:val="Fuentedeprrafopredeter"/>
    <w:link w:val="Textodeglobo"/>
    <w:uiPriority w:val="99"/>
    <w:semiHidden/>
    <w:rsid w:val="00405F61"/>
    <w:rPr>
      <w:rFonts w:ascii="Tahoma" w:hAnsi="Tahoma" w:cs="Tahoma"/>
      <w:sz w:val="16"/>
      <w:szCs w:val="16"/>
      <w:lang w:val="es-ES_tradnl"/>
    </w:rPr>
  </w:style>
  <w:style w:type="table" w:styleId="Tablaconcuadrcula">
    <w:name w:val="Table Grid"/>
    <w:basedOn w:val="Tablanormal"/>
    <w:uiPriority w:val="59"/>
    <w:rsid w:val="00405F6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basedOn w:val="Fuentedeprrafopredeter"/>
    <w:uiPriority w:val="99"/>
    <w:unhideWhenUsed/>
    <w:rsid w:val="007F2571"/>
    <w:rPr>
      <w:color w:val="0000FF" w:themeColor="hyperlink"/>
      <w:u w:val="single"/>
    </w:rPr>
  </w:style>
  <w:style w:type="character" w:customStyle="1" w:styleId="Ttulo5Car">
    <w:name w:val="Título 5 Car"/>
    <w:basedOn w:val="Fuentedeprrafopredeter"/>
    <w:link w:val="Ttulo5"/>
    <w:rsid w:val="00913835"/>
    <w:rPr>
      <w:rFonts w:ascii="Times New Roman" w:hAnsi="Times New Roman"/>
      <w:sz w:val="22"/>
      <w:u w:val="single"/>
      <w:lang w:val="es-ES_tradnl"/>
    </w:rPr>
  </w:style>
  <w:style w:type="paragraph" w:styleId="NormalWeb">
    <w:name w:val="Normal (Web)"/>
    <w:basedOn w:val="Normal"/>
    <w:uiPriority w:val="99"/>
    <w:semiHidden/>
    <w:unhideWhenUsed/>
    <w:rsid w:val="00DF3AA4"/>
    <w:pPr>
      <w:spacing w:before="100" w:beforeAutospacing="1" w:after="100" w:afterAutospacing="1"/>
    </w:pPr>
    <w:rPr>
      <w:rFonts w:ascii="Times New Roman" w:hAnsi="Times New Roman"/>
      <w:szCs w:val="24"/>
      <w:lang w:val="es-ES"/>
    </w:rPr>
  </w:style>
  <w:style w:type="character" w:styleId="Textodelmarcadordeposicin">
    <w:name w:val="Placeholder Text"/>
    <w:basedOn w:val="Fuentedeprrafopredeter"/>
    <w:uiPriority w:val="99"/>
    <w:semiHidden/>
    <w:rsid w:val="002D2262"/>
    <w:rPr>
      <w:color w:val="808080"/>
    </w:rPr>
  </w:style>
  <w:style w:type="paragraph" w:customStyle="1" w:styleId="Sangradet2">
    <w:name w:val="Sangría de t2"/>
    <w:aliases w:val="independiente2"/>
    <w:basedOn w:val="Normal"/>
    <w:rsid w:val="00E45822"/>
    <w:pPr>
      <w:snapToGrid w:val="0"/>
      <w:jc w:val="both"/>
    </w:pPr>
    <w:rPr>
      <w:rFonts w:ascii="Arial" w:hAnsi="Arial"/>
      <w:sz w:val="22"/>
      <w:lang w:val="eu-ES"/>
    </w:rPr>
  </w:style>
  <w:style w:type="character" w:customStyle="1" w:styleId="EncabezadoCar">
    <w:name w:val="Encabezado Car"/>
    <w:basedOn w:val="Fuentedeprrafopredeter"/>
    <w:link w:val="Encabezado"/>
    <w:rsid w:val="00E45822"/>
    <w:rPr>
      <w:sz w:val="24"/>
      <w:lang w:val="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562847">
      <w:bodyDiv w:val="1"/>
      <w:marLeft w:val="0"/>
      <w:marRight w:val="0"/>
      <w:marTop w:val="0"/>
      <w:marBottom w:val="0"/>
      <w:divBdr>
        <w:top w:val="none" w:sz="0" w:space="0" w:color="auto"/>
        <w:left w:val="none" w:sz="0" w:space="0" w:color="auto"/>
        <w:bottom w:val="none" w:sz="0" w:space="0" w:color="auto"/>
        <w:right w:val="none" w:sz="0" w:space="0" w:color="auto"/>
      </w:divBdr>
    </w:div>
    <w:div w:id="5604854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settings.xml.rels><?xml version="1.0" encoding="UTF-8" standalone="yes"?>
<Relationships xmlns="http://schemas.openxmlformats.org/package/2006/relationships"><Relationship Id="rId1" Type="http://schemas.openxmlformats.org/officeDocument/2006/relationships/attachedTemplate" Target="file:///D:\Usuarios\aganzabal\Desktop\POLICIA\PLANTILLAS\OPPP_PCPRRE01_P_RES_Autorizacion.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A80B87E-F874-4736-8654-0588A0BB0C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OPPP_PCPRRE01_P_RES_Autorizacion.dotx</Template>
  <TotalTime>57</TotalTime>
  <Pages>4</Pages>
  <Words>1567</Words>
  <Characters>8620</Characters>
  <Application>Microsoft Office Word</Application>
  <DocSecurity>0</DocSecurity>
  <Lines>71</Lines>
  <Paragraphs>20</Paragraphs>
  <ScaleCrop>false</ScaleCrop>
  <HeadingPairs>
    <vt:vector size="2" baseType="variant">
      <vt:variant>
        <vt:lpstr>Título</vt:lpstr>
      </vt:variant>
      <vt:variant>
        <vt:i4>1</vt:i4>
      </vt:variant>
    </vt:vector>
  </HeadingPairs>
  <TitlesOfParts>
    <vt:vector size="1" baseType="lpstr">
      <vt:lpstr>Informe de autorización</vt:lpstr>
    </vt:vector>
  </TitlesOfParts>
  <Company>Estudios GiS</Company>
  <LinksUpToDate>false</LinksUpToDate>
  <CharactersWithSpaces>10167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Informe de autorización</dc:title>
  <dc:subject>Permisos de policía</dc:subject>
  <dc:creator>DFA</dc:creator>
  <cp:lastModifiedBy>Orobengoa San Vicente, Galder</cp:lastModifiedBy>
  <cp:revision>14</cp:revision>
  <cp:lastPrinted>2015-03-04T11:19:00Z</cp:lastPrinted>
  <dcterms:created xsi:type="dcterms:W3CDTF">2015-10-08T11:30:00Z</dcterms:created>
  <dcterms:modified xsi:type="dcterms:W3CDTF">2022-11-09T13:28:00Z</dcterms:modified>
</cp:coreProperties>
</file>