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528AA" w14:textId="77777777" w:rsidR="00BD78C9" w:rsidRDefault="00BD78C9" w:rsidP="007672DC">
      <w:pPr>
        <w:jc w:val="both"/>
        <w:rPr>
          <w:color w:val="000000"/>
          <w:sz w:val="24"/>
          <w:szCs w:val="24"/>
          <w:lang w:val="es-ES_tradnl" w:eastAsia="es-ES_tradnl"/>
        </w:rPr>
      </w:pPr>
    </w:p>
    <w:p w14:paraId="28A71286" w14:textId="77777777" w:rsidR="001D0FF6" w:rsidRDefault="001D0FF6" w:rsidP="007672DC">
      <w:pPr>
        <w:jc w:val="both"/>
        <w:rPr>
          <w:color w:val="000000"/>
          <w:sz w:val="24"/>
          <w:szCs w:val="24"/>
          <w:lang w:val="es-ES_tradnl" w:eastAsia="es-ES_tradnl"/>
        </w:rPr>
      </w:pPr>
    </w:p>
    <w:p w14:paraId="058455CF" w14:textId="77777777" w:rsidR="001D0FF6" w:rsidRDefault="001D0FF6" w:rsidP="007672DC">
      <w:pPr>
        <w:jc w:val="both"/>
        <w:rPr>
          <w:color w:val="000000"/>
          <w:sz w:val="24"/>
          <w:szCs w:val="24"/>
          <w:lang w:val="es-ES_tradnl" w:eastAsia="es-ES_tradnl"/>
        </w:rPr>
      </w:pPr>
    </w:p>
    <w:p w14:paraId="3B6D3243" w14:textId="484ED19D" w:rsidR="00BD78C9" w:rsidRPr="009E5C0E" w:rsidRDefault="009E5C0E" w:rsidP="009E5C0E">
      <w:pPr>
        <w:jc w:val="center"/>
        <w:rPr>
          <w:b/>
          <w:bCs/>
          <w:color w:val="000000"/>
          <w:sz w:val="24"/>
          <w:szCs w:val="24"/>
          <w:lang w:val="es-ES_tradnl" w:eastAsia="es-ES_tradnl"/>
        </w:rPr>
      </w:pPr>
      <w:r w:rsidRPr="009E5C0E">
        <w:rPr>
          <w:b/>
          <w:bCs/>
          <w:color w:val="000000"/>
          <w:sz w:val="24"/>
          <w:szCs w:val="24"/>
          <w:lang w:val="es-ES_tradnl" w:eastAsia="es-ES_tradnl"/>
        </w:rPr>
        <w:t xml:space="preserve">RESOLUCIÓN </w:t>
      </w:r>
      <w:r w:rsidR="001237F8">
        <w:rPr>
          <w:b/>
          <w:bCs/>
          <w:color w:val="000000"/>
          <w:sz w:val="24"/>
          <w:szCs w:val="24"/>
          <w:lang w:val="es-ES_tradnl" w:eastAsia="es-ES_tradnl"/>
        </w:rPr>
        <w:t xml:space="preserve">– SESIÓN </w:t>
      </w:r>
      <w:r w:rsidRPr="009E5C0E">
        <w:rPr>
          <w:b/>
          <w:bCs/>
          <w:color w:val="000000"/>
          <w:sz w:val="24"/>
          <w:szCs w:val="24"/>
          <w:lang w:val="es-ES_tradnl" w:eastAsia="es-ES_tradnl"/>
        </w:rPr>
        <w:t>19-MAYO -2026</w:t>
      </w:r>
      <w:r w:rsidR="001237F8">
        <w:rPr>
          <w:b/>
          <w:bCs/>
          <w:color w:val="000000"/>
          <w:sz w:val="24"/>
          <w:szCs w:val="24"/>
          <w:lang w:val="es-ES_tradnl" w:eastAsia="es-ES_tradnl"/>
        </w:rPr>
        <w:t>-</w:t>
      </w:r>
    </w:p>
    <w:p w14:paraId="4D7A66A5" w14:textId="77777777" w:rsidR="00BD78C9" w:rsidRDefault="00BD78C9" w:rsidP="007672DC">
      <w:pPr>
        <w:jc w:val="both"/>
        <w:rPr>
          <w:color w:val="000000"/>
          <w:sz w:val="24"/>
          <w:szCs w:val="24"/>
          <w:lang w:val="es-ES_tradnl" w:eastAsia="es-ES_tradnl"/>
        </w:rPr>
      </w:pPr>
    </w:p>
    <w:p w14:paraId="7B6FD208" w14:textId="77777777" w:rsidR="009E5C0E" w:rsidRPr="00BD594A" w:rsidRDefault="009E5C0E" w:rsidP="009E5C0E">
      <w:pPr>
        <w:jc w:val="center"/>
        <w:rPr>
          <w:b/>
          <w:color w:val="000000"/>
          <w:sz w:val="24"/>
          <w:szCs w:val="24"/>
          <w:lang w:val="es-ES_tradnl" w:eastAsia="es-ES_tradnl"/>
        </w:rPr>
      </w:pPr>
      <w:r w:rsidRPr="00BD594A">
        <w:rPr>
          <w:b/>
          <w:color w:val="000000"/>
          <w:sz w:val="24"/>
          <w:szCs w:val="24"/>
          <w:lang w:val="es-ES_tradnl" w:eastAsia="es-ES_tradnl"/>
        </w:rPr>
        <w:t>ANTECEDENTES</w:t>
      </w:r>
    </w:p>
    <w:p w14:paraId="0BD97060" w14:textId="77777777" w:rsidR="009E5C0E" w:rsidRPr="000542DE" w:rsidRDefault="009E5C0E" w:rsidP="009E5C0E">
      <w:pPr>
        <w:jc w:val="both"/>
        <w:rPr>
          <w:sz w:val="24"/>
          <w:szCs w:val="24"/>
          <w:lang w:val="es-ES_tradnl" w:eastAsia="es-ES_tradnl"/>
        </w:rPr>
      </w:pPr>
    </w:p>
    <w:p w14:paraId="2FB8C2E8" w14:textId="51AD8ADB" w:rsidR="009E5C0E" w:rsidRPr="00AC1722" w:rsidRDefault="009E5C0E" w:rsidP="009E5C0E">
      <w:pPr>
        <w:jc w:val="both"/>
        <w:rPr>
          <w:sz w:val="24"/>
          <w:szCs w:val="24"/>
          <w:lang w:eastAsia="es-ES_tradnl"/>
        </w:rPr>
      </w:pPr>
      <w:proofErr w:type="gramStart"/>
      <w:r w:rsidRPr="00AC1722">
        <w:rPr>
          <w:b/>
          <w:sz w:val="24"/>
          <w:szCs w:val="24"/>
          <w:lang w:eastAsia="es-ES_tradnl"/>
        </w:rPr>
        <w:t>Primero.-</w:t>
      </w:r>
      <w:proofErr w:type="gramEnd"/>
      <w:r w:rsidRPr="00AC1722">
        <w:rPr>
          <w:b/>
          <w:sz w:val="24"/>
          <w:szCs w:val="24"/>
          <w:lang w:eastAsia="es-ES_tradnl"/>
        </w:rPr>
        <w:t xml:space="preserve"> </w:t>
      </w:r>
      <w:r w:rsidRPr="00AC1722">
        <w:rPr>
          <w:sz w:val="24"/>
          <w:szCs w:val="24"/>
          <w:lang w:eastAsia="es-ES_tradnl"/>
        </w:rPr>
        <w:t xml:space="preserve">Con fecha 4 de diciembre de 2025, </w:t>
      </w:r>
      <w:r w:rsidR="0086736D" w:rsidRPr="0086736D">
        <w:rPr>
          <w:sz w:val="24"/>
          <w:szCs w:val="24"/>
          <w:highlight w:val="black"/>
          <w:lang w:eastAsia="es-ES_tradnl"/>
        </w:rPr>
        <w:t>XXXXX</w:t>
      </w:r>
      <w:r w:rsidRPr="00AC1722">
        <w:rPr>
          <w:sz w:val="24"/>
          <w:szCs w:val="24"/>
          <w:lang w:eastAsia="es-ES_tradnl"/>
        </w:rPr>
        <w:t xml:space="preserve"> presentó una solicitud de acceso a información pública a los efectos de que la Dirección de Agricultura le remitiera “información adicional” respecto de la anteriormente solicitada y remitida por el Servicio de Secretaría Técnica de Agricultura el día 3 de diciembre de 2025 en el expediente 2025/00065 “sobre los expedientes sancionadores relacionados con el transporte de animales en los últimos cinco años”.</w:t>
      </w:r>
    </w:p>
    <w:p w14:paraId="5E1A0251" w14:textId="77777777" w:rsidR="009E5C0E" w:rsidRDefault="009E5C0E" w:rsidP="009E5C0E">
      <w:pPr>
        <w:jc w:val="both"/>
        <w:rPr>
          <w:sz w:val="24"/>
          <w:szCs w:val="24"/>
          <w:lang w:eastAsia="es-ES_tradnl"/>
        </w:rPr>
      </w:pPr>
    </w:p>
    <w:p w14:paraId="26D7B492" w14:textId="4143C2B8" w:rsidR="009E5C0E" w:rsidRPr="00AC1722" w:rsidRDefault="009E5C0E" w:rsidP="009E5C0E">
      <w:pPr>
        <w:jc w:val="both"/>
        <w:rPr>
          <w:sz w:val="24"/>
          <w:szCs w:val="24"/>
          <w:lang w:eastAsia="es-ES_tradnl"/>
        </w:rPr>
      </w:pPr>
      <w:r w:rsidRPr="00AC1722">
        <w:rPr>
          <w:sz w:val="24"/>
          <w:szCs w:val="24"/>
          <w:lang w:eastAsia="es-ES_tradnl"/>
        </w:rPr>
        <w:t xml:space="preserve">Más concretamente, </w:t>
      </w:r>
      <w:r w:rsidR="00CD0944" w:rsidRPr="00CD0944">
        <w:rPr>
          <w:sz w:val="24"/>
          <w:szCs w:val="24"/>
          <w:highlight w:val="black"/>
          <w:lang w:eastAsia="es-ES_tradnl"/>
        </w:rPr>
        <w:t>la persona interesada</w:t>
      </w:r>
      <w:r w:rsidRPr="00AC1722">
        <w:rPr>
          <w:sz w:val="24"/>
          <w:szCs w:val="24"/>
          <w:lang w:eastAsia="es-ES_tradnl"/>
        </w:rPr>
        <w:t xml:space="preserve"> solicitó que la Dirección de Agricultura especificara lo siguiente:</w:t>
      </w:r>
    </w:p>
    <w:p w14:paraId="3C370208" w14:textId="77777777" w:rsidR="009E5C0E" w:rsidRPr="00AC1722" w:rsidRDefault="009E5C0E" w:rsidP="009E5C0E">
      <w:pPr>
        <w:jc w:val="both"/>
        <w:rPr>
          <w:sz w:val="24"/>
          <w:szCs w:val="24"/>
          <w:lang w:eastAsia="es-ES_tradnl"/>
        </w:rPr>
      </w:pPr>
    </w:p>
    <w:p w14:paraId="2555C134" w14:textId="77777777" w:rsidR="009E5C0E" w:rsidRPr="00AC1722" w:rsidRDefault="009E5C0E" w:rsidP="009E5C0E">
      <w:pPr>
        <w:jc w:val="both"/>
        <w:rPr>
          <w:i/>
          <w:iCs/>
          <w:sz w:val="24"/>
          <w:szCs w:val="24"/>
          <w:lang w:eastAsia="es-ES_tradnl"/>
        </w:rPr>
      </w:pPr>
      <w:r w:rsidRPr="00AC1722">
        <w:rPr>
          <w:i/>
          <w:iCs/>
          <w:sz w:val="24"/>
          <w:szCs w:val="24"/>
          <w:lang w:eastAsia="es-ES_tradnl"/>
        </w:rPr>
        <w:t>1. Motivos del sobreseimiento de cada uno de los expedientes que aparecen en su respuesta como “sobreseído”.</w:t>
      </w:r>
    </w:p>
    <w:p w14:paraId="65E1A8A0" w14:textId="77777777" w:rsidR="009E5C0E" w:rsidRPr="00AC1722" w:rsidRDefault="009E5C0E" w:rsidP="009E5C0E">
      <w:pPr>
        <w:jc w:val="both"/>
        <w:rPr>
          <w:i/>
          <w:iCs/>
          <w:sz w:val="24"/>
          <w:szCs w:val="24"/>
          <w:lang w:eastAsia="es-ES_tradnl"/>
        </w:rPr>
      </w:pPr>
    </w:p>
    <w:p w14:paraId="1D0EFFEF" w14:textId="77777777" w:rsidR="009E5C0E" w:rsidRPr="00AC1722" w:rsidRDefault="009E5C0E" w:rsidP="009E5C0E">
      <w:pPr>
        <w:numPr>
          <w:ilvl w:val="0"/>
          <w:numId w:val="46"/>
        </w:numPr>
        <w:jc w:val="both"/>
        <w:rPr>
          <w:i/>
          <w:iCs/>
          <w:sz w:val="24"/>
          <w:szCs w:val="24"/>
          <w:lang w:eastAsia="es-ES_tradnl"/>
        </w:rPr>
      </w:pPr>
      <w:r w:rsidRPr="00AC1722">
        <w:rPr>
          <w:i/>
          <w:iCs/>
          <w:sz w:val="24"/>
          <w:szCs w:val="24"/>
          <w:lang w:eastAsia="es-ES_tradnl"/>
        </w:rPr>
        <w:t>Motivo jurídico del archivo.</w:t>
      </w:r>
    </w:p>
    <w:p w14:paraId="637D2653" w14:textId="77777777" w:rsidR="009E5C0E" w:rsidRPr="00AC1722" w:rsidRDefault="009E5C0E" w:rsidP="009E5C0E">
      <w:pPr>
        <w:numPr>
          <w:ilvl w:val="0"/>
          <w:numId w:val="46"/>
        </w:numPr>
        <w:jc w:val="both"/>
        <w:rPr>
          <w:i/>
          <w:iCs/>
          <w:sz w:val="24"/>
          <w:szCs w:val="24"/>
          <w:lang w:eastAsia="es-ES_tradnl"/>
        </w:rPr>
      </w:pPr>
      <w:r w:rsidRPr="00AC1722">
        <w:rPr>
          <w:i/>
          <w:iCs/>
          <w:sz w:val="24"/>
          <w:szCs w:val="24"/>
          <w:lang w:eastAsia="es-ES_tradnl"/>
        </w:rPr>
        <w:t>Motivo fáctico.</w:t>
      </w:r>
    </w:p>
    <w:p w14:paraId="53342853" w14:textId="77777777" w:rsidR="009E5C0E" w:rsidRPr="00AC1722" w:rsidRDefault="009E5C0E" w:rsidP="009E5C0E">
      <w:pPr>
        <w:jc w:val="both"/>
        <w:rPr>
          <w:i/>
          <w:iCs/>
          <w:sz w:val="24"/>
          <w:szCs w:val="24"/>
          <w:lang w:eastAsia="es-ES_tradnl"/>
        </w:rPr>
      </w:pPr>
    </w:p>
    <w:p w14:paraId="12FBE0C1" w14:textId="77777777" w:rsidR="009E5C0E" w:rsidRPr="00AC1722" w:rsidRDefault="009E5C0E" w:rsidP="009E5C0E">
      <w:pPr>
        <w:jc w:val="both"/>
        <w:rPr>
          <w:i/>
          <w:iCs/>
          <w:sz w:val="24"/>
          <w:szCs w:val="24"/>
          <w:lang w:eastAsia="es-ES_tradnl"/>
        </w:rPr>
      </w:pPr>
      <w:r w:rsidRPr="00AC1722">
        <w:rPr>
          <w:i/>
          <w:iCs/>
          <w:sz w:val="24"/>
          <w:szCs w:val="24"/>
          <w:lang w:eastAsia="es-ES_tradnl"/>
        </w:rPr>
        <w:t>2. Motivos de la caducidad de cada uno de los expedientes que figuran como “caducado”.</w:t>
      </w:r>
    </w:p>
    <w:p w14:paraId="63EA1577" w14:textId="77777777" w:rsidR="009E5C0E" w:rsidRPr="00AC1722" w:rsidRDefault="009E5C0E" w:rsidP="009E5C0E">
      <w:pPr>
        <w:jc w:val="both"/>
        <w:rPr>
          <w:i/>
          <w:iCs/>
          <w:sz w:val="24"/>
          <w:szCs w:val="24"/>
          <w:lang w:eastAsia="es-ES_tradnl"/>
        </w:rPr>
      </w:pPr>
    </w:p>
    <w:p w14:paraId="26466FC4" w14:textId="77777777" w:rsidR="009E5C0E" w:rsidRPr="00AC1722" w:rsidRDefault="009E5C0E" w:rsidP="009E5C0E">
      <w:pPr>
        <w:numPr>
          <w:ilvl w:val="0"/>
          <w:numId w:val="46"/>
        </w:numPr>
        <w:jc w:val="both"/>
        <w:rPr>
          <w:i/>
          <w:iCs/>
          <w:sz w:val="24"/>
          <w:szCs w:val="24"/>
          <w:lang w:eastAsia="es-ES_tradnl"/>
        </w:rPr>
      </w:pPr>
      <w:r w:rsidRPr="00AC1722">
        <w:rPr>
          <w:i/>
          <w:iCs/>
          <w:sz w:val="24"/>
          <w:szCs w:val="24"/>
          <w:lang w:eastAsia="es-ES_tradnl"/>
        </w:rPr>
        <w:t>Fechas de incoación y de caducidad.</w:t>
      </w:r>
    </w:p>
    <w:p w14:paraId="773A7D81" w14:textId="77777777" w:rsidR="009E5C0E" w:rsidRPr="00AC1722" w:rsidRDefault="009E5C0E" w:rsidP="009E5C0E">
      <w:pPr>
        <w:numPr>
          <w:ilvl w:val="0"/>
          <w:numId w:val="46"/>
        </w:numPr>
        <w:jc w:val="both"/>
        <w:rPr>
          <w:i/>
          <w:iCs/>
          <w:sz w:val="24"/>
          <w:szCs w:val="24"/>
          <w:lang w:eastAsia="es-ES_tradnl"/>
        </w:rPr>
      </w:pPr>
      <w:r w:rsidRPr="00AC1722">
        <w:rPr>
          <w:i/>
          <w:iCs/>
          <w:sz w:val="24"/>
          <w:szCs w:val="24"/>
          <w:lang w:eastAsia="es-ES_tradnl"/>
        </w:rPr>
        <w:t>Plazos superados que han dado lugar a la caducidad.</w:t>
      </w:r>
    </w:p>
    <w:p w14:paraId="19EDACC3" w14:textId="77777777" w:rsidR="009E5C0E" w:rsidRPr="00AC1722" w:rsidRDefault="009E5C0E" w:rsidP="009E5C0E">
      <w:pPr>
        <w:jc w:val="both"/>
        <w:rPr>
          <w:i/>
          <w:iCs/>
          <w:sz w:val="24"/>
          <w:szCs w:val="24"/>
          <w:lang w:eastAsia="es-ES_tradnl"/>
        </w:rPr>
      </w:pPr>
    </w:p>
    <w:p w14:paraId="4E0961B9" w14:textId="77777777" w:rsidR="009E5C0E" w:rsidRPr="00AC1722" w:rsidRDefault="009E5C0E" w:rsidP="009E5C0E">
      <w:pPr>
        <w:jc w:val="both"/>
        <w:rPr>
          <w:i/>
          <w:iCs/>
          <w:sz w:val="24"/>
          <w:szCs w:val="24"/>
          <w:lang w:eastAsia="es-ES_tradnl"/>
        </w:rPr>
      </w:pPr>
      <w:r w:rsidRPr="00AC1722">
        <w:rPr>
          <w:i/>
          <w:iCs/>
          <w:sz w:val="24"/>
          <w:szCs w:val="24"/>
          <w:lang w:eastAsia="es-ES_tradnl"/>
        </w:rPr>
        <w:t>3. Importe propuesto de sanción en todos los expedientes en los que en su respuesta aparece la expresión “resolución imponer sanción”.</w:t>
      </w:r>
    </w:p>
    <w:p w14:paraId="58F6C87A" w14:textId="77777777" w:rsidR="009E5C0E" w:rsidRPr="00AC1722" w:rsidRDefault="009E5C0E" w:rsidP="009E5C0E">
      <w:pPr>
        <w:jc w:val="both"/>
        <w:rPr>
          <w:i/>
          <w:iCs/>
          <w:sz w:val="24"/>
          <w:szCs w:val="24"/>
          <w:lang w:eastAsia="es-ES_tradnl"/>
        </w:rPr>
      </w:pPr>
    </w:p>
    <w:p w14:paraId="0E75DB19" w14:textId="77777777" w:rsidR="009E5C0E" w:rsidRDefault="009E5C0E" w:rsidP="009E5C0E">
      <w:pPr>
        <w:numPr>
          <w:ilvl w:val="0"/>
          <w:numId w:val="46"/>
        </w:numPr>
        <w:jc w:val="both"/>
        <w:rPr>
          <w:i/>
          <w:iCs/>
          <w:sz w:val="24"/>
          <w:szCs w:val="24"/>
          <w:lang w:eastAsia="es-ES_tradnl"/>
        </w:rPr>
      </w:pPr>
      <w:r w:rsidRPr="00AC1722">
        <w:rPr>
          <w:i/>
          <w:iCs/>
          <w:sz w:val="24"/>
          <w:szCs w:val="24"/>
          <w:lang w:eastAsia="es-ES_tradnl"/>
        </w:rPr>
        <w:t>Cuantía de la sanción propuesta en cada expediente.</w:t>
      </w:r>
    </w:p>
    <w:p w14:paraId="2533B929" w14:textId="77777777" w:rsidR="009E5C0E" w:rsidRPr="00AC1722" w:rsidRDefault="009E5C0E" w:rsidP="009E5C0E">
      <w:pPr>
        <w:jc w:val="both"/>
        <w:rPr>
          <w:i/>
          <w:iCs/>
          <w:sz w:val="24"/>
          <w:szCs w:val="24"/>
          <w:lang w:eastAsia="es-ES_tradnl"/>
        </w:rPr>
      </w:pPr>
    </w:p>
    <w:p w14:paraId="4C531277" w14:textId="77777777" w:rsidR="009E5C0E" w:rsidRPr="00AC1722" w:rsidRDefault="009E5C0E" w:rsidP="009E5C0E">
      <w:pPr>
        <w:jc w:val="both"/>
        <w:rPr>
          <w:i/>
          <w:iCs/>
          <w:sz w:val="24"/>
          <w:szCs w:val="24"/>
          <w:lang w:eastAsia="es-ES_tradnl"/>
        </w:rPr>
      </w:pPr>
      <w:r w:rsidRPr="00AC1722">
        <w:rPr>
          <w:i/>
          <w:iCs/>
          <w:sz w:val="24"/>
          <w:szCs w:val="24"/>
          <w:lang w:eastAsia="es-ES_tradnl"/>
        </w:rPr>
        <w:t>4. Aclaración sobre el pago de las sanciones:</w:t>
      </w:r>
    </w:p>
    <w:p w14:paraId="29F83E64" w14:textId="77777777" w:rsidR="009E5C0E" w:rsidRPr="00AC1722" w:rsidRDefault="009E5C0E" w:rsidP="009E5C0E">
      <w:pPr>
        <w:jc w:val="both"/>
        <w:rPr>
          <w:i/>
          <w:iCs/>
          <w:sz w:val="24"/>
          <w:szCs w:val="24"/>
          <w:lang w:eastAsia="es-ES_tradnl"/>
        </w:rPr>
      </w:pPr>
    </w:p>
    <w:p w14:paraId="337E5008" w14:textId="77777777" w:rsidR="009E5C0E" w:rsidRPr="00AC1722" w:rsidRDefault="009E5C0E" w:rsidP="009E5C0E">
      <w:pPr>
        <w:numPr>
          <w:ilvl w:val="0"/>
          <w:numId w:val="46"/>
        </w:numPr>
        <w:jc w:val="both"/>
        <w:rPr>
          <w:i/>
          <w:iCs/>
          <w:sz w:val="24"/>
          <w:szCs w:val="24"/>
          <w:lang w:eastAsia="es-ES_tradnl"/>
        </w:rPr>
      </w:pPr>
      <w:r w:rsidRPr="00AC1722">
        <w:rPr>
          <w:i/>
          <w:iCs/>
          <w:sz w:val="24"/>
          <w:szCs w:val="24"/>
          <w:lang w:eastAsia="es-ES_tradnl"/>
        </w:rPr>
        <w:t>Indicar, para cada expediente con resolución de imposición de sanción, si el interesado ha pagado o no la sanción.</w:t>
      </w:r>
    </w:p>
    <w:p w14:paraId="0FD1043F" w14:textId="77777777" w:rsidR="009E5C0E" w:rsidRPr="00AC1722" w:rsidRDefault="009E5C0E" w:rsidP="009E5C0E">
      <w:pPr>
        <w:numPr>
          <w:ilvl w:val="0"/>
          <w:numId w:val="46"/>
        </w:numPr>
        <w:jc w:val="both"/>
        <w:rPr>
          <w:i/>
          <w:iCs/>
          <w:sz w:val="24"/>
          <w:szCs w:val="24"/>
          <w:lang w:eastAsia="es-ES_tradnl"/>
        </w:rPr>
      </w:pPr>
      <w:r w:rsidRPr="00AC1722">
        <w:rPr>
          <w:i/>
          <w:iCs/>
          <w:sz w:val="24"/>
          <w:szCs w:val="24"/>
          <w:lang w:eastAsia="es-ES_tradnl"/>
        </w:rPr>
        <w:t>En caso de pago, señalar el importe finalmente abonado y si se aplicó reducción por pronto pago”.</w:t>
      </w:r>
    </w:p>
    <w:p w14:paraId="609CA759" w14:textId="77777777" w:rsidR="009E5C0E" w:rsidRDefault="009E5C0E" w:rsidP="009E5C0E">
      <w:pPr>
        <w:jc w:val="both"/>
        <w:rPr>
          <w:sz w:val="24"/>
          <w:szCs w:val="24"/>
          <w:lang w:eastAsia="es-ES_tradnl"/>
        </w:rPr>
      </w:pPr>
    </w:p>
    <w:p w14:paraId="6BEEBD46" w14:textId="77777777" w:rsidR="001D0FF6" w:rsidRDefault="001D0FF6" w:rsidP="009E5C0E">
      <w:pPr>
        <w:jc w:val="both"/>
        <w:rPr>
          <w:sz w:val="24"/>
          <w:szCs w:val="24"/>
          <w:lang w:eastAsia="es-ES_tradnl"/>
        </w:rPr>
      </w:pPr>
    </w:p>
    <w:p w14:paraId="6F6846ED" w14:textId="77777777" w:rsidR="001D0FF6" w:rsidRDefault="001D0FF6" w:rsidP="009E5C0E">
      <w:pPr>
        <w:jc w:val="both"/>
        <w:rPr>
          <w:sz w:val="24"/>
          <w:szCs w:val="24"/>
          <w:lang w:eastAsia="es-ES_tradnl"/>
        </w:rPr>
      </w:pPr>
    </w:p>
    <w:p w14:paraId="5E02A3F6" w14:textId="77777777" w:rsidR="001D0FF6" w:rsidRPr="00AC1722" w:rsidRDefault="001D0FF6" w:rsidP="009E5C0E">
      <w:pPr>
        <w:jc w:val="both"/>
        <w:rPr>
          <w:sz w:val="24"/>
          <w:szCs w:val="24"/>
          <w:lang w:eastAsia="es-ES_tradnl"/>
        </w:rPr>
      </w:pPr>
    </w:p>
    <w:p w14:paraId="74CCDF97" w14:textId="77777777" w:rsidR="009E5C0E" w:rsidRPr="00AC1722" w:rsidRDefault="009E5C0E" w:rsidP="009E5C0E">
      <w:pPr>
        <w:jc w:val="both"/>
        <w:rPr>
          <w:i/>
          <w:iCs/>
          <w:sz w:val="24"/>
          <w:szCs w:val="24"/>
          <w:lang w:eastAsia="es-ES_tradnl"/>
        </w:rPr>
      </w:pPr>
      <w:proofErr w:type="gramStart"/>
      <w:r w:rsidRPr="00AC1722">
        <w:rPr>
          <w:b/>
          <w:bCs/>
          <w:sz w:val="24"/>
          <w:szCs w:val="24"/>
          <w:lang w:eastAsia="es-ES_tradnl"/>
        </w:rPr>
        <w:lastRenderedPageBreak/>
        <w:t>Segundo.-</w:t>
      </w:r>
      <w:proofErr w:type="gramEnd"/>
      <w:r w:rsidRPr="00AC1722">
        <w:rPr>
          <w:sz w:val="24"/>
          <w:szCs w:val="24"/>
          <w:lang w:eastAsia="es-ES_tradnl"/>
        </w:rPr>
        <w:t xml:space="preserve"> La Dirección de Agricultura, mediante Resolución 7220/2025, de 30 de diciembre, estima la solicitud de acceso a la información pública, dando “</w:t>
      </w:r>
      <w:r w:rsidRPr="00AC1722">
        <w:rPr>
          <w:i/>
          <w:iCs/>
          <w:sz w:val="24"/>
          <w:szCs w:val="24"/>
          <w:lang w:eastAsia="es-ES_tradnl"/>
        </w:rPr>
        <w:t>acceso a la información adicional solicitada referida a los últimos 5 años en materia de transporte de animales, detallada en el Anexo I de esta Resolución:</w:t>
      </w:r>
    </w:p>
    <w:p w14:paraId="72AA9106" w14:textId="77777777" w:rsidR="009E5C0E" w:rsidRPr="00AC1722" w:rsidRDefault="009E5C0E" w:rsidP="009E5C0E">
      <w:pPr>
        <w:jc w:val="both"/>
        <w:rPr>
          <w:i/>
          <w:iCs/>
          <w:sz w:val="24"/>
          <w:szCs w:val="24"/>
          <w:lang w:eastAsia="es-ES_tradnl"/>
        </w:rPr>
      </w:pPr>
    </w:p>
    <w:p w14:paraId="148A860C" w14:textId="77777777" w:rsidR="009E5C0E" w:rsidRPr="00AC1722" w:rsidRDefault="009E5C0E" w:rsidP="009E5C0E">
      <w:pPr>
        <w:numPr>
          <w:ilvl w:val="0"/>
          <w:numId w:val="47"/>
        </w:numPr>
        <w:jc w:val="both"/>
        <w:rPr>
          <w:i/>
          <w:iCs/>
          <w:sz w:val="24"/>
          <w:szCs w:val="24"/>
          <w:lang w:eastAsia="es-ES_tradnl"/>
        </w:rPr>
      </w:pPr>
      <w:r w:rsidRPr="00AC1722">
        <w:rPr>
          <w:i/>
          <w:iCs/>
          <w:sz w:val="24"/>
          <w:szCs w:val="24"/>
          <w:lang w:eastAsia="es-ES_tradnl"/>
        </w:rPr>
        <w:t>Motivos del sobreseimiento de cada uno de los expedientes que aparecen en su respuesta como “sobreseído”.</w:t>
      </w:r>
    </w:p>
    <w:p w14:paraId="21453F5F" w14:textId="77777777" w:rsidR="009E5C0E" w:rsidRPr="00AC1722" w:rsidRDefault="009E5C0E" w:rsidP="009E5C0E">
      <w:pPr>
        <w:numPr>
          <w:ilvl w:val="0"/>
          <w:numId w:val="47"/>
        </w:numPr>
        <w:jc w:val="both"/>
        <w:rPr>
          <w:i/>
          <w:iCs/>
          <w:sz w:val="24"/>
          <w:szCs w:val="24"/>
          <w:lang w:eastAsia="es-ES_tradnl"/>
        </w:rPr>
      </w:pPr>
      <w:r w:rsidRPr="00AC1722">
        <w:rPr>
          <w:i/>
          <w:iCs/>
          <w:sz w:val="24"/>
          <w:szCs w:val="24"/>
          <w:lang w:eastAsia="es-ES_tradnl"/>
        </w:rPr>
        <w:t>Motivos de la caducidad de cada uno de los expedientes que figuran como “caducado”.</w:t>
      </w:r>
    </w:p>
    <w:p w14:paraId="789CDE26" w14:textId="77777777" w:rsidR="009E5C0E" w:rsidRPr="00AC1722" w:rsidRDefault="009E5C0E" w:rsidP="009E5C0E">
      <w:pPr>
        <w:numPr>
          <w:ilvl w:val="0"/>
          <w:numId w:val="47"/>
        </w:numPr>
        <w:jc w:val="both"/>
        <w:rPr>
          <w:i/>
          <w:iCs/>
          <w:sz w:val="24"/>
          <w:szCs w:val="24"/>
          <w:lang w:eastAsia="es-ES_tradnl"/>
        </w:rPr>
      </w:pPr>
      <w:r w:rsidRPr="00AC1722">
        <w:rPr>
          <w:i/>
          <w:iCs/>
          <w:sz w:val="24"/>
          <w:szCs w:val="24"/>
          <w:lang w:eastAsia="es-ES_tradnl"/>
        </w:rPr>
        <w:t>Importe propuesto de sanción en todos los expedientes en los que en su respuesta aparece la expresión “resolución imponer sanción”.</w:t>
      </w:r>
    </w:p>
    <w:p w14:paraId="35035250" w14:textId="77777777" w:rsidR="009E5C0E" w:rsidRDefault="009E5C0E" w:rsidP="009E5C0E">
      <w:pPr>
        <w:numPr>
          <w:ilvl w:val="0"/>
          <w:numId w:val="47"/>
        </w:numPr>
        <w:jc w:val="both"/>
        <w:rPr>
          <w:sz w:val="24"/>
          <w:szCs w:val="24"/>
          <w:lang w:eastAsia="es-ES_tradnl"/>
        </w:rPr>
      </w:pPr>
      <w:r w:rsidRPr="00AC1722">
        <w:rPr>
          <w:i/>
          <w:iCs/>
          <w:sz w:val="24"/>
          <w:szCs w:val="24"/>
          <w:lang w:eastAsia="es-ES_tradnl"/>
        </w:rPr>
        <w:t>Aclaración sobre el pago de las sanciones”</w:t>
      </w:r>
      <w:r w:rsidRPr="00AC1722">
        <w:rPr>
          <w:sz w:val="24"/>
          <w:szCs w:val="24"/>
          <w:lang w:eastAsia="es-ES_tradnl"/>
        </w:rPr>
        <w:t>.</w:t>
      </w:r>
    </w:p>
    <w:p w14:paraId="5B79A04D" w14:textId="77777777" w:rsidR="009E5C0E" w:rsidRPr="00AC1722" w:rsidRDefault="009E5C0E" w:rsidP="009E5C0E">
      <w:pPr>
        <w:jc w:val="both"/>
        <w:rPr>
          <w:sz w:val="24"/>
          <w:szCs w:val="24"/>
          <w:lang w:eastAsia="es-ES_tradnl"/>
        </w:rPr>
      </w:pPr>
    </w:p>
    <w:p w14:paraId="6407909F" w14:textId="51D3927A" w:rsidR="009E5C0E" w:rsidRPr="00AC1722" w:rsidRDefault="009E5C0E" w:rsidP="009E5C0E">
      <w:pPr>
        <w:jc w:val="both"/>
        <w:rPr>
          <w:sz w:val="24"/>
          <w:szCs w:val="24"/>
          <w:lang w:eastAsia="es-ES_tradnl"/>
        </w:rPr>
      </w:pPr>
      <w:r w:rsidRPr="00AC1722">
        <w:rPr>
          <w:b/>
          <w:bCs/>
          <w:sz w:val="24"/>
          <w:szCs w:val="24"/>
          <w:lang w:eastAsia="es-ES_tradnl"/>
        </w:rPr>
        <w:t>Tercero.-</w:t>
      </w:r>
      <w:r w:rsidRPr="00AC1722">
        <w:rPr>
          <w:sz w:val="24"/>
          <w:szCs w:val="24"/>
          <w:lang w:eastAsia="es-ES_tradnl"/>
        </w:rPr>
        <w:t xml:space="preserve"> Posteriormente, el día 9 de enero de 2026, </w:t>
      </w:r>
      <w:r w:rsidR="00F00CB7" w:rsidRPr="00F00CB7">
        <w:rPr>
          <w:sz w:val="24"/>
          <w:szCs w:val="24"/>
          <w:highlight w:val="black"/>
          <w:lang w:eastAsia="es-ES_tradnl"/>
        </w:rPr>
        <w:t>XXXXX</w:t>
      </w:r>
      <w:r w:rsidRPr="00AC1722">
        <w:rPr>
          <w:sz w:val="24"/>
          <w:szCs w:val="24"/>
          <w:lang w:eastAsia="es-ES_tradnl"/>
        </w:rPr>
        <w:t xml:space="preserve"> presentó un nuevo escrito en el que, tras manifestar que la resolución indicada en el punto anterior “da respuesta a la solicitud inicialmente formulada”, considerando que la misma es, sin embargo, “excesivamente genérica”, reitera la solicitud de “información complementaria” a los efectos de que la Dirección de Agricultura destinataria especifique, en relación con los expedientes sancionadores relacionados en la tabla anexa a la Resolución 7220/2025, de 30 de diciembre,</w:t>
      </w:r>
      <w:r w:rsidR="00F62937">
        <w:rPr>
          <w:sz w:val="24"/>
          <w:szCs w:val="24"/>
          <w:lang w:eastAsia="es-ES_tradnl"/>
        </w:rPr>
        <w:t xml:space="preserve"> re</w:t>
      </w:r>
      <w:r w:rsidRPr="00AC1722">
        <w:rPr>
          <w:sz w:val="24"/>
          <w:szCs w:val="24"/>
          <w:lang w:eastAsia="es-ES_tradnl"/>
        </w:rPr>
        <w:t>ferida en el punto anterior</w:t>
      </w:r>
      <w:r w:rsidR="009503D6">
        <w:rPr>
          <w:sz w:val="24"/>
          <w:szCs w:val="24"/>
          <w:lang w:eastAsia="es-ES_tradnl"/>
        </w:rPr>
        <w:t>,</w:t>
      </w:r>
      <w:r w:rsidRPr="00AC1722">
        <w:rPr>
          <w:sz w:val="24"/>
          <w:szCs w:val="24"/>
          <w:lang w:eastAsia="es-ES_tradnl"/>
        </w:rPr>
        <w:t xml:space="preserve"> lo siguiente:</w:t>
      </w:r>
    </w:p>
    <w:p w14:paraId="11441E1F" w14:textId="77777777" w:rsidR="009E5C0E" w:rsidRPr="00AC1722" w:rsidRDefault="009E5C0E" w:rsidP="009E5C0E">
      <w:pPr>
        <w:jc w:val="both"/>
        <w:rPr>
          <w:sz w:val="24"/>
          <w:szCs w:val="24"/>
          <w:lang w:eastAsia="es-ES_tradnl"/>
        </w:rPr>
      </w:pPr>
    </w:p>
    <w:p w14:paraId="7D44567C" w14:textId="77777777" w:rsidR="009E5C0E" w:rsidRPr="00AC1722" w:rsidRDefault="009E5C0E" w:rsidP="009E5C0E">
      <w:pPr>
        <w:pStyle w:val="Prrafodelista"/>
        <w:numPr>
          <w:ilvl w:val="0"/>
          <w:numId w:val="49"/>
        </w:numPr>
        <w:jc w:val="both"/>
        <w:rPr>
          <w:i/>
          <w:iCs/>
          <w:sz w:val="24"/>
          <w:szCs w:val="24"/>
          <w:lang w:eastAsia="es-ES_tradnl"/>
        </w:rPr>
      </w:pPr>
      <w:r w:rsidRPr="00AC1722">
        <w:rPr>
          <w:i/>
          <w:iCs/>
          <w:sz w:val="24"/>
          <w:szCs w:val="24"/>
          <w:lang w:eastAsia="es-ES_tradnl"/>
        </w:rPr>
        <w:t>Descripción sucinta de los hechos que motivaron la incoación de cada expediente, indicando la conducta apreciada en cada caso y su contexto esencial.</w:t>
      </w:r>
    </w:p>
    <w:p w14:paraId="41B6E156" w14:textId="77777777" w:rsidR="009E5C0E" w:rsidRPr="00AC1722" w:rsidRDefault="009E5C0E" w:rsidP="009E5C0E">
      <w:pPr>
        <w:pStyle w:val="Prrafodelista"/>
        <w:jc w:val="both"/>
        <w:rPr>
          <w:i/>
          <w:iCs/>
          <w:sz w:val="24"/>
          <w:szCs w:val="24"/>
          <w:lang w:eastAsia="es-ES_tradnl"/>
        </w:rPr>
      </w:pPr>
    </w:p>
    <w:p w14:paraId="1FEF77B0" w14:textId="77777777" w:rsidR="009E5C0E" w:rsidRPr="00AC1722" w:rsidRDefault="009E5C0E" w:rsidP="009E5C0E">
      <w:pPr>
        <w:pStyle w:val="Prrafodelista"/>
        <w:numPr>
          <w:ilvl w:val="0"/>
          <w:numId w:val="49"/>
        </w:numPr>
        <w:jc w:val="both"/>
        <w:rPr>
          <w:i/>
          <w:iCs/>
          <w:sz w:val="24"/>
          <w:szCs w:val="24"/>
          <w:lang w:eastAsia="es-ES_tradnl"/>
        </w:rPr>
      </w:pPr>
      <w:r w:rsidRPr="00AC1722">
        <w:rPr>
          <w:i/>
          <w:iCs/>
          <w:sz w:val="24"/>
          <w:szCs w:val="24"/>
          <w:lang w:eastAsia="es-ES_tradnl"/>
        </w:rPr>
        <w:t>Normativa concreta aplicada en cada expediente, especificando la disposición legal o reglamentaria utilizada como fundamento de la actuación administrativa.</w:t>
      </w:r>
    </w:p>
    <w:p w14:paraId="40CF4D70" w14:textId="77777777" w:rsidR="009E5C0E" w:rsidRPr="00AC1722" w:rsidRDefault="009E5C0E" w:rsidP="009E5C0E">
      <w:pPr>
        <w:jc w:val="both"/>
        <w:rPr>
          <w:i/>
          <w:iCs/>
          <w:sz w:val="24"/>
          <w:szCs w:val="24"/>
          <w:lang w:eastAsia="es-ES_tradnl"/>
        </w:rPr>
      </w:pPr>
    </w:p>
    <w:p w14:paraId="6BDAABDC" w14:textId="77777777" w:rsidR="009E5C0E" w:rsidRDefault="009E5C0E" w:rsidP="009E5C0E">
      <w:pPr>
        <w:pStyle w:val="Prrafodelista"/>
        <w:numPr>
          <w:ilvl w:val="0"/>
          <w:numId w:val="49"/>
        </w:numPr>
        <w:jc w:val="both"/>
        <w:rPr>
          <w:i/>
          <w:iCs/>
          <w:sz w:val="24"/>
          <w:szCs w:val="24"/>
          <w:lang w:eastAsia="es-ES_tradnl"/>
        </w:rPr>
      </w:pPr>
      <w:r w:rsidRPr="00AC1722">
        <w:rPr>
          <w:i/>
          <w:iCs/>
          <w:sz w:val="24"/>
          <w:szCs w:val="24"/>
          <w:lang w:eastAsia="es-ES_tradnl"/>
        </w:rPr>
        <w:t>Artículo o precepto concreto considerado vulnerado en cada supuesto, así como la calificación jurídica de la infracción atribuida (leve, grave o muy grave).</w:t>
      </w:r>
    </w:p>
    <w:p w14:paraId="3EFFFF86" w14:textId="77777777" w:rsidR="009E5C0E" w:rsidRPr="0048742B" w:rsidRDefault="009E5C0E" w:rsidP="009E5C0E">
      <w:pPr>
        <w:jc w:val="both"/>
        <w:rPr>
          <w:i/>
          <w:iCs/>
          <w:sz w:val="24"/>
          <w:szCs w:val="24"/>
          <w:lang w:eastAsia="es-ES_tradnl"/>
        </w:rPr>
      </w:pPr>
    </w:p>
    <w:p w14:paraId="7DFA8108" w14:textId="77777777" w:rsidR="009E5C0E" w:rsidRPr="00AC1722" w:rsidRDefault="009E5C0E" w:rsidP="009E5C0E">
      <w:pPr>
        <w:ind w:firstLine="360"/>
        <w:jc w:val="both"/>
        <w:rPr>
          <w:i/>
          <w:iCs/>
          <w:sz w:val="24"/>
          <w:szCs w:val="24"/>
          <w:lang w:eastAsia="es-ES_tradnl"/>
        </w:rPr>
      </w:pPr>
      <w:r w:rsidRPr="00AC1722">
        <w:rPr>
          <w:i/>
          <w:iCs/>
          <w:sz w:val="24"/>
          <w:szCs w:val="24"/>
          <w:lang w:eastAsia="es-ES_tradnl"/>
        </w:rPr>
        <w:t>4. En los expedientes finalizados por sobreseimiento, explicación sucinta pero concreta de:</w:t>
      </w:r>
    </w:p>
    <w:p w14:paraId="0E350971" w14:textId="77777777" w:rsidR="009E5C0E" w:rsidRDefault="009E5C0E" w:rsidP="009E5C0E">
      <w:pPr>
        <w:ind w:left="567"/>
        <w:jc w:val="both"/>
        <w:rPr>
          <w:i/>
          <w:iCs/>
          <w:sz w:val="24"/>
          <w:szCs w:val="24"/>
          <w:lang w:eastAsia="es-ES_tradnl"/>
        </w:rPr>
      </w:pPr>
      <w:r w:rsidRPr="00AC1722">
        <w:rPr>
          <w:i/>
          <w:iCs/>
          <w:sz w:val="24"/>
          <w:szCs w:val="24"/>
          <w:lang w:eastAsia="es-ES_tradnl"/>
        </w:rPr>
        <w:t>los motivos fácticos apreciados, indicando qué hechos o extremos no pudieron ser acreditados o verificados, por ejemplo, por imposibilidad de identificar a la persona presuntamente responsable, de comprobar la realidad del transporte o los animales afectados, de verificar las circunstancias materiales del traslado, de confirmar la existencia del hecho denunciado, u otras circunstancias materiales análogas, que determinaron la imposibilidad de continuar el procedimiento sancionador, …los motivos jurídicos aplicados, indicando la causa legal concreta o el precepto normativo específico que impidió la imposición de sanción.</w:t>
      </w:r>
    </w:p>
    <w:p w14:paraId="23B7FF81" w14:textId="77777777" w:rsidR="009E5C0E" w:rsidRPr="00AC1722" w:rsidRDefault="009E5C0E" w:rsidP="009E5C0E">
      <w:pPr>
        <w:ind w:left="284"/>
        <w:jc w:val="both"/>
        <w:rPr>
          <w:i/>
          <w:iCs/>
          <w:sz w:val="24"/>
          <w:szCs w:val="24"/>
          <w:lang w:eastAsia="es-ES_tradnl"/>
        </w:rPr>
      </w:pPr>
    </w:p>
    <w:p w14:paraId="5FE55DE1" w14:textId="3589EF62" w:rsidR="009E5C0E" w:rsidRPr="006A3C12" w:rsidRDefault="009E5C0E" w:rsidP="006A3C12">
      <w:pPr>
        <w:ind w:left="360"/>
        <w:jc w:val="both"/>
        <w:rPr>
          <w:i/>
          <w:iCs/>
          <w:sz w:val="24"/>
          <w:szCs w:val="24"/>
          <w:lang w:eastAsia="es-ES_tradnl"/>
        </w:rPr>
      </w:pPr>
      <w:r>
        <w:rPr>
          <w:i/>
          <w:iCs/>
          <w:sz w:val="24"/>
          <w:szCs w:val="24"/>
          <w:lang w:eastAsia="es-ES_tradnl"/>
        </w:rPr>
        <w:t>5.</w:t>
      </w:r>
      <w:r w:rsidRPr="0048742B">
        <w:rPr>
          <w:i/>
          <w:iCs/>
          <w:sz w:val="24"/>
          <w:szCs w:val="24"/>
          <w:lang w:eastAsia="es-ES_tradnl"/>
        </w:rPr>
        <w:t>Forma de iniciación de cada expediente, indicando si el mismo se inició: de oficio por la Diputación Foral de Álava, como consecuencia de actuaciones inspectoras o actas de inspección, por denuncia de otras Administraciones o cuerpos oficiales”.</w:t>
      </w:r>
    </w:p>
    <w:p w14:paraId="7D4F7A1E" w14:textId="77777777" w:rsidR="009E5C0E" w:rsidRPr="00AC1722" w:rsidRDefault="009E5C0E" w:rsidP="009E5C0E">
      <w:pPr>
        <w:jc w:val="both"/>
        <w:rPr>
          <w:sz w:val="24"/>
          <w:szCs w:val="24"/>
          <w:lang w:eastAsia="es-ES_tradnl"/>
        </w:rPr>
      </w:pPr>
      <w:r w:rsidRPr="00AC1722">
        <w:rPr>
          <w:b/>
          <w:bCs/>
          <w:sz w:val="24"/>
          <w:szCs w:val="24"/>
          <w:lang w:eastAsia="es-ES_tradnl"/>
        </w:rPr>
        <w:lastRenderedPageBreak/>
        <w:t>Cuarto.-</w:t>
      </w:r>
      <w:r w:rsidRPr="00AC1722">
        <w:rPr>
          <w:sz w:val="24"/>
          <w:szCs w:val="24"/>
          <w:lang w:eastAsia="es-ES_tradnl"/>
        </w:rPr>
        <w:t xml:space="preserve"> La Resolución 329/2026, de 21 de enero, de la Dirección de Agricultura, ha inadmitido la solicitud de acceso a la información pública señalada en el punto anterior por aplicación del artículo 18.1.e) de la Ley 19/2013, de 9 de diciembre, de transparencia, acceso a la información pública y buen gobierno, según el cual, “Se inadmitirán a trámite, mediante resolución motivada, las solicitudes: […] e) Que sean manifiestamente repetitivas o tengan un carácter abusivo no justificado con la finalidad de transparencia de esta Ley”.</w:t>
      </w:r>
    </w:p>
    <w:p w14:paraId="6D0CDAFD" w14:textId="77777777" w:rsidR="009E5C0E" w:rsidRPr="00AC1722" w:rsidRDefault="009E5C0E" w:rsidP="009E5C0E">
      <w:pPr>
        <w:jc w:val="both"/>
        <w:rPr>
          <w:sz w:val="24"/>
          <w:szCs w:val="24"/>
          <w:lang w:eastAsia="es-ES_tradnl"/>
        </w:rPr>
      </w:pPr>
    </w:p>
    <w:p w14:paraId="213A1320" w14:textId="7F607853" w:rsidR="009E5C0E" w:rsidRPr="00AC1722" w:rsidRDefault="009E5C0E" w:rsidP="009E5C0E">
      <w:pPr>
        <w:jc w:val="both"/>
        <w:rPr>
          <w:sz w:val="24"/>
          <w:szCs w:val="24"/>
          <w:lang w:eastAsia="es-ES_tradnl"/>
        </w:rPr>
      </w:pPr>
      <w:r w:rsidRPr="00AC1722">
        <w:rPr>
          <w:sz w:val="24"/>
          <w:szCs w:val="24"/>
          <w:lang w:eastAsia="es-ES_tradnl"/>
        </w:rPr>
        <w:t xml:space="preserve">Fundamenta la resolución impugnada esta decisión en que la solicitud inadmitida es la quinta de las seis formuladas por </w:t>
      </w:r>
      <w:r w:rsidR="008E6AFB">
        <w:rPr>
          <w:sz w:val="24"/>
          <w:szCs w:val="24"/>
          <w:lang w:eastAsia="es-ES_tradnl"/>
        </w:rPr>
        <w:t>la misma persona</w:t>
      </w:r>
      <w:r w:rsidRPr="00AC1722">
        <w:rPr>
          <w:sz w:val="24"/>
          <w:szCs w:val="24"/>
          <w:lang w:eastAsia="es-ES_tradnl"/>
        </w:rPr>
        <w:t xml:space="preserve"> interesad</w:t>
      </w:r>
      <w:r w:rsidR="008E6AFB">
        <w:rPr>
          <w:sz w:val="24"/>
          <w:szCs w:val="24"/>
          <w:lang w:eastAsia="es-ES_tradnl"/>
        </w:rPr>
        <w:t>a</w:t>
      </w:r>
      <w:r w:rsidRPr="00AC1722">
        <w:rPr>
          <w:sz w:val="24"/>
          <w:szCs w:val="24"/>
          <w:lang w:eastAsia="es-ES_tradnl"/>
        </w:rPr>
        <w:t xml:space="preserve"> en relación con aspectos diversos del ejercicio de la potestad sancionadora por parte del Departamento de Agricultura entre junio de 2025 y enero de 2026 y la cuarta relativa a información estadística referida a datos e informaciones diversas sobre la totalidad de los expedientes sancionadores tramitados por el mismo Departamento durante los últimos cinco años, según una práctica consistente en solicitar sucesivamente información complementaria o ampliatoria a medida en que va recibiendo información del Departamento.</w:t>
      </w:r>
    </w:p>
    <w:p w14:paraId="4BFC65CD" w14:textId="77777777" w:rsidR="009E5C0E" w:rsidRPr="00AC1722" w:rsidRDefault="009E5C0E" w:rsidP="009E5C0E">
      <w:pPr>
        <w:jc w:val="both"/>
        <w:rPr>
          <w:sz w:val="24"/>
          <w:szCs w:val="24"/>
          <w:lang w:eastAsia="es-ES_tradnl"/>
        </w:rPr>
      </w:pPr>
    </w:p>
    <w:p w14:paraId="2CDA45A3" w14:textId="0E5B8EE6" w:rsidR="009E5C0E" w:rsidRPr="00AC1722" w:rsidRDefault="009E5C0E" w:rsidP="009E5C0E">
      <w:pPr>
        <w:jc w:val="both"/>
        <w:rPr>
          <w:sz w:val="24"/>
          <w:szCs w:val="24"/>
          <w:lang w:eastAsia="es-ES_tradnl"/>
        </w:rPr>
      </w:pPr>
      <w:r w:rsidRPr="00AC1722">
        <w:rPr>
          <w:sz w:val="24"/>
          <w:szCs w:val="24"/>
          <w:lang w:eastAsia="es-ES_tradnl"/>
        </w:rPr>
        <w:t xml:space="preserve">Así, según la Resolución 329/2026, </w:t>
      </w:r>
      <w:r w:rsidR="00456ED5">
        <w:rPr>
          <w:sz w:val="24"/>
          <w:szCs w:val="24"/>
          <w:lang w:eastAsia="es-ES_tradnl"/>
        </w:rPr>
        <w:t>la persona interesada</w:t>
      </w:r>
      <w:r w:rsidRPr="00AC1722">
        <w:rPr>
          <w:sz w:val="24"/>
          <w:szCs w:val="24"/>
          <w:lang w:eastAsia="es-ES_tradnl"/>
        </w:rPr>
        <w:t xml:space="preserve"> presenta las siguientes solicitudes de información estadística sobre la totalidad de los expedientes sancionadores tramitados en el período indicado:</w:t>
      </w:r>
    </w:p>
    <w:p w14:paraId="4CAE41BA" w14:textId="77777777" w:rsidR="009E5C0E" w:rsidRPr="00AC1722" w:rsidRDefault="009E5C0E" w:rsidP="009E5C0E">
      <w:pPr>
        <w:jc w:val="both"/>
        <w:rPr>
          <w:sz w:val="24"/>
          <w:szCs w:val="24"/>
          <w:lang w:eastAsia="es-ES_tradnl"/>
        </w:rPr>
      </w:pPr>
    </w:p>
    <w:p w14:paraId="5C34C272" w14:textId="13D1203E" w:rsidR="009E5C0E" w:rsidRPr="006A3C12" w:rsidRDefault="009E5C0E" w:rsidP="009E5C0E">
      <w:pPr>
        <w:numPr>
          <w:ilvl w:val="0"/>
          <w:numId w:val="47"/>
        </w:numPr>
        <w:jc w:val="both"/>
        <w:rPr>
          <w:sz w:val="24"/>
          <w:szCs w:val="24"/>
          <w:lang w:eastAsia="es-ES_tradnl"/>
        </w:rPr>
      </w:pPr>
      <w:r w:rsidRPr="00AC1722">
        <w:rPr>
          <w:sz w:val="24"/>
          <w:szCs w:val="24"/>
          <w:lang w:eastAsia="es-ES_tradnl"/>
        </w:rPr>
        <w:t>Solicitud de dos de julio de 2025 sobre los expedientes sancionadores incoados entre el 1 de enero de 2022 y el 31 de diciembre de 2024 y, en concreto:</w:t>
      </w:r>
    </w:p>
    <w:p w14:paraId="6F148772" w14:textId="77777777" w:rsidR="009E5C0E" w:rsidRPr="00AC1722" w:rsidRDefault="009E5C0E" w:rsidP="009E5C0E">
      <w:pPr>
        <w:ind w:left="851"/>
        <w:jc w:val="both"/>
        <w:rPr>
          <w:sz w:val="24"/>
          <w:szCs w:val="24"/>
          <w:lang w:eastAsia="es-ES_tradnl"/>
        </w:rPr>
      </w:pPr>
      <w:r w:rsidRPr="00AC1722">
        <w:rPr>
          <w:sz w:val="24"/>
          <w:szCs w:val="24"/>
          <w:lang w:eastAsia="es-ES_tradnl"/>
        </w:rPr>
        <w:t>• Número total de expedientes sancionadores incoados por transporte de animales sin guía sanitaria.</w:t>
      </w:r>
    </w:p>
    <w:p w14:paraId="019D202C" w14:textId="77777777" w:rsidR="009E5C0E" w:rsidRPr="00AC1722" w:rsidRDefault="009E5C0E" w:rsidP="009E5C0E">
      <w:pPr>
        <w:ind w:left="851"/>
        <w:jc w:val="both"/>
        <w:rPr>
          <w:sz w:val="24"/>
          <w:szCs w:val="24"/>
          <w:lang w:eastAsia="es-ES_tradnl"/>
        </w:rPr>
      </w:pPr>
      <w:r w:rsidRPr="00AC1722">
        <w:rPr>
          <w:sz w:val="24"/>
          <w:szCs w:val="24"/>
          <w:lang w:eastAsia="es-ES_tradnl"/>
        </w:rPr>
        <w:t>• Número total de expedientes sancionadores incoados por transporte de animales en vehículos no adaptados o no autorizados para dicho fin.</w:t>
      </w:r>
    </w:p>
    <w:p w14:paraId="03E7DFED" w14:textId="77777777" w:rsidR="009E5C0E" w:rsidRPr="00AC1722" w:rsidRDefault="009E5C0E" w:rsidP="009E5C0E">
      <w:pPr>
        <w:ind w:left="851"/>
        <w:jc w:val="both"/>
        <w:rPr>
          <w:sz w:val="24"/>
          <w:szCs w:val="24"/>
          <w:lang w:eastAsia="es-ES_tradnl"/>
        </w:rPr>
      </w:pPr>
      <w:r w:rsidRPr="00AC1722">
        <w:rPr>
          <w:sz w:val="24"/>
          <w:szCs w:val="24"/>
          <w:lang w:eastAsia="es-ES_tradnl"/>
        </w:rPr>
        <w:t xml:space="preserve">• Número total de expedientes sancionadores incoados por transporte de animales sin disponer del correspondiente certificado de competencia exigido por el Reglamento (CE) </w:t>
      </w:r>
      <w:proofErr w:type="spellStart"/>
      <w:r w:rsidRPr="00AC1722">
        <w:rPr>
          <w:sz w:val="24"/>
          <w:szCs w:val="24"/>
          <w:lang w:eastAsia="es-ES_tradnl"/>
        </w:rPr>
        <w:t>nº</w:t>
      </w:r>
      <w:proofErr w:type="spellEnd"/>
      <w:r w:rsidRPr="00AC1722">
        <w:rPr>
          <w:sz w:val="24"/>
          <w:szCs w:val="24"/>
          <w:lang w:eastAsia="es-ES_tradnl"/>
        </w:rPr>
        <w:t xml:space="preserve"> 1/2005, de 22 de diciembre.</w:t>
      </w:r>
    </w:p>
    <w:p w14:paraId="71863374" w14:textId="77777777" w:rsidR="009E5C0E" w:rsidRPr="00AC1722" w:rsidRDefault="009E5C0E" w:rsidP="009E5C0E">
      <w:pPr>
        <w:jc w:val="both"/>
        <w:rPr>
          <w:sz w:val="24"/>
          <w:szCs w:val="24"/>
          <w:lang w:eastAsia="es-ES_tradnl"/>
        </w:rPr>
      </w:pPr>
    </w:p>
    <w:p w14:paraId="39BBD3EF" w14:textId="58CE9E5F" w:rsidR="009E5C0E" w:rsidRPr="00AC1722" w:rsidRDefault="009E5C0E" w:rsidP="006A3C12">
      <w:pPr>
        <w:ind w:firstLine="851"/>
        <w:jc w:val="both"/>
        <w:rPr>
          <w:sz w:val="24"/>
          <w:szCs w:val="24"/>
          <w:lang w:eastAsia="es-ES_tradnl"/>
        </w:rPr>
      </w:pPr>
      <w:r w:rsidRPr="00AC1722">
        <w:rPr>
          <w:sz w:val="24"/>
          <w:szCs w:val="24"/>
          <w:lang w:eastAsia="es-ES_tradnl"/>
        </w:rPr>
        <w:t>Estimada mediante Orden Foral 356/2025, de 24 de octubre.</w:t>
      </w:r>
    </w:p>
    <w:p w14:paraId="75BE52A2" w14:textId="77777777" w:rsidR="009E5C0E" w:rsidRPr="00AC1722" w:rsidRDefault="009E5C0E" w:rsidP="009E5C0E">
      <w:pPr>
        <w:jc w:val="both"/>
        <w:rPr>
          <w:sz w:val="24"/>
          <w:szCs w:val="24"/>
          <w:lang w:eastAsia="es-ES_tradnl"/>
        </w:rPr>
      </w:pPr>
    </w:p>
    <w:p w14:paraId="217516C0" w14:textId="77777777" w:rsidR="009E5C0E" w:rsidRPr="00AC1722" w:rsidRDefault="009E5C0E" w:rsidP="009E5C0E">
      <w:pPr>
        <w:numPr>
          <w:ilvl w:val="0"/>
          <w:numId w:val="47"/>
        </w:numPr>
        <w:jc w:val="both"/>
        <w:rPr>
          <w:sz w:val="24"/>
          <w:szCs w:val="24"/>
          <w:lang w:eastAsia="es-ES_tradnl"/>
        </w:rPr>
      </w:pPr>
      <w:r w:rsidRPr="00AC1722">
        <w:rPr>
          <w:sz w:val="24"/>
          <w:szCs w:val="24"/>
          <w:lang w:eastAsia="es-ES_tradnl"/>
        </w:rPr>
        <w:t>Solicitud de 17 de septiembre sobre el número de expedientes incoados en los últimos cinco años, estado actual de los mismos y tipo de animales transportados en cada expediente, en relación con las siguientes infracciones:</w:t>
      </w:r>
    </w:p>
    <w:p w14:paraId="23F68E02" w14:textId="77777777" w:rsidR="009E5C0E" w:rsidRPr="00AC1722" w:rsidRDefault="009E5C0E" w:rsidP="009E5C0E">
      <w:pPr>
        <w:jc w:val="both"/>
        <w:rPr>
          <w:sz w:val="24"/>
          <w:szCs w:val="24"/>
          <w:lang w:eastAsia="es-ES_tradnl"/>
        </w:rPr>
      </w:pPr>
    </w:p>
    <w:p w14:paraId="44B2966D" w14:textId="77777777" w:rsidR="009E5C0E" w:rsidRPr="00AC1722" w:rsidRDefault="009E5C0E" w:rsidP="009E5C0E">
      <w:pPr>
        <w:ind w:left="851"/>
        <w:jc w:val="both"/>
        <w:rPr>
          <w:sz w:val="24"/>
          <w:szCs w:val="24"/>
          <w:lang w:eastAsia="es-ES_tradnl"/>
        </w:rPr>
      </w:pPr>
      <w:r w:rsidRPr="00AC1722">
        <w:rPr>
          <w:sz w:val="24"/>
          <w:szCs w:val="24"/>
          <w:lang w:eastAsia="es-ES_tradnl"/>
        </w:rPr>
        <w:t>• Transporte de animales sin las guías sanitarias correspondientes.</w:t>
      </w:r>
    </w:p>
    <w:p w14:paraId="1241BA2D" w14:textId="77777777" w:rsidR="009E5C0E" w:rsidRPr="00AC1722" w:rsidRDefault="009E5C0E" w:rsidP="009E5C0E">
      <w:pPr>
        <w:ind w:left="851"/>
        <w:jc w:val="both"/>
        <w:rPr>
          <w:sz w:val="24"/>
          <w:szCs w:val="24"/>
          <w:lang w:eastAsia="es-ES_tradnl"/>
        </w:rPr>
      </w:pPr>
      <w:r w:rsidRPr="00AC1722">
        <w:rPr>
          <w:sz w:val="24"/>
          <w:szCs w:val="24"/>
          <w:lang w:eastAsia="es-ES_tradnl"/>
        </w:rPr>
        <w:t>• Transporte de animales en vehículos no autorizados o no aptos para dicho fin (sin ATES).</w:t>
      </w:r>
    </w:p>
    <w:p w14:paraId="7E901D5F" w14:textId="77777777" w:rsidR="009E5C0E" w:rsidRPr="00AC1722" w:rsidRDefault="009E5C0E" w:rsidP="009E5C0E">
      <w:pPr>
        <w:ind w:left="851"/>
        <w:jc w:val="both"/>
        <w:rPr>
          <w:sz w:val="24"/>
          <w:szCs w:val="24"/>
          <w:lang w:eastAsia="es-ES_tradnl"/>
        </w:rPr>
      </w:pPr>
      <w:r w:rsidRPr="00AC1722">
        <w:rPr>
          <w:sz w:val="24"/>
          <w:szCs w:val="24"/>
          <w:lang w:eastAsia="es-ES_tradnl"/>
        </w:rPr>
        <w:t>• Transporte de animales sin disponer de la autorización o formación exigida para los transportistas.</w:t>
      </w:r>
    </w:p>
    <w:p w14:paraId="79C3BB39" w14:textId="77777777" w:rsidR="009E5C0E" w:rsidRPr="00AC1722" w:rsidRDefault="009E5C0E" w:rsidP="009E5C0E">
      <w:pPr>
        <w:ind w:left="851"/>
        <w:jc w:val="both"/>
        <w:rPr>
          <w:sz w:val="24"/>
          <w:szCs w:val="24"/>
          <w:lang w:eastAsia="es-ES_tradnl"/>
        </w:rPr>
      </w:pPr>
      <w:r w:rsidRPr="00AC1722">
        <w:rPr>
          <w:sz w:val="24"/>
          <w:szCs w:val="24"/>
          <w:lang w:eastAsia="es-ES_tradnl"/>
        </w:rPr>
        <w:t>• Infracción del artículo 84.2 de la Ley 8/2003, de 24 de abril, de sanidad animal.</w:t>
      </w:r>
    </w:p>
    <w:p w14:paraId="418CDBCF" w14:textId="1DF20474" w:rsidR="009E5C0E" w:rsidRPr="00AC1722" w:rsidRDefault="006A3C12" w:rsidP="006A3C12">
      <w:pPr>
        <w:jc w:val="both"/>
        <w:rPr>
          <w:sz w:val="24"/>
          <w:szCs w:val="24"/>
          <w:lang w:eastAsia="es-ES_tradnl"/>
        </w:rPr>
      </w:pPr>
      <w:r>
        <w:rPr>
          <w:sz w:val="24"/>
          <w:szCs w:val="24"/>
          <w:lang w:eastAsia="es-ES_tradnl"/>
        </w:rPr>
        <w:t xml:space="preserve">               </w:t>
      </w:r>
      <w:r w:rsidR="009E5C0E" w:rsidRPr="00AC1722">
        <w:rPr>
          <w:sz w:val="24"/>
          <w:szCs w:val="24"/>
          <w:lang w:eastAsia="es-ES_tradnl"/>
        </w:rPr>
        <w:t>Estimada mediante Orden Foral 420/2025, de 3 de diciembre.</w:t>
      </w:r>
    </w:p>
    <w:p w14:paraId="53D97D8C" w14:textId="77777777" w:rsidR="009E5C0E" w:rsidRPr="00AC1722" w:rsidRDefault="009E5C0E" w:rsidP="009E5C0E">
      <w:pPr>
        <w:jc w:val="both"/>
        <w:rPr>
          <w:sz w:val="24"/>
          <w:szCs w:val="24"/>
          <w:lang w:eastAsia="es-ES_tradnl"/>
        </w:rPr>
      </w:pPr>
    </w:p>
    <w:p w14:paraId="59B24C88" w14:textId="77777777" w:rsidR="009E5C0E" w:rsidRPr="00AC1722" w:rsidRDefault="009E5C0E" w:rsidP="009E5C0E">
      <w:pPr>
        <w:numPr>
          <w:ilvl w:val="0"/>
          <w:numId w:val="47"/>
        </w:numPr>
        <w:jc w:val="both"/>
        <w:rPr>
          <w:sz w:val="24"/>
          <w:szCs w:val="24"/>
          <w:lang w:eastAsia="es-ES_tradnl"/>
        </w:rPr>
      </w:pPr>
      <w:r w:rsidRPr="00AC1722">
        <w:rPr>
          <w:sz w:val="24"/>
          <w:szCs w:val="24"/>
          <w:lang w:eastAsia="es-ES_tradnl"/>
        </w:rPr>
        <w:t>Solicitud de 4 de diciembre de 2025 de información adicional sobre los mismos expedientes indicados en el punto anterior sobre las siguientes circunstancias:</w:t>
      </w:r>
    </w:p>
    <w:p w14:paraId="282EF418" w14:textId="77777777" w:rsidR="009E5C0E" w:rsidRPr="00AC1722" w:rsidRDefault="009E5C0E" w:rsidP="009E5C0E">
      <w:pPr>
        <w:jc w:val="both"/>
        <w:rPr>
          <w:sz w:val="24"/>
          <w:szCs w:val="24"/>
          <w:lang w:eastAsia="es-ES_tradnl"/>
        </w:rPr>
      </w:pPr>
    </w:p>
    <w:p w14:paraId="2C570BC5" w14:textId="77777777" w:rsidR="009E5C0E" w:rsidRPr="00AC1722" w:rsidRDefault="009E5C0E" w:rsidP="009E5C0E">
      <w:pPr>
        <w:ind w:left="851"/>
        <w:jc w:val="both"/>
        <w:rPr>
          <w:sz w:val="24"/>
          <w:szCs w:val="24"/>
          <w:lang w:eastAsia="es-ES_tradnl"/>
        </w:rPr>
      </w:pPr>
      <w:r w:rsidRPr="00AC1722">
        <w:rPr>
          <w:sz w:val="24"/>
          <w:szCs w:val="24"/>
          <w:lang w:eastAsia="es-ES_tradnl"/>
        </w:rPr>
        <w:t>• Motivos del sobreseimiento de cada uno de los expedientes que aparecen como “sobreseído”: Motivo jurídico del archivo / Motivo fáctico.</w:t>
      </w:r>
    </w:p>
    <w:p w14:paraId="226B503F" w14:textId="77777777" w:rsidR="009E5C0E" w:rsidRPr="00AC1722" w:rsidRDefault="009E5C0E" w:rsidP="009E5C0E">
      <w:pPr>
        <w:ind w:left="851"/>
        <w:jc w:val="both"/>
        <w:rPr>
          <w:sz w:val="24"/>
          <w:szCs w:val="24"/>
          <w:lang w:eastAsia="es-ES_tradnl"/>
        </w:rPr>
      </w:pPr>
      <w:r w:rsidRPr="00AC1722">
        <w:rPr>
          <w:sz w:val="24"/>
          <w:szCs w:val="24"/>
          <w:lang w:eastAsia="es-ES_tradnl"/>
        </w:rPr>
        <w:t>• Motivos de la caducidad de cada uno de los expedientes que figuran como “caducado”, indicando las fechas de incoación y de caducidad y plazos superados que han dado lugar a la caducidad.</w:t>
      </w:r>
    </w:p>
    <w:p w14:paraId="09F245E6" w14:textId="77777777" w:rsidR="009E5C0E" w:rsidRPr="00AC1722" w:rsidRDefault="009E5C0E" w:rsidP="009E5C0E">
      <w:pPr>
        <w:ind w:left="851"/>
        <w:jc w:val="both"/>
        <w:rPr>
          <w:sz w:val="24"/>
          <w:szCs w:val="24"/>
          <w:lang w:eastAsia="es-ES_tradnl"/>
        </w:rPr>
      </w:pPr>
      <w:r w:rsidRPr="00AC1722">
        <w:rPr>
          <w:sz w:val="24"/>
          <w:szCs w:val="24"/>
          <w:lang w:eastAsia="es-ES_tradnl"/>
        </w:rPr>
        <w:t>• Importe propuesto de sanción en todos los expedientes en los que aparece la expresión “resolución imponer sanción”; Cuantía de la sanción propuesta en cada expediente.</w:t>
      </w:r>
    </w:p>
    <w:p w14:paraId="2E704732" w14:textId="4952BEB2" w:rsidR="009E5C0E" w:rsidRPr="00AC1722" w:rsidRDefault="009E5C0E" w:rsidP="009E5C0E">
      <w:pPr>
        <w:ind w:left="851"/>
        <w:jc w:val="both"/>
        <w:rPr>
          <w:sz w:val="24"/>
          <w:szCs w:val="24"/>
          <w:lang w:eastAsia="es-ES_tradnl"/>
        </w:rPr>
      </w:pPr>
      <w:r w:rsidRPr="00AC1722">
        <w:rPr>
          <w:sz w:val="24"/>
          <w:szCs w:val="24"/>
          <w:lang w:eastAsia="es-ES_tradnl"/>
        </w:rPr>
        <w:t xml:space="preserve">• Aclaración sobre el pago de las sanciones, indicando en cada expediente con resolución de imposición de sanción, si </w:t>
      </w:r>
      <w:r w:rsidR="00530B8A">
        <w:rPr>
          <w:sz w:val="24"/>
          <w:szCs w:val="24"/>
          <w:lang w:eastAsia="es-ES_tradnl"/>
        </w:rPr>
        <w:t>la persona interesada</w:t>
      </w:r>
      <w:r w:rsidRPr="00AC1722">
        <w:rPr>
          <w:sz w:val="24"/>
          <w:szCs w:val="24"/>
          <w:lang w:eastAsia="es-ES_tradnl"/>
        </w:rPr>
        <w:t xml:space="preserve"> ha pagado o no la sanción y, en caso de pago, el importe totalmente abonado y si se aplicó reducción por pronto pago.</w:t>
      </w:r>
    </w:p>
    <w:p w14:paraId="24681D4F" w14:textId="77777777" w:rsidR="009E5C0E" w:rsidRPr="00AC1722" w:rsidRDefault="009E5C0E" w:rsidP="009E5C0E">
      <w:pPr>
        <w:ind w:left="851"/>
        <w:jc w:val="both"/>
        <w:rPr>
          <w:sz w:val="24"/>
          <w:szCs w:val="24"/>
          <w:lang w:eastAsia="es-ES_tradnl"/>
        </w:rPr>
      </w:pPr>
    </w:p>
    <w:p w14:paraId="493938DD" w14:textId="77777777" w:rsidR="009E5C0E" w:rsidRPr="00AC1722" w:rsidRDefault="009E5C0E" w:rsidP="009E5C0E">
      <w:pPr>
        <w:ind w:firstLine="851"/>
        <w:jc w:val="both"/>
        <w:rPr>
          <w:sz w:val="24"/>
          <w:szCs w:val="24"/>
          <w:lang w:eastAsia="es-ES_tradnl"/>
        </w:rPr>
      </w:pPr>
      <w:r w:rsidRPr="00AC1722">
        <w:rPr>
          <w:sz w:val="24"/>
          <w:szCs w:val="24"/>
          <w:lang w:eastAsia="es-ES_tradnl"/>
        </w:rPr>
        <w:t>Estimada mediante Orden Foral 7220/2025, de 30 de diciembre.</w:t>
      </w:r>
    </w:p>
    <w:p w14:paraId="334755F8" w14:textId="77777777" w:rsidR="009E5C0E" w:rsidRPr="00AC1722" w:rsidRDefault="009E5C0E" w:rsidP="009E5C0E">
      <w:pPr>
        <w:jc w:val="both"/>
        <w:rPr>
          <w:sz w:val="24"/>
          <w:szCs w:val="24"/>
          <w:lang w:eastAsia="es-ES_tradnl"/>
        </w:rPr>
      </w:pPr>
    </w:p>
    <w:p w14:paraId="52B9E335" w14:textId="3DA610CE" w:rsidR="009E5C0E" w:rsidRPr="00AC1722" w:rsidRDefault="009E5C0E" w:rsidP="009E5C0E">
      <w:pPr>
        <w:jc w:val="both"/>
        <w:rPr>
          <w:sz w:val="24"/>
          <w:szCs w:val="24"/>
          <w:lang w:eastAsia="es-ES_tradnl"/>
        </w:rPr>
      </w:pPr>
      <w:proofErr w:type="gramStart"/>
      <w:r w:rsidRPr="00AC1722">
        <w:rPr>
          <w:b/>
          <w:bCs/>
          <w:sz w:val="24"/>
          <w:szCs w:val="24"/>
          <w:lang w:eastAsia="es-ES_tradnl"/>
        </w:rPr>
        <w:t>Quinto.-</w:t>
      </w:r>
      <w:proofErr w:type="gramEnd"/>
      <w:r w:rsidRPr="00AC1722">
        <w:rPr>
          <w:sz w:val="24"/>
          <w:szCs w:val="24"/>
          <w:lang w:eastAsia="es-ES_tradnl"/>
        </w:rPr>
        <w:t xml:space="preserve"> Mediante escrito de 30 de enero de 2026, </w:t>
      </w:r>
      <w:r w:rsidR="008D0A0D">
        <w:rPr>
          <w:sz w:val="24"/>
          <w:szCs w:val="24"/>
          <w:lang w:eastAsia="es-ES_tradnl"/>
        </w:rPr>
        <w:t>la persona interesada</w:t>
      </w:r>
      <w:r w:rsidRPr="00AC1722">
        <w:rPr>
          <w:sz w:val="24"/>
          <w:szCs w:val="24"/>
          <w:lang w:eastAsia="es-ES_tradnl"/>
        </w:rPr>
        <w:t xml:space="preserve"> formula reclamación frente a la Resolución 329/2026 solicitando la revocación de </w:t>
      </w:r>
      <w:proofErr w:type="gramStart"/>
      <w:r w:rsidRPr="00AC1722">
        <w:rPr>
          <w:sz w:val="24"/>
          <w:szCs w:val="24"/>
          <w:lang w:eastAsia="es-ES_tradnl"/>
        </w:rPr>
        <w:t>la misma</w:t>
      </w:r>
      <w:proofErr w:type="gramEnd"/>
      <w:r w:rsidRPr="00AC1722">
        <w:rPr>
          <w:sz w:val="24"/>
          <w:szCs w:val="24"/>
          <w:lang w:eastAsia="es-ES_tradnl"/>
        </w:rPr>
        <w:t xml:space="preserve"> y el reconocimiento del derecho de acceso a la información pública en los términos de su solicitud de 9 de enero de 2026.</w:t>
      </w:r>
    </w:p>
    <w:p w14:paraId="404E5979" w14:textId="77777777" w:rsidR="009E5C0E" w:rsidRPr="00AC1722" w:rsidRDefault="009E5C0E" w:rsidP="009E5C0E">
      <w:pPr>
        <w:jc w:val="both"/>
        <w:rPr>
          <w:sz w:val="24"/>
          <w:szCs w:val="24"/>
          <w:lang w:eastAsia="es-ES_tradnl"/>
        </w:rPr>
      </w:pPr>
    </w:p>
    <w:p w14:paraId="18CB3C0B" w14:textId="77777777" w:rsidR="009E5C0E" w:rsidRPr="00AC1722" w:rsidRDefault="009E5C0E" w:rsidP="009E5C0E">
      <w:pPr>
        <w:jc w:val="both"/>
        <w:rPr>
          <w:sz w:val="24"/>
          <w:szCs w:val="24"/>
          <w:lang w:eastAsia="es-ES_tradnl"/>
        </w:rPr>
      </w:pPr>
      <w:r w:rsidRPr="00AC1722">
        <w:rPr>
          <w:sz w:val="24"/>
          <w:szCs w:val="24"/>
          <w:lang w:eastAsia="es-ES_tradnl"/>
        </w:rPr>
        <w:t>Según la reclamación, la información suministrada por la Dirección de Agricultura hasta la fecha de su solicitud de 9 de enero “resultaba incompleta y excesivamente genérica, impidiendo conocer con precisión los criterios fácticos y jurídicos aplicados por la Administración en los expedientes referidos”. Adicionalmente, entiende que no cabe valorar de forma “global y acumulativa” solicitudes anteriores dirigidas a la Dirección de Agricultura, “lo que conduce a una aplicación extensiva e improcedente de la causa de inadmisión por abuso del derecho”.</w:t>
      </w:r>
    </w:p>
    <w:p w14:paraId="47CB379B" w14:textId="77777777" w:rsidR="009E5C0E" w:rsidRPr="00AC1722" w:rsidRDefault="009E5C0E" w:rsidP="009E5C0E">
      <w:pPr>
        <w:jc w:val="both"/>
        <w:rPr>
          <w:sz w:val="24"/>
          <w:szCs w:val="24"/>
          <w:lang w:eastAsia="es-ES_tradnl"/>
        </w:rPr>
      </w:pPr>
    </w:p>
    <w:p w14:paraId="5A210555" w14:textId="77777777" w:rsidR="009E5C0E" w:rsidRPr="00AC1722" w:rsidRDefault="009E5C0E" w:rsidP="009E5C0E">
      <w:pPr>
        <w:jc w:val="both"/>
        <w:rPr>
          <w:sz w:val="24"/>
          <w:szCs w:val="24"/>
          <w:lang w:eastAsia="es-ES_tradnl"/>
        </w:rPr>
      </w:pPr>
      <w:r w:rsidRPr="00AC1722">
        <w:rPr>
          <w:sz w:val="24"/>
          <w:szCs w:val="24"/>
          <w:lang w:eastAsia="es-ES_tradnl"/>
        </w:rPr>
        <w:t>Sostiene, finalmente, que la información interesada mediante su escrito de 30 de enero ha sido suministrada en los mismos términos solicitados por la Diputación Foral de Bizkaia, en relación con expedientes sancionadores tramitados por esta Diputación Foral.</w:t>
      </w:r>
    </w:p>
    <w:p w14:paraId="3FD6676B" w14:textId="77777777" w:rsidR="009E5C0E" w:rsidRDefault="009E5C0E" w:rsidP="009E5C0E">
      <w:pPr>
        <w:jc w:val="both"/>
        <w:rPr>
          <w:sz w:val="24"/>
          <w:szCs w:val="24"/>
          <w:lang w:eastAsia="es-ES_tradnl"/>
        </w:rPr>
      </w:pPr>
    </w:p>
    <w:p w14:paraId="4FF9DFDD" w14:textId="77777777" w:rsidR="00692473" w:rsidRDefault="00692473" w:rsidP="009E5C0E">
      <w:pPr>
        <w:jc w:val="both"/>
        <w:rPr>
          <w:sz w:val="24"/>
          <w:szCs w:val="24"/>
          <w:lang w:eastAsia="es-ES_tradnl"/>
        </w:rPr>
      </w:pPr>
    </w:p>
    <w:p w14:paraId="71A76078" w14:textId="77777777" w:rsidR="00692473" w:rsidRDefault="00692473" w:rsidP="009E5C0E">
      <w:pPr>
        <w:jc w:val="both"/>
        <w:rPr>
          <w:sz w:val="24"/>
          <w:szCs w:val="24"/>
          <w:lang w:eastAsia="es-ES_tradnl"/>
        </w:rPr>
      </w:pPr>
    </w:p>
    <w:p w14:paraId="7B8343AA" w14:textId="77777777" w:rsidR="00692473" w:rsidRDefault="00692473" w:rsidP="009E5C0E">
      <w:pPr>
        <w:jc w:val="both"/>
        <w:rPr>
          <w:sz w:val="24"/>
          <w:szCs w:val="24"/>
          <w:lang w:eastAsia="es-ES_tradnl"/>
        </w:rPr>
      </w:pPr>
    </w:p>
    <w:p w14:paraId="0E6E961E" w14:textId="77777777" w:rsidR="00692473" w:rsidRDefault="00692473" w:rsidP="009E5C0E">
      <w:pPr>
        <w:jc w:val="both"/>
        <w:rPr>
          <w:sz w:val="24"/>
          <w:szCs w:val="24"/>
          <w:lang w:eastAsia="es-ES_tradnl"/>
        </w:rPr>
      </w:pPr>
    </w:p>
    <w:p w14:paraId="64AAFE44" w14:textId="77777777" w:rsidR="00692473" w:rsidRDefault="00692473" w:rsidP="009E5C0E">
      <w:pPr>
        <w:jc w:val="both"/>
        <w:rPr>
          <w:sz w:val="24"/>
          <w:szCs w:val="24"/>
          <w:lang w:eastAsia="es-ES_tradnl"/>
        </w:rPr>
      </w:pPr>
    </w:p>
    <w:p w14:paraId="28DD697F" w14:textId="77777777" w:rsidR="00692473" w:rsidRDefault="00692473" w:rsidP="009E5C0E">
      <w:pPr>
        <w:jc w:val="both"/>
        <w:rPr>
          <w:sz w:val="24"/>
          <w:szCs w:val="24"/>
          <w:lang w:eastAsia="es-ES_tradnl"/>
        </w:rPr>
      </w:pPr>
    </w:p>
    <w:p w14:paraId="11701A30" w14:textId="77777777" w:rsidR="00692473" w:rsidRDefault="00692473" w:rsidP="009E5C0E">
      <w:pPr>
        <w:jc w:val="both"/>
        <w:rPr>
          <w:sz w:val="24"/>
          <w:szCs w:val="24"/>
          <w:lang w:eastAsia="es-ES_tradnl"/>
        </w:rPr>
      </w:pPr>
    </w:p>
    <w:p w14:paraId="43213685" w14:textId="77777777" w:rsidR="00692473" w:rsidRDefault="00692473" w:rsidP="009E5C0E">
      <w:pPr>
        <w:jc w:val="both"/>
        <w:rPr>
          <w:sz w:val="24"/>
          <w:szCs w:val="24"/>
          <w:lang w:eastAsia="es-ES_tradnl"/>
        </w:rPr>
      </w:pPr>
    </w:p>
    <w:p w14:paraId="576EE045" w14:textId="77777777" w:rsidR="00692473" w:rsidRDefault="00692473" w:rsidP="009E5C0E">
      <w:pPr>
        <w:jc w:val="both"/>
        <w:rPr>
          <w:sz w:val="24"/>
          <w:szCs w:val="24"/>
          <w:lang w:eastAsia="es-ES_tradnl"/>
        </w:rPr>
      </w:pPr>
    </w:p>
    <w:p w14:paraId="094036E2" w14:textId="77777777" w:rsidR="00692473" w:rsidRPr="00AC1722" w:rsidRDefault="00692473" w:rsidP="009E5C0E">
      <w:pPr>
        <w:jc w:val="both"/>
        <w:rPr>
          <w:sz w:val="24"/>
          <w:szCs w:val="24"/>
          <w:lang w:eastAsia="es-ES_tradnl"/>
        </w:rPr>
      </w:pPr>
    </w:p>
    <w:p w14:paraId="1F4A5009" w14:textId="77777777" w:rsidR="009E5C0E" w:rsidRPr="00AC1722" w:rsidRDefault="009E5C0E" w:rsidP="009E5C0E">
      <w:pPr>
        <w:jc w:val="center"/>
        <w:rPr>
          <w:b/>
          <w:sz w:val="24"/>
          <w:szCs w:val="24"/>
          <w:lang w:val="es-ES_tradnl" w:eastAsia="es-ES_tradnl"/>
        </w:rPr>
      </w:pPr>
      <w:r w:rsidRPr="00AC1722">
        <w:rPr>
          <w:b/>
          <w:sz w:val="24"/>
          <w:szCs w:val="24"/>
          <w:lang w:val="es-ES_tradnl" w:eastAsia="es-ES_tradnl"/>
        </w:rPr>
        <w:lastRenderedPageBreak/>
        <w:t>FUNDAMENTOS JURÍDICOS</w:t>
      </w:r>
    </w:p>
    <w:p w14:paraId="00ED2CC9" w14:textId="77777777" w:rsidR="009E5C0E" w:rsidRPr="00AC1722" w:rsidRDefault="009E5C0E" w:rsidP="009E5C0E">
      <w:pPr>
        <w:jc w:val="both"/>
        <w:rPr>
          <w:b/>
          <w:sz w:val="24"/>
          <w:szCs w:val="24"/>
          <w:lang w:val="es-ES_tradnl" w:eastAsia="es-ES_tradnl"/>
        </w:rPr>
      </w:pPr>
    </w:p>
    <w:p w14:paraId="25DBC162" w14:textId="654F8076" w:rsidR="009E5C0E" w:rsidRPr="00AC1722" w:rsidRDefault="009E5C0E" w:rsidP="009E5C0E">
      <w:pPr>
        <w:jc w:val="both"/>
        <w:rPr>
          <w:sz w:val="24"/>
          <w:szCs w:val="24"/>
          <w:lang w:eastAsia="es-ES_tradnl"/>
        </w:rPr>
      </w:pPr>
      <w:proofErr w:type="gramStart"/>
      <w:r w:rsidRPr="00AC1722">
        <w:rPr>
          <w:b/>
          <w:sz w:val="24"/>
          <w:szCs w:val="24"/>
          <w:lang w:eastAsia="es-ES_tradnl"/>
        </w:rPr>
        <w:t>Primero</w:t>
      </w:r>
      <w:r w:rsidRPr="00AC1722">
        <w:rPr>
          <w:sz w:val="24"/>
          <w:szCs w:val="24"/>
          <w:lang w:eastAsia="es-ES_tradnl"/>
        </w:rPr>
        <w:t>.-</w:t>
      </w:r>
      <w:proofErr w:type="gramEnd"/>
      <w:r w:rsidRPr="00AC1722">
        <w:rPr>
          <w:sz w:val="24"/>
          <w:szCs w:val="24"/>
          <w:lang w:eastAsia="es-ES_tradnl"/>
        </w:rPr>
        <w:t xml:space="preserve"> En relación con la cuestión planteada,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Ley 19/2013, de 9 de diciembre, de transparencia, acceso a la información pública y buen gobierno (LTAIBG)</w:t>
      </w:r>
      <w:r w:rsidR="00DF07F5">
        <w:rPr>
          <w:sz w:val="24"/>
          <w:szCs w:val="24"/>
          <w:lang w:eastAsia="es-ES_tradnl"/>
        </w:rPr>
        <w:t>.</w:t>
      </w:r>
    </w:p>
    <w:p w14:paraId="007C1A3A" w14:textId="77777777" w:rsidR="009E5C0E" w:rsidRPr="00AC1722" w:rsidRDefault="009E5C0E" w:rsidP="009E5C0E">
      <w:pPr>
        <w:jc w:val="both"/>
        <w:rPr>
          <w:sz w:val="24"/>
          <w:szCs w:val="24"/>
          <w:lang w:eastAsia="es-ES_tradnl"/>
        </w:rPr>
      </w:pPr>
    </w:p>
    <w:p w14:paraId="3406E4C9" w14:textId="77777777" w:rsidR="009E5C0E" w:rsidRDefault="009E5C0E" w:rsidP="009E5C0E">
      <w:pPr>
        <w:numPr>
          <w:ilvl w:val="0"/>
          <w:numId w:val="48"/>
        </w:numPr>
        <w:jc w:val="both"/>
        <w:rPr>
          <w:sz w:val="24"/>
          <w:szCs w:val="24"/>
          <w:lang w:eastAsia="es-ES_tradnl"/>
        </w:rPr>
      </w:pPr>
      <w:r w:rsidRPr="00AC1722">
        <w:rPr>
          <w:sz w:val="24"/>
          <w:szCs w:val="24"/>
          <w:lang w:eastAsia="es-ES_tradnl"/>
        </w:rPr>
        <w:t>Respecto al plazo para interposición de la reclamación, la LTAIBG establece en su artículo 24.2 que la reclamación se interpondrá en el plazo de un mes a contar desde el día siguiente al de la notificación del acto impugnado, plazo al que se ajustó el reclamante ya que, según los datos del expediente, la Resolución impugnada es de fecha 21 de enero de 2026 y la reclamación se presentó el día 30 de enero.</w:t>
      </w:r>
    </w:p>
    <w:p w14:paraId="0783B1F7" w14:textId="77777777" w:rsidR="009E5C0E" w:rsidRPr="00AC1722" w:rsidRDefault="009E5C0E" w:rsidP="009E5C0E">
      <w:pPr>
        <w:jc w:val="both"/>
        <w:rPr>
          <w:sz w:val="24"/>
          <w:szCs w:val="24"/>
          <w:lang w:eastAsia="es-ES_tradnl"/>
        </w:rPr>
      </w:pPr>
    </w:p>
    <w:p w14:paraId="624EFF85" w14:textId="77777777" w:rsidR="009E5C0E" w:rsidRPr="00AC1722" w:rsidRDefault="009E5C0E" w:rsidP="009E5C0E">
      <w:pPr>
        <w:numPr>
          <w:ilvl w:val="0"/>
          <w:numId w:val="48"/>
        </w:numPr>
        <w:jc w:val="both"/>
        <w:rPr>
          <w:sz w:val="24"/>
          <w:szCs w:val="24"/>
          <w:lang w:eastAsia="es-ES_tradnl"/>
        </w:rPr>
      </w:pPr>
      <w:r w:rsidRPr="00AC1722">
        <w:rPr>
          <w:sz w:val="24"/>
          <w:szCs w:val="24"/>
          <w:lang w:eastAsia="es-ES_tradnl"/>
        </w:rPr>
        <w:t>De acuerdo con lo dispuesto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w:t>
      </w:r>
    </w:p>
    <w:p w14:paraId="0BAD8F03" w14:textId="77777777" w:rsidR="009E5C0E" w:rsidRPr="00AC1722" w:rsidRDefault="009E5C0E" w:rsidP="009E5C0E">
      <w:pPr>
        <w:jc w:val="both"/>
        <w:rPr>
          <w:sz w:val="24"/>
          <w:szCs w:val="24"/>
          <w:lang w:eastAsia="es-ES_tradnl"/>
        </w:rPr>
      </w:pPr>
    </w:p>
    <w:p w14:paraId="1C542149" w14:textId="77777777" w:rsidR="009E5C0E" w:rsidRPr="00AC1722" w:rsidRDefault="009E5C0E" w:rsidP="009E5C0E">
      <w:pPr>
        <w:numPr>
          <w:ilvl w:val="0"/>
          <w:numId w:val="48"/>
        </w:numPr>
        <w:jc w:val="both"/>
        <w:rPr>
          <w:sz w:val="24"/>
          <w:szCs w:val="24"/>
          <w:lang w:eastAsia="es-ES_tradnl"/>
        </w:rPr>
      </w:pPr>
      <w:r w:rsidRPr="00AC1722">
        <w:rPr>
          <w:sz w:val="24"/>
          <w:szCs w:val="24"/>
          <w:lang w:eastAsia="es-ES_tradnl"/>
        </w:rPr>
        <w:t>El objeto de la reclamación es la resolución expresa en materia de acceso a información pública, esto es, la citada Resolución 329/2026, de 21 de enero, de la Dirección de Agricultura.</w:t>
      </w:r>
    </w:p>
    <w:p w14:paraId="628DB406" w14:textId="77777777" w:rsidR="009E5C0E" w:rsidRPr="00AC1722" w:rsidRDefault="009E5C0E" w:rsidP="009E5C0E">
      <w:pPr>
        <w:jc w:val="both"/>
        <w:rPr>
          <w:sz w:val="24"/>
          <w:szCs w:val="24"/>
          <w:lang w:eastAsia="es-ES_tradnl"/>
        </w:rPr>
      </w:pPr>
    </w:p>
    <w:p w14:paraId="71404775" w14:textId="77777777" w:rsidR="009E5C0E" w:rsidRPr="00AC1722" w:rsidRDefault="009E5C0E" w:rsidP="009E5C0E">
      <w:pPr>
        <w:ind w:left="426"/>
        <w:jc w:val="both"/>
        <w:rPr>
          <w:i/>
          <w:sz w:val="24"/>
          <w:szCs w:val="24"/>
          <w:lang w:eastAsia="es-ES_tradnl"/>
        </w:rPr>
      </w:pPr>
      <w:r w:rsidRPr="00AC1722">
        <w:rPr>
          <w:sz w:val="24"/>
          <w:szCs w:val="24"/>
          <w:lang w:val="es-ES_tradnl" w:eastAsia="es-ES_tradnl"/>
        </w:rPr>
        <w:t>Según el artículo 18 de la Norma 1/2017, de 8 de febrero, se entiende por información pública “</w:t>
      </w:r>
      <w:r w:rsidRPr="00AC1722">
        <w:rPr>
          <w:i/>
          <w:sz w:val="24"/>
          <w:szCs w:val="24"/>
          <w:lang w:val="es-ES_tradnl" w:eastAsia="es-ES_tradnl"/>
        </w:rPr>
        <w:t xml:space="preserve">los contenidos o </w:t>
      </w:r>
      <w:r w:rsidRPr="00AC1722">
        <w:rPr>
          <w:i/>
          <w:sz w:val="24"/>
          <w:szCs w:val="24"/>
          <w:lang w:eastAsia="es-ES_tradnl"/>
        </w:rPr>
        <w:t>documentos, cualquiera que sea su formato o soporte, que obren en poder de cualquiera de los sujetos incluidos en el artículo 3 de esta Norma Foral que hayan sido elaborados o adquiridos en el ejercicio de sus funciones”.</w:t>
      </w:r>
    </w:p>
    <w:p w14:paraId="4A024851" w14:textId="77777777" w:rsidR="009E5C0E" w:rsidRPr="00AC1722" w:rsidRDefault="009E5C0E" w:rsidP="009E5C0E">
      <w:pPr>
        <w:ind w:left="426"/>
        <w:jc w:val="both"/>
        <w:rPr>
          <w:i/>
          <w:sz w:val="24"/>
          <w:szCs w:val="24"/>
          <w:lang w:eastAsia="es-ES_tradnl"/>
        </w:rPr>
      </w:pPr>
    </w:p>
    <w:p w14:paraId="549D2C28" w14:textId="77777777" w:rsidR="009E5C0E" w:rsidRPr="00AC1722" w:rsidRDefault="009E5C0E" w:rsidP="009E5C0E">
      <w:pPr>
        <w:ind w:left="426"/>
        <w:jc w:val="both"/>
        <w:rPr>
          <w:sz w:val="24"/>
          <w:szCs w:val="24"/>
          <w:lang w:eastAsia="es-ES_tradnl"/>
        </w:rPr>
      </w:pPr>
      <w:r w:rsidRPr="00AC1722">
        <w:rPr>
          <w:sz w:val="24"/>
          <w:szCs w:val="24"/>
          <w:lang w:eastAsia="es-ES_tradnl"/>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w:t>
      </w:r>
    </w:p>
    <w:p w14:paraId="2CB3E77A" w14:textId="77777777" w:rsidR="009E5C0E" w:rsidRPr="00AC1722" w:rsidRDefault="009E5C0E" w:rsidP="009E5C0E">
      <w:pPr>
        <w:ind w:left="426"/>
        <w:jc w:val="both"/>
        <w:rPr>
          <w:sz w:val="24"/>
          <w:szCs w:val="24"/>
          <w:lang w:eastAsia="es-ES_tradnl"/>
        </w:rPr>
      </w:pPr>
    </w:p>
    <w:p w14:paraId="0CC41135" w14:textId="7A50BCAA" w:rsidR="009E5C0E" w:rsidRDefault="009E5C0E" w:rsidP="009E5C0E">
      <w:pPr>
        <w:ind w:left="426"/>
        <w:jc w:val="both"/>
        <w:rPr>
          <w:sz w:val="24"/>
          <w:szCs w:val="24"/>
          <w:lang w:eastAsia="es-ES_tradnl"/>
        </w:rPr>
      </w:pPr>
      <w:r w:rsidRPr="00AC1722">
        <w:rPr>
          <w:sz w:val="24"/>
          <w:szCs w:val="24"/>
          <w:lang w:eastAsia="es-ES_tradnl"/>
        </w:rPr>
        <w:t xml:space="preserve">A la vista de esta definición puede afirmarse que la solicitud formulada por </w:t>
      </w:r>
      <w:r w:rsidR="00493B64">
        <w:rPr>
          <w:sz w:val="24"/>
          <w:szCs w:val="24"/>
          <w:lang w:eastAsia="es-ES_tradnl"/>
        </w:rPr>
        <w:t>la persona interesada</w:t>
      </w:r>
      <w:r w:rsidRPr="00AC1722">
        <w:rPr>
          <w:sz w:val="24"/>
          <w:szCs w:val="24"/>
          <w:lang w:eastAsia="es-ES_tradnl"/>
        </w:rPr>
        <w:t xml:space="preserve"> tiene por objeto información pública de la que dispone el departamento competente en materia de administración foral.</w:t>
      </w:r>
    </w:p>
    <w:p w14:paraId="374C734C" w14:textId="77777777" w:rsidR="006D3F8E" w:rsidRDefault="006D3F8E" w:rsidP="009E5C0E">
      <w:pPr>
        <w:ind w:left="426"/>
        <w:jc w:val="both"/>
        <w:rPr>
          <w:sz w:val="24"/>
          <w:szCs w:val="24"/>
          <w:lang w:eastAsia="es-ES_tradnl"/>
        </w:rPr>
      </w:pPr>
    </w:p>
    <w:p w14:paraId="35157F62" w14:textId="77777777" w:rsidR="006D3F8E" w:rsidRDefault="006D3F8E" w:rsidP="009E5C0E">
      <w:pPr>
        <w:ind w:left="426"/>
        <w:jc w:val="both"/>
        <w:rPr>
          <w:sz w:val="24"/>
          <w:szCs w:val="24"/>
          <w:lang w:eastAsia="es-ES_tradnl"/>
        </w:rPr>
      </w:pPr>
    </w:p>
    <w:p w14:paraId="53E52D17" w14:textId="77777777" w:rsidR="006D3F8E" w:rsidRDefault="006D3F8E" w:rsidP="009E5C0E">
      <w:pPr>
        <w:ind w:left="426"/>
        <w:jc w:val="both"/>
        <w:rPr>
          <w:sz w:val="24"/>
          <w:szCs w:val="24"/>
          <w:lang w:eastAsia="es-ES_tradnl"/>
        </w:rPr>
      </w:pPr>
    </w:p>
    <w:p w14:paraId="0062B5FA" w14:textId="77777777" w:rsidR="006D3F8E" w:rsidRPr="00AC1722" w:rsidRDefault="006D3F8E" w:rsidP="009E5C0E">
      <w:pPr>
        <w:ind w:left="426"/>
        <w:jc w:val="both"/>
        <w:rPr>
          <w:sz w:val="24"/>
          <w:szCs w:val="24"/>
          <w:lang w:eastAsia="es-ES_tradnl"/>
        </w:rPr>
      </w:pPr>
    </w:p>
    <w:p w14:paraId="653BFA3F" w14:textId="77777777" w:rsidR="009E5C0E" w:rsidRPr="00AC1722" w:rsidRDefault="009E5C0E" w:rsidP="009E5C0E">
      <w:pPr>
        <w:jc w:val="both"/>
        <w:rPr>
          <w:sz w:val="24"/>
          <w:szCs w:val="24"/>
          <w:lang w:eastAsia="es-ES_tradnl"/>
        </w:rPr>
      </w:pPr>
    </w:p>
    <w:p w14:paraId="48FC1CA7" w14:textId="77777777" w:rsidR="009E5C0E" w:rsidRPr="00AC1722" w:rsidRDefault="009E5C0E" w:rsidP="009E5C0E">
      <w:pPr>
        <w:jc w:val="both"/>
        <w:rPr>
          <w:sz w:val="24"/>
          <w:szCs w:val="24"/>
          <w:lang w:eastAsia="es-ES_tradnl"/>
        </w:rPr>
      </w:pPr>
      <w:proofErr w:type="gramStart"/>
      <w:r w:rsidRPr="00AC1722">
        <w:rPr>
          <w:b/>
          <w:bCs/>
          <w:sz w:val="24"/>
          <w:szCs w:val="24"/>
          <w:lang w:eastAsia="es-ES_tradnl"/>
        </w:rPr>
        <w:lastRenderedPageBreak/>
        <w:t>Segundo.-</w:t>
      </w:r>
      <w:proofErr w:type="gramEnd"/>
      <w:r w:rsidRPr="00AC1722">
        <w:rPr>
          <w:sz w:val="24"/>
          <w:szCs w:val="24"/>
          <w:lang w:eastAsia="es-ES_tradnl"/>
        </w:rPr>
        <w:t xml:space="preserve"> En cuanto al fondo del asunto, el artículo 17 de la Norma Foral de Transparencia define un “</w:t>
      </w:r>
      <w:r w:rsidRPr="00AC1722">
        <w:rPr>
          <w:i/>
          <w:iCs/>
          <w:sz w:val="24"/>
          <w:szCs w:val="24"/>
          <w:lang w:eastAsia="es-ES_tradnl"/>
        </w:rPr>
        <w:t>Principio de máxima accesibilidad</w:t>
      </w:r>
      <w:r w:rsidRPr="00AC1722">
        <w:rPr>
          <w:sz w:val="24"/>
          <w:szCs w:val="24"/>
          <w:lang w:eastAsia="es-ES_tradnl"/>
        </w:rPr>
        <w:t>” a la información pública en los siguientes términos:</w:t>
      </w:r>
    </w:p>
    <w:p w14:paraId="0AE3FD60" w14:textId="77777777" w:rsidR="009E5C0E" w:rsidRPr="00AC1722" w:rsidRDefault="009E5C0E" w:rsidP="009E5C0E">
      <w:pPr>
        <w:jc w:val="both"/>
        <w:rPr>
          <w:sz w:val="24"/>
          <w:szCs w:val="24"/>
          <w:lang w:eastAsia="es-ES_tradnl"/>
        </w:rPr>
      </w:pPr>
    </w:p>
    <w:p w14:paraId="677C0305" w14:textId="77777777" w:rsidR="009E5C0E" w:rsidRPr="00AC1722" w:rsidRDefault="009E5C0E" w:rsidP="009E5C0E">
      <w:pPr>
        <w:jc w:val="both"/>
        <w:rPr>
          <w:i/>
          <w:iCs/>
          <w:sz w:val="24"/>
          <w:szCs w:val="24"/>
          <w:lang w:eastAsia="es-ES_tradnl"/>
        </w:rPr>
      </w:pPr>
      <w:r w:rsidRPr="00AC1722">
        <w:rPr>
          <w:i/>
          <w:iCs/>
          <w:sz w:val="24"/>
          <w:szCs w:val="24"/>
          <w:lang w:eastAsia="es-ES_tradnl"/>
        </w:rPr>
        <w:t>Partiendo del principio de máxima accesibilidad a la información pública, la regla general debe ser la transparencia o el acceso y, la excepción, su denegación o limitación. Cualquier excepción ha de venir impuesta por una disposición con rango de ley o por la protección de algún derecho fundamental, e interpretarse en su aplicación de forma restrictiva y más favorable a la divulgación o el acceso a la información de que se trate. A tal efecto, se utilizarán las técnicas de disociación de datos personales y de acceso parcial a la información siempre al servicio del principio de máxima accesibilidad.</w:t>
      </w:r>
    </w:p>
    <w:p w14:paraId="1B8CCB08" w14:textId="77777777" w:rsidR="009E5C0E" w:rsidRPr="00AC1722" w:rsidRDefault="009E5C0E" w:rsidP="009E5C0E">
      <w:pPr>
        <w:jc w:val="both"/>
        <w:rPr>
          <w:sz w:val="24"/>
          <w:szCs w:val="24"/>
          <w:lang w:eastAsia="es-ES_tradnl"/>
        </w:rPr>
      </w:pPr>
    </w:p>
    <w:p w14:paraId="0355C12F" w14:textId="09E36850" w:rsidR="009E5C0E" w:rsidRPr="00AC1722" w:rsidRDefault="009E5C0E" w:rsidP="009E5C0E">
      <w:pPr>
        <w:jc w:val="both"/>
        <w:rPr>
          <w:sz w:val="24"/>
          <w:szCs w:val="24"/>
          <w:lang w:eastAsia="es-ES_tradnl"/>
        </w:rPr>
      </w:pPr>
      <w:r w:rsidRPr="00AC1722">
        <w:rPr>
          <w:sz w:val="24"/>
          <w:szCs w:val="24"/>
          <w:lang w:eastAsia="es-ES_tradnl"/>
        </w:rPr>
        <w:t xml:space="preserve">Por su parte, el artículo 30 de la Norma Foral 1/2017, de 8 febrero, de transparencia, participación ciudadana y buen gobierno del sector público del Territorio Histórico de Álava, establece que </w:t>
      </w:r>
      <w:r w:rsidR="00E92486">
        <w:rPr>
          <w:sz w:val="24"/>
          <w:szCs w:val="24"/>
          <w:lang w:eastAsia="es-ES_tradnl"/>
        </w:rPr>
        <w:t>t</w:t>
      </w:r>
      <w:r w:rsidRPr="00AC1722">
        <w:rPr>
          <w:sz w:val="24"/>
          <w:szCs w:val="24"/>
          <w:lang w:eastAsia="es-ES_tradnl"/>
        </w:rPr>
        <w:t>odas las personas podrán ejercer el derecho de acceso a la información pública ante la Diputación Foral de Álava (y los demás sujetos enumerados en el artículo 3.1 de la misma Norma Foral), el cual se limitará o denegará por las causas y en los términos previstos en la legislación básica (artículo 31.1).</w:t>
      </w:r>
    </w:p>
    <w:p w14:paraId="0BE0E24C" w14:textId="77777777" w:rsidR="009E5C0E" w:rsidRPr="00AC1722" w:rsidRDefault="009E5C0E" w:rsidP="009E5C0E">
      <w:pPr>
        <w:jc w:val="both"/>
        <w:rPr>
          <w:sz w:val="24"/>
          <w:szCs w:val="24"/>
          <w:lang w:eastAsia="es-ES_tradnl"/>
        </w:rPr>
      </w:pPr>
    </w:p>
    <w:p w14:paraId="4D563641" w14:textId="77777777" w:rsidR="009E5C0E" w:rsidRPr="00AC1722" w:rsidRDefault="009E5C0E" w:rsidP="009E5C0E">
      <w:pPr>
        <w:jc w:val="both"/>
        <w:rPr>
          <w:sz w:val="24"/>
          <w:szCs w:val="24"/>
          <w:lang w:eastAsia="es-ES_tradnl"/>
        </w:rPr>
      </w:pPr>
      <w:r w:rsidRPr="00AC1722">
        <w:rPr>
          <w:sz w:val="24"/>
          <w:szCs w:val="24"/>
          <w:lang w:eastAsia="es-ES_tradnl"/>
        </w:rPr>
        <w:t xml:space="preserve">No </w:t>
      </w:r>
      <w:proofErr w:type="gramStart"/>
      <w:r w:rsidRPr="00AC1722">
        <w:rPr>
          <w:sz w:val="24"/>
          <w:szCs w:val="24"/>
          <w:lang w:eastAsia="es-ES_tradnl"/>
        </w:rPr>
        <w:t>obstante</w:t>
      </w:r>
      <w:proofErr w:type="gramEnd"/>
      <w:r w:rsidRPr="00AC1722">
        <w:rPr>
          <w:sz w:val="24"/>
          <w:szCs w:val="24"/>
          <w:lang w:eastAsia="es-ES_tradnl"/>
        </w:rPr>
        <w:t xml:space="preserve"> lo anterior, la Ley 19/2013, de 9 de diciembre, de transparencia, acceso a la información pública y buen gobierno, en relación con el derecho de acceso a la información pública establece los límites definidos en el artículo 14, normas de protección de datos personales en el artículo 15 y las causas de inadmisión de las solicitudes de acceso enumeradas en el artículo 18.</w:t>
      </w:r>
    </w:p>
    <w:p w14:paraId="7F6C41BD" w14:textId="77777777" w:rsidR="009E5C0E" w:rsidRPr="00AC1722" w:rsidRDefault="009E5C0E" w:rsidP="009E5C0E">
      <w:pPr>
        <w:jc w:val="both"/>
        <w:rPr>
          <w:sz w:val="24"/>
          <w:szCs w:val="24"/>
          <w:lang w:eastAsia="es-ES_tradnl"/>
        </w:rPr>
      </w:pPr>
    </w:p>
    <w:p w14:paraId="7722DF9A" w14:textId="77777777" w:rsidR="009E5C0E" w:rsidRPr="00AC1722" w:rsidRDefault="009E5C0E" w:rsidP="009E5C0E">
      <w:pPr>
        <w:jc w:val="both"/>
        <w:rPr>
          <w:sz w:val="24"/>
          <w:szCs w:val="24"/>
          <w:lang w:eastAsia="es-ES_tradnl"/>
        </w:rPr>
      </w:pPr>
      <w:proofErr w:type="gramStart"/>
      <w:r w:rsidRPr="00AC1722">
        <w:rPr>
          <w:b/>
          <w:bCs/>
          <w:sz w:val="24"/>
          <w:szCs w:val="24"/>
          <w:lang w:eastAsia="es-ES_tradnl"/>
        </w:rPr>
        <w:t>Tercero.-</w:t>
      </w:r>
      <w:proofErr w:type="gramEnd"/>
      <w:r w:rsidRPr="00AC1722">
        <w:rPr>
          <w:sz w:val="24"/>
          <w:szCs w:val="24"/>
          <w:lang w:eastAsia="es-ES_tradnl"/>
        </w:rPr>
        <w:t xml:space="preserve"> Y en relación con las causas de inadmisión, el artículo 18.1 de la Ley de Trasparencia establece que “</w:t>
      </w:r>
      <w:r w:rsidRPr="00AC1722">
        <w:rPr>
          <w:i/>
          <w:iCs/>
          <w:sz w:val="24"/>
          <w:szCs w:val="24"/>
          <w:lang w:eastAsia="es-ES_tradnl"/>
        </w:rPr>
        <w:t>Se inadmitirán a trámite, mediante resolución motivada, las solicitudes: […] e) Que sean manifiestamente repetitivas o tengan un carácter abusivo no justificado con la finalidad de transparencia de esta Ley</w:t>
      </w:r>
      <w:r w:rsidRPr="00AC1722">
        <w:rPr>
          <w:sz w:val="24"/>
          <w:szCs w:val="24"/>
          <w:lang w:eastAsia="es-ES_tradnl"/>
        </w:rPr>
        <w:t>”.</w:t>
      </w:r>
    </w:p>
    <w:p w14:paraId="0FE8FF2D" w14:textId="77777777" w:rsidR="009E5C0E" w:rsidRPr="00AC1722" w:rsidRDefault="009E5C0E" w:rsidP="009E5C0E">
      <w:pPr>
        <w:jc w:val="both"/>
        <w:rPr>
          <w:i/>
          <w:iCs/>
          <w:sz w:val="24"/>
          <w:szCs w:val="24"/>
          <w:lang w:eastAsia="es-ES_tradnl"/>
        </w:rPr>
      </w:pPr>
    </w:p>
    <w:p w14:paraId="789207EF" w14:textId="28FAB7E2" w:rsidR="009E5C0E" w:rsidRPr="00AC1722" w:rsidRDefault="009E5C0E" w:rsidP="009E5C0E">
      <w:pPr>
        <w:jc w:val="both"/>
        <w:rPr>
          <w:sz w:val="24"/>
          <w:szCs w:val="24"/>
          <w:lang w:eastAsia="es-ES_tradnl"/>
        </w:rPr>
      </w:pPr>
      <w:r w:rsidRPr="00AC1722">
        <w:rPr>
          <w:sz w:val="24"/>
          <w:szCs w:val="24"/>
          <w:lang w:eastAsia="es-ES_tradnl"/>
        </w:rPr>
        <w:t>Interesa añadir que, según el mismo artículo 18.1 de la Ley de Transparencia, se inadmitir</w:t>
      </w:r>
      <w:r w:rsidR="00AB4D74">
        <w:rPr>
          <w:sz w:val="24"/>
          <w:szCs w:val="24"/>
          <w:lang w:eastAsia="es-ES_tradnl"/>
        </w:rPr>
        <w:t>á</w:t>
      </w:r>
      <w:r w:rsidRPr="00AC1722">
        <w:rPr>
          <w:sz w:val="24"/>
          <w:szCs w:val="24"/>
          <w:lang w:eastAsia="es-ES_tradnl"/>
        </w:rPr>
        <w:t>n asimismo a trámite las solicitudes “</w:t>
      </w:r>
      <w:r w:rsidRPr="00AC1722">
        <w:rPr>
          <w:i/>
          <w:iCs/>
          <w:sz w:val="24"/>
          <w:szCs w:val="24"/>
          <w:lang w:eastAsia="es-ES_tradnl"/>
        </w:rPr>
        <w:t>c) Relativas a información para cuya divulgación sea necesaria una acción previa de reelaboración.”</w:t>
      </w:r>
      <w:r w:rsidRPr="00AC1722">
        <w:rPr>
          <w:sz w:val="24"/>
          <w:szCs w:val="24"/>
          <w:lang w:eastAsia="es-ES_tradnl"/>
        </w:rPr>
        <w:t xml:space="preserve"> Motivo éste de inadmisión relacionado con el anterior y que permitirá apreciar, a la luz de la doctrina jurisprudencia</w:t>
      </w:r>
      <w:r w:rsidR="008F3958">
        <w:rPr>
          <w:sz w:val="24"/>
          <w:szCs w:val="24"/>
          <w:lang w:eastAsia="es-ES_tradnl"/>
        </w:rPr>
        <w:t>l</w:t>
      </w:r>
      <w:r w:rsidRPr="00AC1722">
        <w:rPr>
          <w:sz w:val="24"/>
          <w:szCs w:val="24"/>
          <w:lang w:eastAsia="es-ES_tradnl"/>
        </w:rPr>
        <w:t xml:space="preserve"> existente al respecto, que la solicitud inadmitida por la Dirección de Agricultura y que es objeto de la presente resolución, ha de considerarse abusiva conforme al artículo 18.1 e) de la Ley de Transparencia.</w:t>
      </w:r>
    </w:p>
    <w:p w14:paraId="0A54546D" w14:textId="77777777" w:rsidR="009E5C0E" w:rsidRDefault="009E5C0E" w:rsidP="009E5C0E">
      <w:pPr>
        <w:jc w:val="both"/>
        <w:rPr>
          <w:i/>
          <w:iCs/>
          <w:sz w:val="24"/>
          <w:szCs w:val="24"/>
          <w:lang w:eastAsia="es-ES_tradnl"/>
        </w:rPr>
      </w:pPr>
    </w:p>
    <w:p w14:paraId="030EA6C0" w14:textId="77777777" w:rsidR="001C221F" w:rsidRDefault="001C221F" w:rsidP="009E5C0E">
      <w:pPr>
        <w:jc w:val="both"/>
        <w:rPr>
          <w:i/>
          <w:iCs/>
          <w:sz w:val="24"/>
          <w:szCs w:val="24"/>
          <w:lang w:eastAsia="es-ES_tradnl"/>
        </w:rPr>
      </w:pPr>
    </w:p>
    <w:p w14:paraId="32478C74" w14:textId="77777777" w:rsidR="001C221F" w:rsidRDefault="001C221F" w:rsidP="009E5C0E">
      <w:pPr>
        <w:jc w:val="both"/>
        <w:rPr>
          <w:i/>
          <w:iCs/>
          <w:sz w:val="24"/>
          <w:szCs w:val="24"/>
          <w:lang w:eastAsia="es-ES_tradnl"/>
        </w:rPr>
      </w:pPr>
    </w:p>
    <w:p w14:paraId="2FAD0A0F" w14:textId="77777777" w:rsidR="001C221F" w:rsidRDefault="001C221F" w:rsidP="009E5C0E">
      <w:pPr>
        <w:jc w:val="both"/>
        <w:rPr>
          <w:i/>
          <w:iCs/>
          <w:sz w:val="24"/>
          <w:szCs w:val="24"/>
          <w:lang w:eastAsia="es-ES_tradnl"/>
        </w:rPr>
      </w:pPr>
    </w:p>
    <w:p w14:paraId="5107A8E2" w14:textId="77777777" w:rsidR="001C221F" w:rsidRDefault="001C221F" w:rsidP="009E5C0E">
      <w:pPr>
        <w:jc w:val="both"/>
        <w:rPr>
          <w:i/>
          <w:iCs/>
          <w:sz w:val="24"/>
          <w:szCs w:val="24"/>
          <w:lang w:eastAsia="es-ES_tradnl"/>
        </w:rPr>
      </w:pPr>
    </w:p>
    <w:p w14:paraId="0A91B8E1" w14:textId="77777777" w:rsidR="001C221F" w:rsidRDefault="001C221F" w:rsidP="009E5C0E">
      <w:pPr>
        <w:jc w:val="both"/>
        <w:rPr>
          <w:i/>
          <w:iCs/>
          <w:sz w:val="24"/>
          <w:szCs w:val="24"/>
          <w:lang w:eastAsia="es-ES_tradnl"/>
        </w:rPr>
      </w:pPr>
    </w:p>
    <w:p w14:paraId="07B3AB0E" w14:textId="77777777" w:rsidR="001C221F" w:rsidRPr="00AC1722" w:rsidRDefault="001C221F" w:rsidP="009E5C0E">
      <w:pPr>
        <w:jc w:val="both"/>
        <w:rPr>
          <w:i/>
          <w:iCs/>
          <w:sz w:val="24"/>
          <w:szCs w:val="24"/>
          <w:lang w:eastAsia="es-ES_tradnl"/>
        </w:rPr>
      </w:pPr>
    </w:p>
    <w:p w14:paraId="60379C95" w14:textId="77777777" w:rsidR="009E5C0E" w:rsidRPr="00AC1722" w:rsidRDefault="009E5C0E" w:rsidP="009E5C0E">
      <w:pPr>
        <w:jc w:val="both"/>
        <w:rPr>
          <w:sz w:val="24"/>
          <w:szCs w:val="24"/>
          <w:lang w:eastAsia="es-ES_tradnl"/>
        </w:rPr>
      </w:pPr>
      <w:r w:rsidRPr="00AC1722">
        <w:rPr>
          <w:sz w:val="24"/>
          <w:szCs w:val="24"/>
          <w:lang w:eastAsia="es-ES_tradnl"/>
        </w:rPr>
        <w:lastRenderedPageBreak/>
        <w:t>Así, sobre esta causa de inadmisión del artículo 18.1 c) y su relación con la definida en el artículo 18.1 e) es de oportuna cita y transcripción parcial la Sentencia de la Sala de lo Contencioso-Administrativo de la Audiencia Nacional, de 7 de octubre de 2025 (R. 24/2024), cuyo fundamento de derecho tercero, sintetizando la doctrina del Tribunal Supremo sobre el particular, dice así:</w:t>
      </w:r>
    </w:p>
    <w:p w14:paraId="507EE8CE" w14:textId="77777777" w:rsidR="009E5C0E" w:rsidRPr="00AC1722" w:rsidRDefault="009E5C0E" w:rsidP="009E5C0E">
      <w:pPr>
        <w:jc w:val="both"/>
        <w:rPr>
          <w:sz w:val="24"/>
          <w:szCs w:val="24"/>
          <w:lang w:eastAsia="es-ES_tradnl"/>
        </w:rPr>
      </w:pPr>
    </w:p>
    <w:p w14:paraId="2FB5F729" w14:textId="77777777" w:rsidR="009E5C0E" w:rsidRDefault="009E5C0E" w:rsidP="009E5C0E">
      <w:pPr>
        <w:jc w:val="both"/>
        <w:rPr>
          <w:i/>
          <w:iCs/>
          <w:sz w:val="24"/>
          <w:szCs w:val="24"/>
          <w:lang w:eastAsia="es-ES_tradnl"/>
        </w:rPr>
      </w:pPr>
      <w:r w:rsidRPr="00AC1722">
        <w:rPr>
          <w:i/>
          <w:iCs/>
          <w:sz w:val="24"/>
          <w:szCs w:val="24"/>
          <w:lang w:eastAsia="es-ES_tradnl"/>
        </w:rPr>
        <w:t xml:space="preserve">La jurisprudencia y doctrina administrativa han ido perfilando que no toda necesidad de tratamiento o agrupación de datos implica una "acción previa de reelaboración". La </w:t>
      </w:r>
      <w:hyperlink r:id="rId8" w:history="1">
        <w:r w:rsidRPr="00AC1722">
          <w:rPr>
            <w:rStyle w:val="Hipervnculo"/>
            <w:i/>
            <w:iCs/>
            <w:sz w:val="24"/>
            <w:szCs w:val="24"/>
            <w:lang w:eastAsia="es-ES_tradnl"/>
          </w:rPr>
          <w:t>STS de 2 de junio de 2022 (casación 4116/2020</w:t>
        </w:r>
      </w:hyperlink>
      <w:r w:rsidRPr="00AC1722">
        <w:rPr>
          <w:i/>
          <w:iCs/>
          <w:sz w:val="24"/>
          <w:szCs w:val="24"/>
          <w:lang w:eastAsia="es-ES_tradnl"/>
        </w:rPr>
        <w:t xml:space="preserve">), rememorando la </w:t>
      </w:r>
      <w:hyperlink r:id="rId9" w:history="1">
        <w:r w:rsidRPr="00AC1722">
          <w:rPr>
            <w:rStyle w:val="Hipervnculo"/>
            <w:i/>
            <w:iCs/>
            <w:sz w:val="24"/>
            <w:szCs w:val="24"/>
            <w:lang w:eastAsia="es-ES_tradnl"/>
          </w:rPr>
          <w:t>STS de 25 de marzo de 2021 (casación 2578/2020</w:t>
        </w:r>
      </w:hyperlink>
      <w:r w:rsidRPr="00AC1722">
        <w:rPr>
          <w:i/>
          <w:iCs/>
          <w:sz w:val="24"/>
          <w:szCs w:val="24"/>
          <w:lang w:eastAsia="es-ES_tradnl"/>
        </w:rPr>
        <w:t xml:space="preserve">) refuerza esta idea, señalando que el derecho de acceso debe interpretarse de forma expansiva y que las causas de inadmisión son de interpretación restrictiva. Ya la </w:t>
      </w:r>
      <w:hyperlink r:id="rId10" w:history="1">
        <w:r w:rsidRPr="00AC1722">
          <w:rPr>
            <w:rStyle w:val="Hipervnculo"/>
            <w:i/>
            <w:iCs/>
            <w:sz w:val="24"/>
            <w:szCs w:val="24"/>
            <w:lang w:eastAsia="es-ES_tradnl"/>
          </w:rPr>
          <w:t>STS de 16 de octubre de 2017</w:t>
        </w:r>
      </w:hyperlink>
      <w:r w:rsidRPr="00AC1722">
        <w:rPr>
          <w:i/>
          <w:iCs/>
          <w:sz w:val="24"/>
          <w:szCs w:val="24"/>
          <w:lang w:eastAsia="es-ES_tradnl"/>
        </w:rPr>
        <w:t xml:space="preserve"> (FD 6º) había fijado criterios jurisprudenciales en interpretación de la causa de inadmisión del artículo 18.1.c) LTAIBG. </w:t>
      </w:r>
    </w:p>
    <w:p w14:paraId="72D7AEF1" w14:textId="77777777" w:rsidR="009E5C0E" w:rsidRPr="00AC1722" w:rsidRDefault="009E5C0E" w:rsidP="009E5C0E">
      <w:pPr>
        <w:jc w:val="both"/>
        <w:rPr>
          <w:i/>
          <w:iCs/>
          <w:sz w:val="24"/>
          <w:szCs w:val="24"/>
          <w:lang w:eastAsia="es-ES_tradnl"/>
        </w:rPr>
      </w:pPr>
    </w:p>
    <w:p w14:paraId="575F4597" w14:textId="77777777" w:rsidR="009E5C0E" w:rsidRDefault="009E5C0E" w:rsidP="009E5C0E">
      <w:pPr>
        <w:jc w:val="both"/>
        <w:rPr>
          <w:i/>
          <w:iCs/>
          <w:sz w:val="24"/>
          <w:szCs w:val="24"/>
          <w:lang w:eastAsia="es-ES_tradnl"/>
        </w:rPr>
      </w:pPr>
      <w:r w:rsidRPr="00AC1722">
        <w:rPr>
          <w:i/>
          <w:iCs/>
          <w:sz w:val="24"/>
          <w:szCs w:val="24"/>
          <w:lang w:eastAsia="es-ES_tradnl"/>
        </w:rPr>
        <w:t xml:space="preserve">También se pronunció el Tribunal Supremo sobre la aplicabilidad de la causa de inadmisión del artículo 18.1.c) LTAIBG en la sentencia </w:t>
      </w:r>
      <w:hyperlink r:id="rId11" w:history="1">
        <w:r w:rsidRPr="00AC1722">
          <w:rPr>
            <w:rStyle w:val="Hipervnculo"/>
            <w:i/>
            <w:iCs/>
            <w:sz w:val="24"/>
            <w:szCs w:val="24"/>
            <w:lang w:eastAsia="es-ES_tradnl"/>
          </w:rPr>
          <w:t>de 3 de marzo de 2020 (recurso 600/2018</w:t>
        </w:r>
      </w:hyperlink>
      <w:r w:rsidRPr="00AC1722">
        <w:rPr>
          <w:i/>
          <w:iCs/>
          <w:sz w:val="24"/>
          <w:szCs w:val="24"/>
          <w:lang w:eastAsia="es-ES_tradnl"/>
        </w:rPr>
        <w:t xml:space="preserve">), con razonamientos que fueron asumidos y reiterados en la sentencia de 25 de marzo de 2021, antes citada. </w:t>
      </w:r>
    </w:p>
    <w:p w14:paraId="7CFD9D60" w14:textId="77777777" w:rsidR="009E5C0E" w:rsidRPr="00AC1722" w:rsidRDefault="009E5C0E" w:rsidP="009E5C0E">
      <w:pPr>
        <w:jc w:val="both"/>
        <w:rPr>
          <w:i/>
          <w:iCs/>
          <w:sz w:val="24"/>
          <w:szCs w:val="24"/>
          <w:lang w:eastAsia="es-ES_tradnl"/>
        </w:rPr>
      </w:pPr>
    </w:p>
    <w:p w14:paraId="288B5ED1" w14:textId="77777777" w:rsidR="009E5C0E" w:rsidRDefault="009E5C0E" w:rsidP="009E5C0E">
      <w:pPr>
        <w:jc w:val="both"/>
        <w:rPr>
          <w:i/>
          <w:iCs/>
          <w:sz w:val="24"/>
          <w:szCs w:val="24"/>
          <w:lang w:eastAsia="es-ES_tradnl"/>
        </w:rPr>
      </w:pPr>
      <w:r w:rsidRPr="00AC1722">
        <w:rPr>
          <w:i/>
          <w:iCs/>
          <w:sz w:val="24"/>
          <w:szCs w:val="24"/>
          <w:lang w:eastAsia="es-ES_tradnl"/>
        </w:rPr>
        <w:t xml:space="preserve">En la primera de las indicadas sentencias se puso de relieve que, debido a la severa consecuencia de inadmisión a trámite de la solicitud que se anuda a su concurrencia, es exigible que la acción previa de reelaboración presente una cierta complejidad. SE expresa así: «Ciertamente, el suministro de información pública, a quien ha ejercitado su derecho al acceso, puede comprender una cierta reelaboración, teniendo en cuenta los documentos o los datos existentes en el órgano administrativo. Ahora bien, este tipo de reelaboración básica o general, como es natural, no siempre integra, en cualquier caso, la causa de inadmisión prevista en el artículo 18.1.c) </w:t>
      </w:r>
      <w:proofErr w:type="spellStart"/>
      <w:r w:rsidRPr="00AC1722">
        <w:rPr>
          <w:i/>
          <w:iCs/>
          <w:sz w:val="24"/>
          <w:szCs w:val="24"/>
          <w:lang w:eastAsia="es-ES_tradnl"/>
        </w:rPr>
        <w:t>LTyBG</w:t>
      </w:r>
      <w:proofErr w:type="spellEnd"/>
      <w:r w:rsidRPr="00AC1722">
        <w:rPr>
          <w:i/>
          <w:iCs/>
          <w:sz w:val="24"/>
          <w:szCs w:val="24"/>
          <w:lang w:eastAsia="es-ES_tradnl"/>
        </w:rPr>
        <w:t xml:space="preserve"> (...)».</w:t>
      </w:r>
    </w:p>
    <w:p w14:paraId="05C143FB" w14:textId="77777777" w:rsidR="009E5C0E" w:rsidRPr="00AC1722" w:rsidRDefault="009E5C0E" w:rsidP="009E5C0E">
      <w:pPr>
        <w:jc w:val="both"/>
        <w:rPr>
          <w:i/>
          <w:iCs/>
          <w:sz w:val="24"/>
          <w:szCs w:val="24"/>
          <w:lang w:eastAsia="es-ES_tradnl"/>
        </w:rPr>
      </w:pPr>
    </w:p>
    <w:p w14:paraId="6259B5AB" w14:textId="77777777" w:rsidR="009E5C0E" w:rsidRDefault="009E5C0E" w:rsidP="009E5C0E">
      <w:pPr>
        <w:jc w:val="both"/>
        <w:rPr>
          <w:i/>
          <w:iCs/>
          <w:sz w:val="24"/>
          <w:szCs w:val="24"/>
          <w:lang w:eastAsia="es-ES_tradnl"/>
        </w:rPr>
      </w:pPr>
      <w:r w:rsidRPr="00AC1722">
        <w:rPr>
          <w:i/>
          <w:iCs/>
          <w:sz w:val="24"/>
          <w:szCs w:val="24"/>
          <w:lang w:eastAsia="es-ES_tradnl"/>
        </w:rPr>
        <w:t xml:space="preserve">La clave se encuentra en distinguir entre el tratamiento técnico o administrativo mínimo, necesario para localizar, compilar o extraer información ya existente, lo cual no justificaría la inadmisión, por un lado y, por otro, la elaboración ad hoc de informes, estadísticas o documentos nuevos, que no existen en el momento de la solicitud y además, en nuestro caso, la diseminación de los expedientes en todas las dependencias regionales de la Agencia Tributaria, de modo que, en principio, consultar expedientes sancionadores ya existentes, aunque estén dispersos en varias dependencias, no necesariamente implica una acción de reelaboración. Ello no necesariamente implicaría una acción de reelaboración. </w:t>
      </w:r>
    </w:p>
    <w:p w14:paraId="269B57E2" w14:textId="77777777" w:rsidR="009E5C0E" w:rsidRPr="00AC1722" w:rsidRDefault="009E5C0E" w:rsidP="009E5C0E">
      <w:pPr>
        <w:jc w:val="both"/>
        <w:rPr>
          <w:i/>
          <w:iCs/>
          <w:sz w:val="24"/>
          <w:szCs w:val="24"/>
          <w:lang w:eastAsia="es-ES_tradnl"/>
        </w:rPr>
      </w:pPr>
    </w:p>
    <w:p w14:paraId="30874F1F" w14:textId="77777777" w:rsidR="009E5C0E" w:rsidRDefault="009E5C0E" w:rsidP="009E5C0E">
      <w:pPr>
        <w:jc w:val="both"/>
        <w:rPr>
          <w:i/>
          <w:iCs/>
          <w:sz w:val="24"/>
          <w:szCs w:val="24"/>
          <w:lang w:eastAsia="es-ES_tradnl"/>
        </w:rPr>
      </w:pPr>
      <w:r w:rsidRPr="00AC1722">
        <w:rPr>
          <w:i/>
          <w:iCs/>
          <w:sz w:val="24"/>
          <w:szCs w:val="24"/>
          <w:lang w:eastAsia="es-ES_tradnl"/>
        </w:rPr>
        <w:t xml:space="preserve">Ahora bien, la información solicitada por la parte actora -número de sanciones impuestas en 2019 por facturas falsas en diversas Delegaciones de la AEAT, con desglose de importes cobrados, incobrables y pendientes- exige una labor que excede claramente el derecho a información pública ya existente. La información requerida no está directamente accesible ni se encuentra parametrizada informáticamente ni disponible de forma directa en los sistemas informáticos de la AEAT. Su obtención requeriría identificar manualmente expedientes sancionadores dispersos en </w:t>
      </w:r>
      <w:r w:rsidRPr="00AC1722">
        <w:rPr>
          <w:i/>
          <w:iCs/>
          <w:sz w:val="24"/>
          <w:szCs w:val="24"/>
          <w:lang w:eastAsia="es-ES_tradnl"/>
        </w:rPr>
        <w:lastRenderedPageBreak/>
        <w:t>múltiples unidades administrativas, analizar cada uno para determinar si la infracción se refiere a facturación falsa, valorar el grado de falsedad y extraer los importes correspondientes. Esta tarea no se limita a localizar documentos existentes, sino que exige una actividad intelectual y técnica de análisis, clasificación y síntesis que constituye una auténtica elaboración de nueva información, no disponible en el momento de la solicitud.</w:t>
      </w:r>
    </w:p>
    <w:p w14:paraId="51F31FD1" w14:textId="77777777" w:rsidR="009E5C0E" w:rsidRPr="00AC1722" w:rsidRDefault="009E5C0E" w:rsidP="009E5C0E">
      <w:pPr>
        <w:jc w:val="both"/>
        <w:rPr>
          <w:i/>
          <w:iCs/>
          <w:sz w:val="24"/>
          <w:szCs w:val="24"/>
          <w:lang w:eastAsia="es-ES_tradnl"/>
        </w:rPr>
      </w:pPr>
    </w:p>
    <w:p w14:paraId="771880AB" w14:textId="77777777" w:rsidR="009E5C0E" w:rsidRPr="00AC1722" w:rsidRDefault="009E5C0E" w:rsidP="009E5C0E">
      <w:pPr>
        <w:jc w:val="both"/>
        <w:rPr>
          <w:i/>
          <w:iCs/>
          <w:sz w:val="24"/>
          <w:szCs w:val="24"/>
          <w:lang w:eastAsia="es-ES_tradnl"/>
        </w:rPr>
      </w:pPr>
      <w:r w:rsidRPr="00AC1722">
        <w:rPr>
          <w:i/>
          <w:iCs/>
          <w:sz w:val="24"/>
          <w:szCs w:val="24"/>
          <w:lang w:eastAsia="es-ES_tradnl"/>
        </w:rPr>
        <w:t xml:space="preserve">En consecuencia, la petición incurre en el supuesto de inadmisión previsto en el artículo 18.1.c) </w:t>
      </w:r>
      <w:proofErr w:type="spellStart"/>
      <w:r w:rsidRPr="00AC1722">
        <w:rPr>
          <w:i/>
          <w:iCs/>
          <w:sz w:val="24"/>
          <w:szCs w:val="24"/>
          <w:lang w:eastAsia="es-ES_tradnl"/>
        </w:rPr>
        <w:t>LTyBG</w:t>
      </w:r>
      <w:proofErr w:type="spellEnd"/>
      <w:r w:rsidRPr="00AC1722">
        <w:rPr>
          <w:i/>
          <w:iCs/>
          <w:sz w:val="24"/>
          <w:szCs w:val="24"/>
          <w:lang w:eastAsia="es-ES_tradnl"/>
        </w:rPr>
        <w:t xml:space="preserve">, al requerir una acción previa de reelaboración que no puede considerarse como un simple tratamiento o localización de datos. La complejidad de la tarea, la dispersión de los datos y la necesidad de aplicar criterios técnicos para determinar el alcance de las infracciones y los importes asociados, configuran una carga desproporcionada para la Administración que justifica plenamente la inadmisión por esta causa. Además, no debe perderse de vista la causa del artículo 18.1.e) </w:t>
      </w:r>
      <w:proofErr w:type="spellStart"/>
      <w:r w:rsidRPr="00AC1722">
        <w:rPr>
          <w:i/>
          <w:iCs/>
          <w:sz w:val="24"/>
          <w:szCs w:val="24"/>
          <w:lang w:eastAsia="es-ES_tradnl"/>
        </w:rPr>
        <w:t>LTyBG</w:t>
      </w:r>
      <w:proofErr w:type="spellEnd"/>
      <w:r w:rsidRPr="00AC1722">
        <w:rPr>
          <w:i/>
          <w:iCs/>
          <w:sz w:val="24"/>
          <w:szCs w:val="24"/>
          <w:lang w:eastAsia="es-ES_tradnl"/>
        </w:rPr>
        <w:t xml:space="preserve"> la cual ofrece una vía alternativa para inadmitir solicitudes que, por su volumen, pueden considerarse abusivas, lo que refuerza la necesidad de una interpretación equilibrada y proporcional de los límites al derecho de acceso.</w:t>
      </w:r>
    </w:p>
    <w:p w14:paraId="020D27F8" w14:textId="77777777" w:rsidR="009E5C0E" w:rsidRPr="00AC1722" w:rsidRDefault="009E5C0E" w:rsidP="009E5C0E">
      <w:pPr>
        <w:jc w:val="both"/>
        <w:rPr>
          <w:sz w:val="24"/>
          <w:szCs w:val="24"/>
          <w:lang w:eastAsia="es-ES_tradnl"/>
        </w:rPr>
      </w:pPr>
    </w:p>
    <w:p w14:paraId="4DC314B5" w14:textId="164E031C" w:rsidR="009E5C0E" w:rsidRPr="00AC1722" w:rsidRDefault="009E5C0E" w:rsidP="009E5C0E">
      <w:pPr>
        <w:jc w:val="both"/>
        <w:rPr>
          <w:sz w:val="24"/>
          <w:szCs w:val="24"/>
          <w:lang w:eastAsia="es-ES_tradnl"/>
        </w:rPr>
      </w:pPr>
      <w:r w:rsidRPr="00AC1722">
        <w:rPr>
          <w:sz w:val="24"/>
          <w:szCs w:val="24"/>
          <w:lang w:eastAsia="es-ES_tradnl"/>
        </w:rPr>
        <w:t xml:space="preserve">En el caso objeto de la presente resolución, la información solicitada por </w:t>
      </w:r>
      <w:r w:rsidR="008F623B">
        <w:rPr>
          <w:sz w:val="24"/>
          <w:szCs w:val="24"/>
          <w:lang w:eastAsia="es-ES_tradnl"/>
        </w:rPr>
        <w:t>la persona interesada</w:t>
      </w:r>
      <w:r w:rsidRPr="00AC1722">
        <w:rPr>
          <w:sz w:val="24"/>
          <w:szCs w:val="24"/>
          <w:lang w:eastAsia="es-ES_tradnl"/>
        </w:rPr>
        <w:t xml:space="preserve"> y que ha sido inadmitida por la resolución impugnada requiere de manera indiscutible una acción previa de reelaboración por parte del centro directivo a quien la misma solicitud se ha dirigido, pudiendo incluso afirmarse, a la luz de la doctrina expuesta, que la misma podría llegar a exceder el </w:t>
      </w:r>
      <w:bookmarkStart w:id="0" w:name="_Hlk226622351"/>
      <w:r w:rsidRPr="00AC1722">
        <w:rPr>
          <w:sz w:val="24"/>
          <w:szCs w:val="24"/>
          <w:lang w:eastAsia="es-ES_tradnl"/>
        </w:rPr>
        <w:t>tratamiento técnico o administrativo mínimo</w:t>
      </w:r>
      <w:bookmarkEnd w:id="0"/>
      <w:r w:rsidRPr="00AC1722">
        <w:rPr>
          <w:sz w:val="24"/>
          <w:szCs w:val="24"/>
          <w:lang w:eastAsia="es-ES_tradnl"/>
        </w:rPr>
        <w:t xml:space="preserve">, necesario para localizar, compilar o extraer información ya existente, admitido jurisprudencialmente como exigible para la satisfacción del derecho de acceso a la información pública, para pasar a ser considerada como información “no directamente accesible ni parametrizada informáticamente ni disponible de forma directa en los sistemas informáticos” del Departamento correspondiente, requiriendo “la elaboración </w:t>
      </w:r>
      <w:r w:rsidRPr="00AC1722">
        <w:rPr>
          <w:i/>
          <w:iCs/>
          <w:sz w:val="24"/>
          <w:szCs w:val="24"/>
          <w:lang w:eastAsia="es-ES_tradnl"/>
        </w:rPr>
        <w:t xml:space="preserve">ad hoc </w:t>
      </w:r>
      <w:r w:rsidRPr="00AC1722">
        <w:rPr>
          <w:sz w:val="24"/>
          <w:szCs w:val="24"/>
          <w:lang w:eastAsia="es-ES_tradnl"/>
        </w:rPr>
        <w:t>de informes, estadísticas o documentos nuevos, que no existen en el momento de la solicitud”, información que, en este caso, no sería exigible con base en el derecho de acceso a la información pública.</w:t>
      </w:r>
    </w:p>
    <w:p w14:paraId="4FFE45C3" w14:textId="77777777" w:rsidR="009E5C0E" w:rsidRPr="00AC1722" w:rsidRDefault="009E5C0E" w:rsidP="009E5C0E">
      <w:pPr>
        <w:jc w:val="both"/>
        <w:rPr>
          <w:sz w:val="24"/>
          <w:szCs w:val="24"/>
          <w:lang w:eastAsia="es-ES_tradnl"/>
        </w:rPr>
      </w:pPr>
    </w:p>
    <w:p w14:paraId="68C72ACB" w14:textId="77777777" w:rsidR="009E5C0E" w:rsidRDefault="009E5C0E" w:rsidP="009E5C0E">
      <w:pPr>
        <w:jc w:val="both"/>
        <w:rPr>
          <w:sz w:val="24"/>
          <w:szCs w:val="24"/>
          <w:lang w:eastAsia="es-ES_tradnl"/>
        </w:rPr>
      </w:pPr>
      <w:r w:rsidRPr="00AC1722">
        <w:rPr>
          <w:sz w:val="24"/>
          <w:szCs w:val="24"/>
          <w:lang w:eastAsia="es-ES_tradnl"/>
        </w:rPr>
        <w:t xml:space="preserve">Pero lo que resulta incuestionable, a juicio de este Consejo Foral de Transparencia, es que la sistemática y sucesiva reiteración de solicitudes de información ampliatoria o complementaria sobre el mismo objeto, máxime cuando, como en el presente caso, la información solicitada es de tipo estadístico no inmediatamente disponible y exige una acción previa de reelaboración, siquiera eventualmente </w:t>
      </w:r>
      <w:proofErr w:type="spellStart"/>
      <w:r w:rsidRPr="00AC1722">
        <w:rPr>
          <w:sz w:val="24"/>
          <w:szCs w:val="24"/>
          <w:lang w:eastAsia="es-ES_tradnl"/>
        </w:rPr>
        <w:t>conceptuable</w:t>
      </w:r>
      <w:proofErr w:type="spellEnd"/>
      <w:r w:rsidRPr="00AC1722">
        <w:rPr>
          <w:sz w:val="24"/>
          <w:szCs w:val="24"/>
          <w:lang w:eastAsia="es-ES_tradnl"/>
        </w:rPr>
        <w:t xml:space="preserve"> como tratamiento técnico o administrativo mínimo (lo cual es ciertamente dudoso, en los términos expuestos en el párrafo anterior), debe considerarse manifiestamente repetitiva y excede los límites normales de ejercicio del derecho de acceso a la información pública, de acuerdo con lo dispuesto en el artículo 7.2 del Código Civil y la doctrina administrativa del Consejo de Transparencia y Buen Gobierno que resulta de la Resolución 78/2018, de 30 de abril, invocada por la resolución administrativa impugnada.</w:t>
      </w:r>
    </w:p>
    <w:p w14:paraId="125C32EA" w14:textId="77777777" w:rsidR="009E5C0E" w:rsidRDefault="009E5C0E" w:rsidP="009E5C0E">
      <w:pPr>
        <w:jc w:val="both"/>
        <w:rPr>
          <w:sz w:val="24"/>
          <w:szCs w:val="24"/>
          <w:lang w:eastAsia="es-ES_tradnl"/>
        </w:rPr>
      </w:pPr>
    </w:p>
    <w:p w14:paraId="6A5F78B0" w14:textId="77777777" w:rsidR="009B0210" w:rsidRDefault="009B0210" w:rsidP="009E5C0E">
      <w:pPr>
        <w:jc w:val="both"/>
        <w:rPr>
          <w:sz w:val="24"/>
          <w:szCs w:val="24"/>
          <w:lang w:eastAsia="es-ES_tradnl"/>
        </w:rPr>
      </w:pPr>
    </w:p>
    <w:p w14:paraId="7619F85F" w14:textId="77777777" w:rsidR="009E5C0E" w:rsidRPr="00AC1722" w:rsidRDefault="009E5C0E" w:rsidP="009E5C0E">
      <w:pPr>
        <w:jc w:val="both"/>
        <w:rPr>
          <w:sz w:val="24"/>
          <w:szCs w:val="24"/>
          <w:lang w:eastAsia="es-ES_tradnl"/>
        </w:rPr>
      </w:pPr>
      <w:r w:rsidRPr="00AC1722">
        <w:rPr>
          <w:sz w:val="24"/>
          <w:szCs w:val="24"/>
          <w:lang w:eastAsia="es-ES_tradnl"/>
        </w:rPr>
        <w:lastRenderedPageBreak/>
        <w:t>Puede invocarse, en este sentido, la Resolución 18/2026, de 13 de enero, del Consejo de Transparencia y Buen Gobierno, según la cual,</w:t>
      </w:r>
    </w:p>
    <w:p w14:paraId="5D5A4BA5" w14:textId="77777777" w:rsidR="009E5C0E" w:rsidRPr="00AC1722" w:rsidRDefault="009E5C0E" w:rsidP="009E5C0E">
      <w:pPr>
        <w:jc w:val="both"/>
        <w:rPr>
          <w:sz w:val="24"/>
          <w:szCs w:val="24"/>
          <w:lang w:eastAsia="es-ES_tradnl"/>
        </w:rPr>
      </w:pPr>
    </w:p>
    <w:p w14:paraId="6C14F1F3" w14:textId="77777777" w:rsidR="009E5C0E" w:rsidRPr="00AC1722" w:rsidRDefault="009E5C0E" w:rsidP="009E5C0E">
      <w:pPr>
        <w:jc w:val="both"/>
        <w:rPr>
          <w:i/>
          <w:iCs/>
          <w:sz w:val="24"/>
          <w:szCs w:val="24"/>
          <w:lang w:eastAsia="es-ES_tradnl"/>
        </w:rPr>
      </w:pPr>
      <w:r w:rsidRPr="00AC1722">
        <w:rPr>
          <w:i/>
          <w:iCs/>
          <w:sz w:val="24"/>
          <w:szCs w:val="24"/>
          <w:lang w:eastAsia="es-ES_tradnl"/>
        </w:rPr>
        <w:t>Tomando en consideración las alegaciones efectuadas por el organismo reclamado, se constata, en primer lugar, que se cumple con la carga formal de justificar de forma expresa y detallada —como exige la jurisprudencia del Tribunal Supremo— la concurrencia de la causa de inadmisión que se invoca, siendo necesario analizar los motivos aducidos por el órgano competente para verificar si concurre el carácter abusivo del ejercicio del derecho y, por otro lado, si dicho carácter abusivo, además, supone una desviación de la finalidad de la ley. Debe recordarse, en este sentido, que este Consejo ha señalado en numerosas ocasiones que el criterio cuantitativo no resulta per se determinante del carácter abusivo de la solicitud; y ello porque el número de solicitudes presentadas por una misma persona no supone, necesariamente, una extralimitación en el ejercicio del derecho o la paralización de la actividad ordinaria que pretende evitarse con la previsión de la causa de inadmisión del artículo 18.1.e) LTAIBG. No obstante, si bien la reiteración en el ejercicio del derecho no constituye un elemento determinante de ese carácter abusivo, sí es un factor que debe tomarse en consideración. En efecto, las características de habitualidad e intensidad en el ejercicio del derecho unidas a otros factores (como, por ejemplo, los efectos negativos en la prestación de servicios públicos) puede comportar la constatación del carácter abusivo del ejercicio del derecho desde una perspectiva cualitativa. Esto es, las perspectivas cuantitativa y cualitativa deben analizarse de forma interrelacionada, pudiendo identificarse el carácter abusivo no exclusivamente de una única solicitud, sino de un conjunto de solicitudes.</w:t>
      </w:r>
    </w:p>
    <w:p w14:paraId="7A92DE86" w14:textId="77777777" w:rsidR="009E5C0E" w:rsidRPr="00AC1722" w:rsidRDefault="009E5C0E" w:rsidP="009E5C0E">
      <w:pPr>
        <w:jc w:val="both"/>
        <w:rPr>
          <w:sz w:val="24"/>
          <w:szCs w:val="24"/>
          <w:lang w:eastAsia="es-ES_tradnl"/>
        </w:rPr>
      </w:pPr>
    </w:p>
    <w:p w14:paraId="6F6FC691" w14:textId="2ADDD21D" w:rsidR="009E5C0E" w:rsidRPr="00AC1722" w:rsidRDefault="009E5C0E" w:rsidP="009E5C0E">
      <w:pPr>
        <w:jc w:val="both"/>
        <w:rPr>
          <w:sz w:val="24"/>
          <w:szCs w:val="24"/>
          <w:lang w:eastAsia="es-ES_tradnl"/>
        </w:rPr>
      </w:pPr>
      <w:r w:rsidRPr="00AC1722">
        <w:rPr>
          <w:sz w:val="24"/>
          <w:szCs w:val="24"/>
          <w:lang w:eastAsia="es-ES_tradnl"/>
        </w:rPr>
        <w:t xml:space="preserve">En definitiva, en el presente supuesto, teniendo en cuenta el conjunto de las circunstancias concurrentes, este Consejo Foral de Transparencia entiende procedente la inadmisión acordada por la resolución administrativa impugnada de la solicitud formulada por </w:t>
      </w:r>
      <w:r w:rsidR="009B0210">
        <w:rPr>
          <w:sz w:val="24"/>
          <w:szCs w:val="24"/>
          <w:lang w:eastAsia="es-ES_tradnl"/>
        </w:rPr>
        <w:t>la persona reclamante</w:t>
      </w:r>
      <w:r w:rsidRPr="00AC1722">
        <w:rPr>
          <w:sz w:val="24"/>
          <w:szCs w:val="24"/>
          <w:lang w:eastAsia="es-ES_tradnl"/>
        </w:rPr>
        <w:t xml:space="preserve"> ante la Dirección de Agricultura conforme a lo establecido en el artículo 18.1 e) de la Ley 19/2013, de 9 de diciembre, de transparencia, acceso a la información pública y buen gobierno, procediendo, en consecuencia, desestimar la reclamación formulada.</w:t>
      </w:r>
    </w:p>
    <w:p w14:paraId="2E21ADAD" w14:textId="77777777" w:rsidR="009E5C0E" w:rsidRPr="00AC1722" w:rsidRDefault="009E5C0E" w:rsidP="009E5C0E">
      <w:pPr>
        <w:jc w:val="both"/>
        <w:rPr>
          <w:sz w:val="24"/>
          <w:szCs w:val="24"/>
          <w:lang w:eastAsia="es-ES_tradnl"/>
        </w:rPr>
      </w:pPr>
    </w:p>
    <w:p w14:paraId="5D108935" w14:textId="77777777" w:rsidR="009E5C0E" w:rsidRPr="00AC1722" w:rsidRDefault="009E5C0E" w:rsidP="009E5C0E">
      <w:pPr>
        <w:jc w:val="both"/>
        <w:rPr>
          <w:sz w:val="24"/>
          <w:szCs w:val="24"/>
          <w:lang w:eastAsia="es-ES_tradnl"/>
        </w:rPr>
      </w:pPr>
      <w:r w:rsidRPr="00AC1722">
        <w:rPr>
          <w:sz w:val="24"/>
          <w:szCs w:val="24"/>
          <w:lang w:eastAsia="es-ES_tradnl"/>
        </w:rPr>
        <w:t>En virtud de todo ello, el Consejo Foral de Transparencia adopta, por unanimidad, la siguiente</w:t>
      </w:r>
    </w:p>
    <w:p w14:paraId="438E66C3" w14:textId="77777777" w:rsidR="009E5C0E" w:rsidRPr="00AC1722" w:rsidRDefault="009E5C0E" w:rsidP="006B70F5">
      <w:pPr>
        <w:rPr>
          <w:sz w:val="24"/>
          <w:szCs w:val="24"/>
          <w:lang w:eastAsia="es-ES_tradnl"/>
        </w:rPr>
      </w:pPr>
    </w:p>
    <w:p w14:paraId="49092EFD" w14:textId="77777777" w:rsidR="009E5C0E" w:rsidRPr="00AC1722" w:rsidRDefault="009E5C0E" w:rsidP="009E5C0E">
      <w:pPr>
        <w:jc w:val="center"/>
        <w:rPr>
          <w:b/>
          <w:bCs/>
          <w:sz w:val="24"/>
          <w:szCs w:val="24"/>
          <w:lang w:eastAsia="es-ES_tradnl"/>
        </w:rPr>
      </w:pPr>
      <w:r w:rsidRPr="00AC1722">
        <w:rPr>
          <w:b/>
          <w:bCs/>
          <w:sz w:val="24"/>
          <w:szCs w:val="24"/>
          <w:lang w:eastAsia="es-ES_tradnl"/>
        </w:rPr>
        <w:t>RESOLUCIÓN</w:t>
      </w:r>
    </w:p>
    <w:p w14:paraId="005C8C30" w14:textId="77777777" w:rsidR="009E5C0E" w:rsidRPr="00AC1722" w:rsidRDefault="009E5C0E" w:rsidP="009E5C0E">
      <w:pPr>
        <w:jc w:val="both"/>
        <w:rPr>
          <w:sz w:val="24"/>
          <w:szCs w:val="24"/>
          <w:lang w:val="es-ES_tradnl" w:eastAsia="es-ES_tradnl"/>
        </w:rPr>
      </w:pPr>
    </w:p>
    <w:p w14:paraId="797AAC9B" w14:textId="0C7A59F5" w:rsidR="009E5C0E" w:rsidRPr="00AC1722" w:rsidRDefault="009E5C0E" w:rsidP="009E5C0E">
      <w:pPr>
        <w:jc w:val="both"/>
        <w:rPr>
          <w:sz w:val="24"/>
          <w:szCs w:val="24"/>
          <w:lang w:eastAsia="es-ES_tradnl"/>
        </w:rPr>
      </w:pPr>
      <w:r w:rsidRPr="00AC1722">
        <w:rPr>
          <w:b/>
          <w:sz w:val="24"/>
          <w:szCs w:val="24"/>
          <w:lang w:val="es-ES_tradnl" w:eastAsia="es-ES_tradnl"/>
        </w:rPr>
        <w:t>Primero.</w:t>
      </w:r>
      <w:r w:rsidRPr="00AC1722">
        <w:rPr>
          <w:sz w:val="24"/>
          <w:szCs w:val="24"/>
          <w:lang w:val="es-ES_tradnl" w:eastAsia="es-ES_tradnl"/>
        </w:rPr>
        <w:t xml:space="preserve"> Desestimar la reclamación presentada por </w:t>
      </w:r>
      <w:r w:rsidR="000A217D" w:rsidRPr="000A217D">
        <w:rPr>
          <w:sz w:val="24"/>
          <w:szCs w:val="24"/>
          <w:highlight w:val="black"/>
          <w:lang w:eastAsia="es-ES_tradnl"/>
        </w:rPr>
        <w:t>XXXXX</w:t>
      </w:r>
      <w:r w:rsidRPr="00AC1722">
        <w:rPr>
          <w:sz w:val="24"/>
          <w:szCs w:val="24"/>
          <w:lang w:eastAsia="es-ES_tradnl"/>
        </w:rPr>
        <w:t xml:space="preserve"> frente a la Resolución 329/2026, de 26 de enero, de la Dirección de Agricultura.</w:t>
      </w:r>
    </w:p>
    <w:p w14:paraId="723CA5BA" w14:textId="77777777" w:rsidR="009E5C0E" w:rsidRPr="00AC1722" w:rsidRDefault="009E5C0E" w:rsidP="009E5C0E">
      <w:pPr>
        <w:jc w:val="both"/>
        <w:rPr>
          <w:sz w:val="24"/>
          <w:szCs w:val="24"/>
          <w:lang w:eastAsia="es-ES_tradnl"/>
        </w:rPr>
      </w:pPr>
    </w:p>
    <w:p w14:paraId="1BAEBCB2" w14:textId="77777777" w:rsidR="009E5C0E" w:rsidRPr="00AC1722" w:rsidRDefault="009E5C0E" w:rsidP="009E5C0E">
      <w:pPr>
        <w:jc w:val="both"/>
        <w:rPr>
          <w:sz w:val="24"/>
          <w:szCs w:val="24"/>
          <w:lang w:val="es-ES_tradnl" w:eastAsia="es-ES_tradnl"/>
        </w:rPr>
      </w:pPr>
      <w:r w:rsidRPr="00AC1722">
        <w:rPr>
          <w:b/>
          <w:sz w:val="24"/>
          <w:szCs w:val="24"/>
          <w:lang w:val="es-ES_tradnl" w:eastAsia="es-ES_tradnl"/>
        </w:rPr>
        <w:t>Segundo.</w:t>
      </w:r>
      <w:r w:rsidRPr="00AC1722">
        <w:rPr>
          <w:sz w:val="24"/>
          <w:szCs w:val="24"/>
          <w:lang w:val="es-ES_tradnl" w:eastAsia="es-ES_tradnl"/>
        </w:rPr>
        <w:t xml:space="preserve"> Contra la presente resolución, que pone fin a la vía administrativa, se podrá interponer recurso contencioso-administrativo ante la Sala de lo Contencioso Administrativo del Tribunal Superior de Justicia del País Vasco, </w:t>
      </w:r>
      <w:r w:rsidRPr="00AC1722">
        <w:rPr>
          <w:sz w:val="24"/>
          <w:szCs w:val="24"/>
          <w:lang w:eastAsia="es-ES_tradnl"/>
        </w:rPr>
        <w:t>en el plazo de dos meses contados a partir del día siguiente al de la notificación de esta resolución.</w:t>
      </w:r>
    </w:p>
    <w:p w14:paraId="6EB7574D" w14:textId="77777777" w:rsidR="00BD78C9" w:rsidRPr="009E5C0E" w:rsidRDefault="00BD78C9" w:rsidP="007672DC">
      <w:pPr>
        <w:jc w:val="both"/>
        <w:rPr>
          <w:color w:val="000000"/>
          <w:sz w:val="24"/>
          <w:szCs w:val="24"/>
          <w:lang w:val="es-ES_tradnl" w:eastAsia="es-ES_tradnl"/>
        </w:rPr>
      </w:pPr>
    </w:p>
    <w:sectPr w:rsidR="00BD78C9" w:rsidRPr="009E5C0E" w:rsidSect="00F46FB8">
      <w:headerReference w:type="even" r:id="rId12"/>
      <w:headerReference w:type="default" r:id="rId13"/>
      <w:footerReference w:type="even" r:id="rId14"/>
      <w:footerReference w:type="default" r:id="rId15"/>
      <w:headerReference w:type="first" r:id="rId16"/>
      <w:footerReference w:type="first" r:id="rId17"/>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4B3E" w14:textId="77777777" w:rsidR="00AB5ACC" w:rsidRDefault="00AB5ACC">
      <w:r>
        <w:separator/>
      </w:r>
    </w:p>
  </w:endnote>
  <w:endnote w:type="continuationSeparator" w:id="0">
    <w:p w14:paraId="666452F3" w14:textId="77777777" w:rsidR="00AB5ACC" w:rsidRDefault="00AB5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8104" w14:textId="77777777" w:rsidR="00A53A91" w:rsidRDefault="00A53A91" w:rsidP="00527768">
    <w:pPr>
      <w:pStyle w:val="Piedepgina"/>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B701" w14:textId="6DC865AD" w:rsidR="003B76C7" w:rsidRDefault="00C66A4D">
    <w:pPr>
      <w:pStyle w:val="Piedepgina"/>
    </w:pPr>
    <w:r>
      <w:tab/>
    </w:r>
    <w:r>
      <w:tab/>
    </w:r>
    <w:r w:rsidR="003B76C7">
      <w:fldChar w:fldCharType="begin"/>
    </w:r>
    <w:r w:rsidR="003B76C7">
      <w:instrText>PAGE   \* MERGEFORMAT</w:instrText>
    </w:r>
    <w:r w:rsidR="003B76C7">
      <w:fldChar w:fldCharType="separate"/>
    </w:r>
    <w:r w:rsidR="003B76C7">
      <w:rPr>
        <w:lang w:val="es-ES"/>
      </w:rPr>
      <w:t>1</w:t>
    </w:r>
    <w:r w:rsidR="003B76C7">
      <w:fldChar w:fldCharType="end"/>
    </w:r>
    <w:r w:rsidR="009C25BB">
      <w:t>/</w:t>
    </w:r>
    <w:r w:rsidR="006B70F5">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37C6" w14:textId="25BBB0BB"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CA82" w14:textId="77777777" w:rsidR="00AB5ACC" w:rsidRDefault="00AB5ACC">
      <w:r>
        <w:separator/>
      </w:r>
    </w:p>
  </w:footnote>
  <w:footnote w:type="continuationSeparator" w:id="0">
    <w:p w14:paraId="16DF88F6" w14:textId="77777777" w:rsidR="00AB5ACC" w:rsidRDefault="00AB5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2725FFFC" w14:textId="77777777" w:rsidTr="002234FA">
      <w:tc>
        <w:tcPr>
          <w:tcW w:w="6804" w:type="dxa"/>
        </w:tcPr>
        <w:p w14:paraId="5B949ACA"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53656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9425720" r:id="rId2"/>
            </w:object>
          </w:r>
        </w:p>
      </w:tc>
      <w:tc>
        <w:tcPr>
          <w:tcW w:w="3686" w:type="dxa"/>
        </w:tcPr>
        <w:p w14:paraId="6F0329A5"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7619F37"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7DA3BD0"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2EAA391" w14:textId="77777777" w:rsidTr="002234FA">
      <w:tc>
        <w:tcPr>
          <w:tcW w:w="6804" w:type="dxa"/>
        </w:tcPr>
        <w:p w14:paraId="43CFF659"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5818F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49425721" r:id="rId2"/>
            </w:object>
          </w:r>
        </w:p>
      </w:tc>
      <w:tc>
        <w:tcPr>
          <w:tcW w:w="3686" w:type="dxa"/>
        </w:tcPr>
        <w:p w14:paraId="1C2A990A"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293DCCE8"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3E91CFD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35752B95" w14:textId="77777777" w:rsidTr="00EA7E02">
      <w:tc>
        <w:tcPr>
          <w:tcW w:w="6804" w:type="dxa"/>
        </w:tcPr>
        <w:bookmarkStart w:id="1" w:name="_MON_1284444778"/>
        <w:bookmarkEnd w:id="1"/>
        <w:p w14:paraId="08F3EC2D"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067AA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849425722" r:id="rId2"/>
            </w:object>
          </w:r>
        </w:p>
      </w:tc>
      <w:tc>
        <w:tcPr>
          <w:tcW w:w="3686" w:type="dxa"/>
        </w:tcPr>
        <w:p w14:paraId="10B83D90"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071E6E2B"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6B15C34D"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8706DC"/>
    <w:multiLevelType w:val="hybridMultilevel"/>
    <w:tmpl w:val="6D2A4624"/>
    <w:lvl w:ilvl="0" w:tplc="94343B68">
      <w:start w:val="6"/>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5"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7"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9"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8EC2DBC"/>
    <w:multiLevelType w:val="hybridMultilevel"/>
    <w:tmpl w:val="6EF4E1B6"/>
    <w:lvl w:ilvl="0" w:tplc="34F634FE">
      <w:start w:val="4"/>
      <w:numFmt w:val="bullet"/>
      <w:lvlText w:val="-"/>
      <w:lvlJc w:val="left"/>
      <w:pPr>
        <w:ind w:left="927" w:hanging="360"/>
      </w:pPr>
      <w:rPr>
        <w:rFonts w:ascii="Times New Roman" w:eastAsia="Times New Roman" w:hAnsi="Times New Roman" w:cs="Times New Roman"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Courier New" w:hint="default"/>
      </w:rPr>
    </w:lvl>
    <w:lvl w:ilvl="5" w:tplc="0C0A0005">
      <w:start w:val="1"/>
      <w:numFmt w:val="bullet"/>
      <w:lvlText w:val=""/>
      <w:lvlJc w:val="left"/>
      <w:pPr>
        <w:ind w:left="4527" w:hanging="360"/>
      </w:pPr>
      <w:rPr>
        <w:rFonts w:ascii="Wingdings" w:hAnsi="Wingdings" w:hint="default"/>
      </w:rPr>
    </w:lvl>
    <w:lvl w:ilvl="6" w:tplc="0C0A0001">
      <w:start w:val="1"/>
      <w:numFmt w:val="bullet"/>
      <w:lvlText w:val=""/>
      <w:lvlJc w:val="left"/>
      <w:pPr>
        <w:ind w:left="5247" w:hanging="360"/>
      </w:pPr>
      <w:rPr>
        <w:rFonts w:ascii="Symbol" w:hAnsi="Symbol" w:hint="default"/>
      </w:rPr>
    </w:lvl>
    <w:lvl w:ilvl="7" w:tplc="0C0A0003">
      <w:start w:val="1"/>
      <w:numFmt w:val="bullet"/>
      <w:lvlText w:val="o"/>
      <w:lvlJc w:val="left"/>
      <w:pPr>
        <w:ind w:left="5967" w:hanging="360"/>
      </w:pPr>
      <w:rPr>
        <w:rFonts w:ascii="Courier New" w:hAnsi="Courier New" w:cs="Courier New" w:hint="default"/>
      </w:rPr>
    </w:lvl>
    <w:lvl w:ilvl="8" w:tplc="0C0A0005">
      <w:start w:val="1"/>
      <w:numFmt w:val="bullet"/>
      <w:lvlText w:val=""/>
      <w:lvlJc w:val="left"/>
      <w:pPr>
        <w:ind w:left="6687" w:hanging="360"/>
      </w:pPr>
      <w:rPr>
        <w:rFonts w:ascii="Wingdings" w:hAnsi="Wingdings" w:hint="default"/>
      </w:rPr>
    </w:lvl>
  </w:abstractNum>
  <w:abstractNum w:abstractNumId="16"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9"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2"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7"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9"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1"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2"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6"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7" w15:restartNumberingAfterBreak="0">
    <w:nsid w:val="58DE0EE8"/>
    <w:multiLevelType w:val="hybridMultilevel"/>
    <w:tmpl w:val="FC92F5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59D46774"/>
    <w:multiLevelType w:val="hybridMultilevel"/>
    <w:tmpl w:val="A3BCC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40"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1"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E63DE5"/>
    <w:multiLevelType w:val="hybridMultilevel"/>
    <w:tmpl w:val="86388176"/>
    <w:lvl w:ilvl="0" w:tplc="94343B68">
      <w:start w:val="6"/>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5"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6"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7"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37198485">
    <w:abstractNumId w:val="12"/>
  </w:num>
  <w:num w:numId="2" w16cid:durableId="1100370169">
    <w:abstractNumId w:val="13"/>
  </w:num>
  <w:num w:numId="3" w16cid:durableId="860246167">
    <w:abstractNumId w:val="21"/>
  </w:num>
  <w:num w:numId="4" w16cid:durableId="455559781">
    <w:abstractNumId w:val="47"/>
  </w:num>
  <w:num w:numId="5" w16cid:durableId="280185117">
    <w:abstractNumId w:val="17"/>
  </w:num>
  <w:num w:numId="6" w16cid:durableId="1367365109">
    <w:abstractNumId w:val="11"/>
  </w:num>
  <w:num w:numId="7" w16cid:durableId="454757246">
    <w:abstractNumId w:val="23"/>
  </w:num>
  <w:num w:numId="8" w16cid:durableId="30686746">
    <w:abstractNumId w:val="36"/>
  </w:num>
  <w:num w:numId="9" w16cid:durableId="1240870896">
    <w:abstractNumId w:val="46"/>
  </w:num>
  <w:num w:numId="10" w16cid:durableId="346759156">
    <w:abstractNumId w:val="31"/>
  </w:num>
  <w:num w:numId="11" w16cid:durableId="90781065">
    <w:abstractNumId w:val="10"/>
  </w:num>
  <w:num w:numId="12" w16cid:durableId="1740715357">
    <w:abstractNumId w:val="26"/>
  </w:num>
  <w:num w:numId="13" w16cid:durableId="2050183722">
    <w:abstractNumId w:val="30"/>
  </w:num>
  <w:num w:numId="14" w16cid:durableId="462384879">
    <w:abstractNumId w:val="33"/>
  </w:num>
  <w:num w:numId="15" w16cid:durableId="1249190692">
    <w:abstractNumId w:val="8"/>
  </w:num>
  <w:num w:numId="16" w16cid:durableId="2020155144">
    <w:abstractNumId w:val="45"/>
  </w:num>
  <w:num w:numId="17" w16cid:durableId="356396103">
    <w:abstractNumId w:val="40"/>
  </w:num>
  <w:num w:numId="18" w16cid:durableId="940333325">
    <w:abstractNumId w:val="14"/>
  </w:num>
  <w:num w:numId="19" w16cid:durableId="1544170825">
    <w:abstractNumId w:val="18"/>
  </w:num>
  <w:num w:numId="20" w16cid:durableId="807480807">
    <w:abstractNumId w:val="22"/>
  </w:num>
  <w:num w:numId="21" w16cid:durableId="1062019530">
    <w:abstractNumId w:val="27"/>
  </w:num>
  <w:num w:numId="22" w16cid:durableId="340478013">
    <w:abstractNumId w:val="44"/>
  </w:num>
  <w:num w:numId="23" w16cid:durableId="1471556397">
    <w:abstractNumId w:val="6"/>
  </w:num>
  <w:num w:numId="24" w16cid:durableId="569735869">
    <w:abstractNumId w:val="32"/>
  </w:num>
  <w:num w:numId="25" w16cid:durableId="2135588611">
    <w:abstractNumId w:val="35"/>
  </w:num>
  <w:num w:numId="26" w16cid:durableId="1659962030">
    <w:abstractNumId w:val="28"/>
  </w:num>
  <w:num w:numId="27" w16cid:durableId="558592249">
    <w:abstractNumId w:val="39"/>
  </w:num>
  <w:num w:numId="28" w16cid:durableId="165562434">
    <w:abstractNumId w:val="4"/>
  </w:num>
  <w:num w:numId="29" w16cid:durableId="226766286">
    <w:abstractNumId w:val="1"/>
  </w:num>
  <w:num w:numId="30" w16cid:durableId="2111968694">
    <w:abstractNumId w:val="20"/>
  </w:num>
  <w:num w:numId="31" w16cid:durableId="946816257">
    <w:abstractNumId w:val="9"/>
  </w:num>
  <w:num w:numId="32" w16cid:durableId="1168058144">
    <w:abstractNumId w:val="0"/>
  </w:num>
  <w:num w:numId="33" w16cid:durableId="193007175">
    <w:abstractNumId w:val="16"/>
  </w:num>
  <w:num w:numId="34" w16cid:durableId="1774937593">
    <w:abstractNumId w:val="19"/>
  </w:num>
  <w:num w:numId="35" w16cid:durableId="1455979280">
    <w:abstractNumId w:val="7"/>
  </w:num>
  <w:num w:numId="36" w16cid:durableId="751271019">
    <w:abstractNumId w:val="34"/>
  </w:num>
  <w:num w:numId="37" w16cid:durableId="919674880">
    <w:abstractNumId w:val="25"/>
  </w:num>
  <w:num w:numId="38" w16cid:durableId="1111705256">
    <w:abstractNumId w:val="29"/>
  </w:num>
  <w:num w:numId="39" w16cid:durableId="965769789">
    <w:abstractNumId w:val="24"/>
  </w:num>
  <w:num w:numId="40" w16cid:durableId="1336570152">
    <w:abstractNumId w:val="37"/>
  </w:num>
  <w:num w:numId="41" w16cid:durableId="1030373839">
    <w:abstractNumId w:val="5"/>
  </w:num>
  <w:num w:numId="42" w16cid:durableId="54162798">
    <w:abstractNumId w:val="41"/>
  </w:num>
  <w:num w:numId="43" w16cid:durableId="1035930691">
    <w:abstractNumId w:val="42"/>
  </w:num>
  <w:num w:numId="44" w16cid:durableId="70154481">
    <w:abstractNumId w:val="3"/>
  </w:num>
  <w:num w:numId="45" w16cid:durableId="933174401">
    <w:abstractNumId w:val="2"/>
  </w:num>
  <w:num w:numId="46" w16cid:durableId="1662998459">
    <w:abstractNumId w:val="15"/>
  </w:num>
  <w:num w:numId="47" w16cid:durableId="344210037">
    <w:abstractNumId w:val="43"/>
  </w:num>
  <w:num w:numId="48" w16cid:durableId="748575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3058017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582B"/>
    <w:rsid w:val="000169ED"/>
    <w:rsid w:val="000253AC"/>
    <w:rsid w:val="00025EF5"/>
    <w:rsid w:val="0004377A"/>
    <w:rsid w:val="000509FF"/>
    <w:rsid w:val="00055D17"/>
    <w:rsid w:val="00077036"/>
    <w:rsid w:val="00092084"/>
    <w:rsid w:val="000956AD"/>
    <w:rsid w:val="000A217D"/>
    <w:rsid w:val="000A5EE5"/>
    <w:rsid w:val="000B13FC"/>
    <w:rsid w:val="000C7EA1"/>
    <w:rsid w:val="000E09C1"/>
    <w:rsid w:val="000E7B68"/>
    <w:rsid w:val="000F76EF"/>
    <w:rsid w:val="000F7D4B"/>
    <w:rsid w:val="00104E57"/>
    <w:rsid w:val="0012314F"/>
    <w:rsid w:val="001237F8"/>
    <w:rsid w:val="00137B7E"/>
    <w:rsid w:val="00150233"/>
    <w:rsid w:val="00150566"/>
    <w:rsid w:val="00155E65"/>
    <w:rsid w:val="00164A33"/>
    <w:rsid w:val="00171A2A"/>
    <w:rsid w:val="001721A5"/>
    <w:rsid w:val="00182E18"/>
    <w:rsid w:val="001831F9"/>
    <w:rsid w:val="001A0C37"/>
    <w:rsid w:val="001A3875"/>
    <w:rsid w:val="001B2F39"/>
    <w:rsid w:val="001C0AC3"/>
    <w:rsid w:val="001C221F"/>
    <w:rsid w:val="001C3EE2"/>
    <w:rsid w:val="001D0FF6"/>
    <w:rsid w:val="001E4DD8"/>
    <w:rsid w:val="001E6454"/>
    <w:rsid w:val="001F7B1A"/>
    <w:rsid w:val="002006B3"/>
    <w:rsid w:val="0020070B"/>
    <w:rsid w:val="0021327E"/>
    <w:rsid w:val="00214599"/>
    <w:rsid w:val="0021727F"/>
    <w:rsid w:val="002226F1"/>
    <w:rsid w:val="00223D73"/>
    <w:rsid w:val="00225796"/>
    <w:rsid w:val="00225D9C"/>
    <w:rsid w:val="0025131D"/>
    <w:rsid w:val="002558F4"/>
    <w:rsid w:val="00260193"/>
    <w:rsid w:val="00261948"/>
    <w:rsid w:val="00261EF6"/>
    <w:rsid w:val="00263F53"/>
    <w:rsid w:val="00273ACB"/>
    <w:rsid w:val="002B4B8E"/>
    <w:rsid w:val="002B5429"/>
    <w:rsid w:val="002B7950"/>
    <w:rsid w:val="002D08E8"/>
    <w:rsid w:val="002D0911"/>
    <w:rsid w:val="002D1139"/>
    <w:rsid w:val="002D39E7"/>
    <w:rsid w:val="002F31BA"/>
    <w:rsid w:val="00304687"/>
    <w:rsid w:val="00314173"/>
    <w:rsid w:val="00323001"/>
    <w:rsid w:val="0032385E"/>
    <w:rsid w:val="00326E22"/>
    <w:rsid w:val="00326F72"/>
    <w:rsid w:val="00350448"/>
    <w:rsid w:val="003641D9"/>
    <w:rsid w:val="0036519B"/>
    <w:rsid w:val="00366B60"/>
    <w:rsid w:val="003678FE"/>
    <w:rsid w:val="00370B52"/>
    <w:rsid w:val="00373750"/>
    <w:rsid w:val="003862AD"/>
    <w:rsid w:val="00386DBF"/>
    <w:rsid w:val="0038783A"/>
    <w:rsid w:val="0039407B"/>
    <w:rsid w:val="003A15A6"/>
    <w:rsid w:val="003A4FAA"/>
    <w:rsid w:val="003B0CCE"/>
    <w:rsid w:val="003B27EB"/>
    <w:rsid w:val="003B4BE6"/>
    <w:rsid w:val="003B76C7"/>
    <w:rsid w:val="003C631E"/>
    <w:rsid w:val="003D1DC6"/>
    <w:rsid w:val="003E37BB"/>
    <w:rsid w:val="003F2D68"/>
    <w:rsid w:val="003F36B2"/>
    <w:rsid w:val="003F4A7C"/>
    <w:rsid w:val="00403B6D"/>
    <w:rsid w:val="0045288B"/>
    <w:rsid w:val="004568B7"/>
    <w:rsid w:val="00456ED5"/>
    <w:rsid w:val="0047585F"/>
    <w:rsid w:val="0047592A"/>
    <w:rsid w:val="00493B64"/>
    <w:rsid w:val="00494E1F"/>
    <w:rsid w:val="004A6AA3"/>
    <w:rsid w:val="004C54B4"/>
    <w:rsid w:val="004C5545"/>
    <w:rsid w:val="004D3FD4"/>
    <w:rsid w:val="004D421B"/>
    <w:rsid w:val="004D4FBB"/>
    <w:rsid w:val="004D5793"/>
    <w:rsid w:val="004F015B"/>
    <w:rsid w:val="004F1ED8"/>
    <w:rsid w:val="004F5399"/>
    <w:rsid w:val="00504C69"/>
    <w:rsid w:val="0051096E"/>
    <w:rsid w:val="005146B0"/>
    <w:rsid w:val="00515D72"/>
    <w:rsid w:val="00515EFF"/>
    <w:rsid w:val="005175FD"/>
    <w:rsid w:val="005207CA"/>
    <w:rsid w:val="00527768"/>
    <w:rsid w:val="00530B8A"/>
    <w:rsid w:val="00540751"/>
    <w:rsid w:val="00542FF9"/>
    <w:rsid w:val="005441B3"/>
    <w:rsid w:val="00547717"/>
    <w:rsid w:val="00551794"/>
    <w:rsid w:val="0055424B"/>
    <w:rsid w:val="00556FD4"/>
    <w:rsid w:val="00566490"/>
    <w:rsid w:val="005718D7"/>
    <w:rsid w:val="005725AF"/>
    <w:rsid w:val="00574D99"/>
    <w:rsid w:val="005805D1"/>
    <w:rsid w:val="00593DBC"/>
    <w:rsid w:val="00595355"/>
    <w:rsid w:val="005A1985"/>
    <w:rsid w:val="005A6234"/>
    <w:rsid w:val="005B28DE"/>
    <w:rsid w:val="005E21EE"/>
    <w:rsid w:val="005F4669"/>
    <w:rsid w:val="0062535A"/>
    <w:rsid w:val="00626128"/>
    <w:rsid w:val="00652C1B"/>
    <w:rsid w:val="006535C2"/>
    <w:rsid w:val="00653B9B"/>
    <w:rsid w:val="00660F6D"/>
    <w:rsid w:val="00667A3A"/>
    <w:rsid w:val="006741A9"/>
    <w:rsid w:val="00676EAD"/>
    <w:rsid w:val="00682140"/>
    <w:rsid w:val="006850F4"/>
    <w:rsid w:val="00691ADA"/>
    <w:rsid w:val="00692473"/>
    <w:rsid w:val="006A3C12"/>
    <w:rsid w:val="006B265C"/>
    <w:rsid w:val="006B70F5"/>
    <w:rsid w:val="006B7E64"/>
    <w:rsid w:val="006D2728"/>
    <w:rsid w:val="006D39FA"/>
    <w:rsid w:val="006D3F8E"/>
    <w:rsid w:val="006E1F6C"/>
    <w:rsid w:val="006E4143"/>
    <w:rsid w:val="006E765D"/>
    <w:rsid w:val="00703B9A"/>
    <w:rsid w:val="00705BB6"/>
    <w:rsid w:val="00716153"/>
    <w:rsid w:val="00740346"/>
    <w:rsid w:val="00740E1D"/>
    <w:rsid w:val="0074338A"/>
    <w:rsid w:val="00756329"/>
    <w:rsid w:val="00760F98"/>
    <w:rsid w:val="007672DC"/>
    <w:rsid w:val="007903D1"/>
    <w:rsid w:val="0079472B"/>
    <w:rsid w:val="00795DE1"/>
    <w:rsid w:val="007A13A5"/>
    <w:rsid w:val="007A35BB"/>
    <w:rsid w:val="007A3D99"/>
    <w:rsid w:val="007B61CD"/>
    <w:rsid w:val="007C4339"/>
    <w:rsid w:val="007E3CBC"/>
    <w:rsid w:val="00800527"/>
    <w:rsid w:val="00806859"/>
    <w:rsid w:val="00821BAD"/>
    <w:rsid w:val="0082309B"/>
    <w:rsid w:val="00833706"/>
    <w:rsid w:val="008369B9"/>
    <w:rsid w:val="00853643"/>
    <w:rsid w:val="0086736D"/>
    <w:rsid w:val="00876045"/>
    <w:rsid w:val="00886679"/>
    <w:rsid w:val="00886C73"/>
    <w:rsid w:val="00892420"/>
    <w:rsid w:val="00893189"/>
    <w:rsid w:val="008A544B"/>
    <w:rsid w:val="008A5CB6"/>
    <w:rsid w:val="008B3715"/>
    <w:rsid w:val="008C5699"/>
    <w:rsid w:val="008D0293"/>
    <w:rsid w:val="008D0A0D"/>
    <w:rsid w:val="008D42C6"/>
    <w:rsid w:val="008E6AFB"/>
    <w:rsid w:val="008F3372"/>
    <w:rsid w:val="008F3958"/>
    <w:rsid w:val="008F623B"/>
    <w:rsid w:val="008F7ADC"/>
    <w:rsid w:val="0090120D"/>
    <w:rsid w:val="00903823"/>
    <w:rsid w:val="00904C0E"/>
    <w:rsid w:val="00905BF2"/>
    <w:rsid w:val="00907745"/>
    <w:rsid w:val="00917B01"/>
    <w:rsid w:val="009229E8"/>
    <w:rsid w:val="00926FF0"/>
    <w:rsid w:val="009430E7"/>
    <w:rsid w:val="00950371"/>
    <w:rsid w:val="009503D6"/>
    <w:rsid w:val="009507F3"/>
    <w:rsid w:val="00950E0F"/>
    <w:rsid w:val="00966EA2"/>
    <w:rsid w:val="009732EF"/>
    <w:rsid w:val="00983A68"/>
    <w:rsid w:val="009A2A12"/>
    <w:rsid w:val="009A78C7"/>
    <w:rsid w:val="009B0210"/>
    <w:rsid w:val="009B3C26"/>
    <w:rsid w:val="009C25BB"/>
    <w:rsid w:val="009C49B3"/>
    <w:rsid w:val="009C7C14"/>
    <w:rsid w:val="009D4CE1"/>
    <w:rsid w:val="009E0A63"/>
    <w:rsid w:val="009E5C0E"/>
    <w:rsid w:val="009E6725"/>
    <w:rsid w:val="009F138B"/>
    <w:rsid w:val="009F1FC4"/>
    <w:rsid w:val="00A00173"/>
    <w:rsid w:val="00A024CB"/>
    <w:rsid w:val="00A0552F"/>
    <w:rsid w:val="00A1637B"/>
    <w:rsid w:val="00A211C7"/>
    <w:rsid w:val="00A2399C"/>
    <w:rsid w:val="00A23CF0"/>
    <w:rsid w:val="00A32666"/>
    <w:rsid w:val="00A465FD"/>
    <w:rsid w:val="00A46991"/>
    <w:rsid w:val="00A53A91"/>
    <w:rsid w:val="00A6067F"/>
    <w:rsid w:val="00A6350D"/>
    <w:rsid w:val="00A66E18"/>
    <w:rsid w:val="00A84247"/>
    <w:rsid w:val="00A877FB"/>
    <w:rsid w:val="00A949E5"/>
    <w:rsid w:val="00A956B8"/>
    <w:rsid w:val="00AA1A44"/>
    <w:rsid w:val="00AA2191"/>
    <w:rsid w:val="00AA4FAB"/>
    <w:rsid w:val="00AA776B"/>
    <w:rsid w:val="00AB4D74"/>
    <w:rsid w:val="00AB5ACC"/>
    <w:rsid w:val="00AC3A52"/>
    <w:rsid w:val="00AE26B0"/>
    <w:rsid w:val="00AF177F"/>
    <w:rsid w:val="00B200DF"/>
    <w:rsid w:val="00B356B9"/>
    <w:rsid w:val="00B37348"/>
    <w:rsid w:val="00B45527"/>
    <w:rsid w:val="00B45B3D"/>
    <w:rsid w:val="00B511B1"/>
    <w:rsid w:val="00B55176"/>
    <w:rsid w:val="00B57568"/>
    <w:rsid w:val="00B70724"/>
    <w:rsid w:val="00B7226F"/>
    <w:rsid w:val="00B84867"/>
    <w:rsid w:val="00B857B5"/>
    <w:rsid w:val="00BA119E"/>
    <w:rsid w:val="00BA52D7"/>
    <w:rsid w:val="00BA71A8"/>
    <w:rsid w:val="00BD594A"/>
    <w:rsid w:val="00BD78C9"/>
    <w:rsid w:val="00BE0AB8"/>
    <w:rsid w:val="00BF41F5"/>
    <w:rsid w:val="00BF474B"/>
    <w:rsid w:val="00BF4B5F"/>
    <w:rsid w:val="00BF684B"/>
    <w:rsid w:val="00C03BA3"/>
    <w:rsid w:val="00C310A8"/>
    <w:rsid w:val="00C32290"/>
    <w:rsid w:val="00C376D0"/>
    <w:rsid w:val="00C46602"/>
    <w:rsid w:val="00C66A4D"/>
    <w:rsid w:val="00C70708"/>
    <w:rsid w:val="00C76D51"/>
    <w:rsid w:val="00C82F02"/>
    <w:rsid w:val="00CD0944"/>
    <w:rsid w:val="00CD63E9"/>
    <w:rsid w:val="00CE6F22"/>
    <w:rsid w:val="00CE7129"/>
    <w:rsid w:val="00D040F3"/>
    <w:rsid w:val="00D050C5"/>
    <w:rsid w:val="00D069AC"/>
    <w:rsid w:val="00D21CFB"/>
    <w:rsid w:val="00D44C22"/>
    <w:rsid w:val="00D52D85"/>
    <w:rsid w:val="00D65B4E"/>
    <w:rsid w:val="00D82432"/>
    <w:rsid w:val="00DB2480"/>
    <w:rsid w:val="00DC4AB8"/>
    <w:rsid w:val="00DD1D3B"/>
    <w:rsid w:val="00DD48EF"/>
    <w:rsid w:val="00DE1E56"/>
    <w:rsid w:val="00DE38A1"/>
    <w:rsid w:val="00DF07F5"/>
    <w:rsid w:val="00E040FE"/>
    <w:rsid w:val="00E12CA9"/>
    <w:rsid w:val="00E20E57"/>
    <w:rsid w:val="00E24E38"/>
    <w:rsid w:val="00E35783"/>
    <w:rsid w:val="00E449D7"/>
    <w:rsid w:val="00E52BD9"/>
    <w:rsid w:val="00E57131"/>
    <w:rsid w:val="00E6164C"/>
    <w:rsid w:val="00E61E58"/>
    <w:rsid w:val="00E61EF4"/>
    <w:rsid w:val="00E65C29"/>
    <w:rsid w:val="00E6665D"/>
    <w:rsid w:val="00E67788"/>
    <w:rsid w:val="00E8028A"/>
    <w:rsid w:val="00E82F56"/>
    <w:rsid w:val="00E84222"/>
    <w:rsid w:val="00E8671F"/>
    <w:rsid w:val="00E92486"/>
    <w:rsid w:val="00EC6977"/>
    <w:rsid w:val="00ED2226"/>
    <w:rsid w:val="00ED65D5"/>
    <w:rsid w:val="00EE430F"/>
    <w:rsid w:val="00EE6984"/>
    <w:rsid w:val="00EF0F9B"/>
    <w:rsid w:val="00F00CB7"/>
    <w:rsid w:val="00F0558D"/>
    <w:rsid w:val="00F13674"/>
    <w:rsid w:val="00F1593E"/>
    <w:rsid w:val="00F171C1"/>
    <w:rsid w:val="00F2639D"/>
    <w:rsid w:val="00F35E0E"/>
    <w:rsid w:val="00F46FB8"/>
    <w:rsid w:val="00F54818"/>
    <w:rsid w:val="00F62817"/>
    <w:rsid w:val="00F62937"/>
    <w:rsid w:val="00F672EA"/>
    <w:rsid w:val="00F70120"/>
    <w:rsid w:val="00F739CF"/>
    <w:rsid w:val="00F8380C"/>
    <w:rsid w:val="00F84C7D"/>
    <w:rsid w:val="00F86699"/>
    <w:rsid w:val="00F9721E"/>
    <w:rsid w:val="00FB3FC9"/>
    <w:rsid w:val="00FC124D"/>
    <w:rsid w:val="00FC3687"/>
    <w:rsid w:val="00FC3ACD"/>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C4D5D"/>
  <w15:docId w15:val="{BDE1FD9B-8AA9-47A1-80F0-3C994AE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link w:val="EncabezadoCar"/>
    <w:uiPriority w:val="99"/>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paragraph" w:customStyle="1" w:styleId="Default">
    <w:name w:val="Default"/>
    <w:rsid w:val="00AE26B0"/>
    <w:pPr>
      <w:autoSpaceDE w:val="0"/>
      <w:autoSpaceDN w:val="0"/>
      <w:adjustRightInd w:val="0"/>
    </w:pPr>
    <w:rPr>
      <w:rFonts w:ascii="Arial Unicode MS" w:hAnsi="Arial Unicode MS" w:cs="Arial Unicode MS"/>
      <w:color w:val="000000"/>
      <w:sz w:val="24"/>
      <w:szCs w:val="24"/>
    </w:rPr>
  </w:style>
  <w:style w:type="character" w:customStyle="1" w:styleId="EncabezadoCar">
    <w:name w:val="Encabezado Car"/>
    <w:basedOn w:val="Fuentedeprrafopredeter"/>
    <w:link w:val="Encabezado"/>
    <w:uiPriority w:val="99"/>
    <w:rsid w:val="001A3875"/>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552081">
      <w:bodyDiv w:val="1"/>
      <w:marLeft w:val="0"/>
      <w:marRight w:val="0"/>
      <w:marTop w:val="0"/>
      <w:marBottom w:val="0"/>
      <w:divBdr>
        <w:top w:val="none" w:sz="0" w:space="0" w:color="auto"/>
        <w:left w:val="none" w:sz="0" w:space="0" w:color="auto"/>
        <w:bottom w:val="none" w:sz="0" w:space="0" w:color="auto"/>
        <w:right w:val="none" w:sz="0" w:space="0" w:color="auto"/>
      </w:divBdr>
    </w:div>
    <w:div w:id="463621193">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83332816">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55033439">
      <w:bodyDiv w:val="1"/>
      <w:marLeft w:val="0"/>
      <w:marRight w:val="0"/>
      <w:marTop w:val="0"/>
      <w:marBottom w:val="0"/>
      <w:divBdr>
        <w:top w:val="none" w:sz="0" w:space="0" w:color="auto"/>
        <w:left w:val="none" w:sz="0" w:space="0" w:color="auto"/>
        <w:bottom w:val="none" w:sz="0" w:space="0" w:color="auto"/>
        <w:right w:val="none" w:sz="0" w:space="0" w:color="auto"/>
      </w:divBdr>
    </w:div>
    <w:div w:id="165413591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leydigital.laleynext.es/Content/DocumentoRelacionado.aspx?idd=JU0007359495&amp;version=Vigent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leydigital.laleynext.es/Content/DocumentoRelacionado.aspx?idd=JU0006599507&amp;version=Vigent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aleydigital.laleynext.es/Content/DocumentoRelacionado.aspx?idd=JU0005966579&amp;version=Vigen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leydigital.laleynext.es/Content/DocumentoRelacionado.aspx?idd=JU0006900725&amp;version=Vigent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2D0-64D7-4A21-9361-409502E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144</TotalTime>
  <Pages>9</Pages>
  <Words>3650</Words>
  <Characters>20079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48</cp:revision>
  <cp:lastPrinted>2026-04-08T08:14:00Z</cp:lastPrinted>
  <dcterms:created xsi:type="dcterms:W3CDTF">2026-04-08T07:03:00Z</dcterms:created>
  <dcterms:modified xsi:type="dcterms:W3CDTF">2026-08-28T10:35:00Z</dcterms:modified>
</cp:coreProperties>
</file>