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085E5" w14:textId="77777777" w:rsidR="005D0328" w:rsidRPr="00506BFB" w:rsidRDefault="005D0328" w:rsidP="005D0328">
      <w:pPr>
        <w:spacing w:after="253" w:line="256" w:lineRule="auto"/>
        <w:ind w:left="-5" w:right="0"/>
        <w:rPr>
          <w:b/>
          <w:color w:val="000000" w:themeColor="text1"/>
          <w:sz w:val="24"/>
        </w:rPr>
      </w:pPr>
    </w:p>
    <w:p w14:paraId="77136982" w14:textId="685D2BED" w:rsidR="005D0328" w:rsidRPr="00506BFB" w:rsidRDefault="005D0328" w:rsidP="00873B24">
      <w:pPr>
        <w:spacing w:after="253" w:line="256" w:lineRule="auto"/>
        <w:ind w:right="0"/>
        <w:rPr>
          <w:b/>
          <w:caps/>
          <w:color w:val="000000" w:themeColor="text1"/>
          <w:sz w:val="24"/>
        </w:rPr>
      </w:pPr>
      <w:r w:rsidRPr="00506BFB">
        <w:rPr>
          <w:b/>
          <w:caps/>
          <w:color w:val="000000" w:themeColor="text1"/>
          <w:sz w:val="24"/>
        </w:rPr>
        <w:t xml:space="preserve">DICTAMEN </w:t>
      </w:r>
      <w:r w:rsidR="00884A82">
        <w:rPr>
          <w:b/>
          <w:caps/>
          <w:color w:val="000000" w:themeColor="text1"/>
          <w:sz w:val="24"/>
        </w:rPr>
        <w:t xml:space="preserve">sobre el </w:t>
      </w:r>
      <w:r w:rsidRPr="00506BFB">
        <w:rPr>
          <w:b/>
          <w:caps/>
          <w:color w:val="000000" w:themeColor="text1"/>
          <w:sz w:val="24"/>
        </w:rPr>
        <w:t>Proyecto de DECRETO FORAL que aprueba el Reglamento para la aplicación de LA NORMA FORAL DEL régimen fiscal de las entidades sin fines lucrativos e incentivos fiscales al mecenazgo</w:t>
      </w:r>
      <w:r w:rsidR="000017C7">
        <w:rPr>
          <w:b/>
          <w:caps/>
          <w:color w:val="000000" w:themeColor="text1"/>
          <w:sz w:val="24"/>
        </w:rPr>
        <w:t xml:space="preserve"> ( sesión 23-enero-2026)</w:t>
      </w:r>
    </w:p>
    <w:p w14:paraId="2EC4ABD3" w14:textId="2ED083DB" w:rsidR="00B55855" w:rsidRPr="00506BFB" w:rsidRDefault="009618FB" w:rsidP="00987684">
      <w:pPr>
        <w:spacing w:after="253" w:line="256" w:lineRule="auto"/>
        <w:ind w:left="0" w:right="0" w:firstLine="0"/>
        <w:rPr>
          <w:b/>
          <w:color w:val="000000" w:themeColor="text1"/>
          <w:sz w:val="24"/>
        </w:rPr>
      </w:pPr>
      <w:r>
        <w:rPr>
          <w:b/>
          <w:color w:val="000000" w:themeColor="text1"/>
          <w:sz w:val="24"/>
        </w:rPr>
        <w:t xml:space="preserve">I. </w:t>
      </w:r>
      <w:r w:rsidR="00B55855" w:rsidRPr="00506BFB">
        <w:rPr>
          <w:b/>
          <w:color w:val="000000" w:themeColor="text1"/>
          <w:sz w:val="24"/>
        </w:rPr>
        <w:t>OBJETO</w:t>
      </w:r>
    </w:p>
    <w:p w14:paraId="67AF6E26" w14:textId="3AB5ED40" w:rsidR="00DC1866" w:rsidRPr="00506BFB" w:rsidRDefault="00DC1866" w:rsidP="00987684">
      <w:pPr>
        <w:spacing w:after="253" w:line="256" w:lineRule="auto"/>
        <w:ind w:left="-5" w:right="0"/>
        <w:rPr>
          <w:b/>
          <w:color w:val="000000" w:themeColor="text1"/>
          <w:sz w:val="24"/>
        </w:rPr>
      </w:pPr>
      <w:r w:rsidRPr="00506BFB">
        <w:rPr>
          <w:color w:val="000000" w:themeColor="text1"/>
        </w:rPr>
        <w:t xml:space="preserve">El día 20 de junio de 2025 tuvo entrada en esta Comisión Consultiva solicitud de dictamen preceptivo sobre el </w:t>
      </w:r>
      <w:r w:rsidR="00C45796" w:rsidRPr="00506BFB">
        <w:rPr>
          <w:color w:val="000000" w:themeColor="text1"/>
        </w:rPr>
        <w:t xml:space="preserve">proyecto </w:t>
      </w:r>
      <w:bookmarkStart w:id="0" w:name="_Hlk207359812"/>
      <w:r w:rsidR="00C45796" w:rsidRPr="00506BFB">
        <w:rPr>
          <w:color w:val="000000" w:themeColor="text1"/>
        </w:rPr>
        <w:t xml:space="preserve">de Decreto Foral que aprueba el Reglamento para la aplicación de la Norma Foral del régimen fiscal de las entidades sin fines lucrativos e incentivos fiscales al mecenazgo </w:t>
      </w:r>
      <w:bookmarkEnd w:id="0"/>
      <w:r w:rsidR="00C45796" w:rsidRPr="00506BFB">
        <w:rPr>
          <w:color w:val="000000" w:themeColor="text1"/>
        </w:rPr>
        <w:t>por la Segunda teniente de Diputado General y Diputada Foral de Hacienda, Finanzas y Presupuestos-</w:t>
      </w:r>
      <w:r w:rsidR="00736EBF" w:rsidRPr="00506BFB">
        <w:rPr>
          <w:color w:val="000000" w:themeColor="text1"/>
        </w:rPr>
        <w:t>.</w:t>
      </w:r>
    </w:p>
    <w:p w14:paraId="1F36672D" w14:textId="4A4EF007" w:rsidR="002A28E7" w:rsidRPr="00506BFB" w:rsidRDefault="009618FB" w:rsidP="00873B24">
      <w:pPr>
        <w:spacing w:after="253" w:line="256" w:lineRule="auto"/>
        <w:ind w:left="0" w:right="0" w:firstLine="0"/>
        <w:rPr>
          <w:b/>
          <w:color w:val="000000" w:themeColor="text1"/>
          <w:sz w:val="24"/>
        </w:rPr>
      </w:pPr>
      <w:r>
        <w:rPr>
          <w:b/>
          <w:color w:val="000000" w:themeColor="text1"/>
          <w:sz w:val="24"/>
        </w:rPr>
        <w:t xml:space="preserve">II. </w:t>
      </w:r>
      <w:r w:rsidR="002A28E7" w:rsidRPr="00506BFB">
        <w:rPr>
          <w:b/>
          <w:color w:val="000000" w:themeColor="text1"/>
          <w:sz w:val="24"/>
        </w:rPr>
        <w:t xml:space="preserve">ANTECEDENTES DE HECHO </w:t>
      </w:r>
    </w:p>
    <w:p w14:paraId="3F4E7770" w14:textId="08210F07" w:rsidR="009B21C2" w:rsidRPr="00506BFB" w:rsidRDefault="009B21C2" w:rsidP="009B21C2">
      <w:pPr>
        <w:spacing w:after="325" w:line="249" w:lineRule="auto"/>
        <w:ind w:left="72" w:right="83"/>
        <w:rPr>
          <w:color w:val="000000" w:themeColor="text1"/>
          <w:sz w:val="24"/>
        </w:rPr>
      </w:pPr>
      <w:r w:rsidRPr="00506BFB">
        <w:rPr>
          <w:color w:val="000000" w:themeColor="text1"/>
          <w:sz w:val="24"/>
        </w:rPr>
        <w:t>El objetivo de la presente disposición normativa es desarrollar reglamentariamente la vigente Norma Foral 35/2021, de 23 de diciembre, de régimen fiscal de las entidades sin fines lucrativos e incentivos fiscales al mecenazgo, mediante la aprobación de un nuevo Reglamento para la aplicación del régimen fiscal de las entidades sin fines lucrativos y de los incentivos fiscales al mecenazgo.</w:t>
      </w:r>
    </w:p>
    <w:p w14:paraId="01B4F35C" w14:textId="49B57EE1" w:rsidR="009B21C2" w:rsidRPr="00506BFB" w:rsidRDefault="009B21C2" w:rsidP="009B21C2">
      <w:pPr>
        <w:spacing w:after="325" w:line="249" w:lineRule="auto"/>
        <w:ind w:left="72" w:right="83"/>
        <w:rPr>
          <w:color w:val="000000" w:themeColor="text1"/>
          <w:sz w:val="24"/>
        </w:rPr>
      </w:pPr>
      <w:r w:rsidRPr="00506BFB">
        <w:rPr>
          <w:color w:val="000000" w:themeColor="text1"/>
          <w:sz w:val="24"/>
        </w:rPr>
        <w:t>La citada Norma Foral 35/2021, de 23 de diciembre, derogó expresamente la Norma Foral 16/2004, de 12 de julio, de régimen fiscal de las entidades sin fines lucrativos y de los incentivos fiscales al mecenazgo.</w:t>
      </w:r>
    </w:p>
    <w:p w14:paraId="7F464936" w14:textId="048C023C" w:rsidR="009B21C2" w:rsidRPr="00506BFB" w:rsidRDefault="009B21C2" w:rsidP="009B21C2">
      <w:pPr>
        <w:spacing w:after="325" w:line="249" w:lineRule="auto"/>
        <w:ind w:left="72" w:right="83"/>
        <w:rPr>
          <w:color w:val="000000" w:themeColor="text1"/>
          <w:sz w:val="24"/>
        </w:rPr>
      </w:pPr>
      <w:r w:rsidRPr="00506BFB">
        <w:rPr>
          <w:color w:val="000000" w:themeColor="text1"/>
          <w:sz w:val="24"/>
        </w:rPr>
        <w:t>Por lo tanto, es necesario aprobar un nuevo Reglamento que se ajuste a la normativa actual.</w:t>
      </w:r>
    </w:p>
    <w:p w14:paraId="110186C7" w14:textId="42FC3B40" w:rsidR="00E943B1" w:rsidRPr="00506BFB" w:rsidRDefault="00800819" w:rsidP="00800819">
      <w:pPr>
        <w:spacing w:after="325" w:line="249" w:lineRule="auto"/>
        <w:ind w:left="72" w:right="83"/>
        <w:rPr>
          <w:color w:val="000000" w:themeColor="text1"/>
          <w:sz w:val="24"/>
        </w:rPr>
      </w:pPr>
      <w:r w:rsidRPr="00506BFB">
        <w:rPr>
          <w:color w:val="000000" w:themeColor="text1"/>
          <w:sz w:val="24"/>
        </w:rPr>
        <w:t xml:space="preserve">A la petición de dictamen se acompaña </w:t>
      </w:r>
      <w:r w:rsidR="00E943B1" w:rsidRPr="00506BFB">
        <w:rPr>
          <w:color w:val="000000" w:themeColor="text1"/>
          <w:sz w:val="24"/>
        </w:rPr>
        <w:t>la documentación que a continuación se detalla:</w:t>
      </w:r>
    </w:p>
    <w:p w14:paraId="266414F4" w14:textId="0F8FC9BB" w:rsidR="00E943B1" w:rsidRPr="00506BFB" w:rsidRDefault="00E943B1" w:rsidP="00E943B1">
      <w:pPr>
        <w:numPr>
          <w:ilvl w:val="0"/>
          <w:numId w:val="1"/>
        </w:numPr>
        <w:spacing w:after="29"/>
        <w:ind w:right="0" w:hanging="358"/>
        <w:rPr>
          <w:color w:val="000000" w:themeColor="text1"/>
        </w:rPr>
      </w:pPr>
      <w:r w:rsidRPr="00506BFB">
        <w:rPr>
          <w:color w:val="000000" w:themeColor="text1"/>
        </w:rPr>
        <w:t>Proyecto de Decreto Foral que aprueba el Reglamento para la aplicación de la Norma Foral del régimen fiscal de las entidades sin fines lucrativos e incentivos fiscales al mecenazgo</w:t>
      </w:r>
      <w:r w:rsidR="00D100E4" w:rsidRPr="00506BFB">
        <w:rPr>
          <w:color w:val="000000" w:themeColor="text1"/>
        </w:rPr>
        <w:t xml:space="preserve"> de 7 de julio de 2025</w:t>
      </w:r>
      <w:r w:rsidRPr="00506BFB">
        <w:rPr>
          <w:color w:val="000000" w:themeColor="text1"/>
        </w:rPr>
        <w:t>.</w:t>
      </w:r>
    </w:p>
    <w:p w14:paraId="158CFC45" w14:textId="0AC36E42" w:rsidR="00E943B1" w:rsidRPr="00506BFB" w:rsidRDefault="00574A58" w:rsidP="0025264D">
      <w:pPr>
        <w:numPr>
          <w:ilvl w:val="0"/>
          <w:numId w:val="1"/>
        </w:numPr>
        <w:spacing w:after="36"/>
        <w:ind w:right="0" w:hanging="358"/>
        <w:rPr>
          <w:color w:val="000000" w:themeColor="text1"/>
        </w:rPr>
      </w:pPr>
      <w:r w:rsidRPr="00506BFB">
        <w:rPr>
          <w:color w:val="000000" w:themeColor="text1"/>
        </w:rPr>
        <w:t xml:space="preserve">Trámite de verificación de la adecuación del procedimiento a la normativa aplicable en materia de igualdad de mujeres y hombres de </w:t>
      </w:r>
      <w:r w:rsidR="001B44E9" w:rsidRPr="00506BFB">
        <w:rPr>
          <w:color w:val="000000" w:themeColor="text1"/>
        </w:rPr>
        <w:t>1</w:t>
      </w:r>
      <w:r w:rsidR="00723824" w:rsidRPr="00506BFB">
        <w:rPr>
          <w:color w:val="000000" w:themeColor="text1"/>
        </w:rPr>
        <w:t>7</w:t>
      </w:r>
      <w:r w:rsidR="00E943B1" w:rsidRPr="00506BFB">
        <w:rPr>
          <w:color w:val="000000" w:themeColor="text1"/>
        </w:rPr>
        <w:t xml:space="preserve"> de </w:t>
      </w:r>
      <w:r w:rsidR="001B44E9" w:rsidRPr="00506BFB">
        <w:rPr>
          <w:color w:val="000000" w:themeColor="text1"/>
        </w:rPr>
        <w:t>junio</w:t>
      </w:r>
      <w:r w:rsidR="00E943B1" w:rsidRPr="00506BFB">
        <w:rPr>
          <w:color w:val="000000" w:themeColor="text1"/>
        </w:rPr>
        <w:t xml:space="preserve"> de 2025. </w:t>
      </w:r>
    </w:p>
    <w:p w14:paraId="5CB690FF" w14:textId="7583E9AD" w:rsidR="00E943B1" w:rsidRPr="00506BFB" w:rsidRDefault="00E943B1" w:rsidP="00E943B1">
      <w:pPr>
        <w:numPr>
          <w:ilvl w:val="0"/>
          <w:numId w:val="1"/>
        </w:numPr>
        <w:spacing w:after="31"/>
        <w:ind w:right="0" w:hanging="358"/>
        <w:rPr>
          <w:color w:val="000000" w:themeColor="text1"/>
        </w:rPr>
      </w:pPr>
      <w:r w:rsidRPr="00506BFB">
        <w:rPr>
          <w:color w:val="000000" w:themeColor="text1"/>
        </w:rPr>
        <w:t xml:space="preserve">Informe de impacto económico emitido por el </w:t>
      </w:r>
      <w:r w:rsidR="001B44E9" w:rsidRPr="00506BFB">
        <w:rPr>
          <w:color w:val="000000" w:themeColor="text1"/>
        </w:rPr>
        <w:t>Servicio de Gestión de Estudios Fiscales</w:t>
      </w:r>
      <w:r w:rsidRPr="00506BFB">
        <w:rPr>
          <w:color w:val="000000" w:themeColor="text1"/>
        </w:rPr>
        <w:t xml:space="preserve"> </w:t>
      </w:r>
      <w:r w:rsidR="00AD0757" w:rsidRPr="00506BFB">
        <w:rPr>
          <w:color w:val="000000" w:themeColor="text1"/>
        </w:rPr>
        <w:t xml:space="preserve">de </w:t>
      </w:r>
      <w:r w:rsidRPr="00506BFB">
        <w:rPr>
          <w:color w:val="000000" w:themeColor="text1"/>
        </w:rPr>
        <w:t>1</w:t>
      </w:r>
      <w:r w:rsidR="001B44E9" w:rsidRPr="00506BFB">
        <w:rPr>
          <w:color w:val="000000" w:themeColor="text1"/>
        </w:rPr>
        <w:t>6</w:t>
      </w:r>
      <w:r w:rsidRPr="00506BFB">
        <w:rPr>
          <w:color w:val="000000" w:themeColor="text1"/>
        </w:rPr>
        <w:t xml:space="preserve"> de </w:t>
      </w:r>
      <w:r w:rsidR="001B44E9" w:rsidRPr="00506BFB">
        <w:rPr>
          <w:color w:val="000000" w:themeColor="text1"/>
        </w:rPr>
        <w:t xml:space="preserve">junio </w:t>
      </w:r>
      <w:r w:rsidRPr="00506BFB">
        <w:rPr>
          <w:color w:val="000000" w:themeColor="text1"/>
        </w:rPr>
        <w:t>de 2025.</w:t>
      </w:r>
    </w:p>
    <w:p w14:paraId="62E56DBC" w14:textId="77777777" w:rsidR="00E943B1" w:rsidRPr="00506BFB" w:rsidRDefault="00E943B1" w:rsidP="00E943B1">
      <w:pPr>
        <w:numPr>
          <w:ilvl w:val="0"/>
          <w:numId w:val="1"/>
        </w:numPr>
        <w:spacing w:after="31"/>
        <w:ind w:right="0" w:hanging="358"/>
        <w:rPr>
          <w:color w:val="000000" w:themeColor="text1"/>
        </w:rPr>
      </w:pPr>
      <w:r w:rsidRPr="00506BFB">
        <w:rPr>
          <w:color w:val="000000" w:themeColor="text1"/>
        </w:rPr>
        <w:t>Correo electrónico de remisión para trámite de audiencia y respuesta recibida. 7.</w:t>
      </w:r>
      <w:r w:rsidRPr="00506BFB">
        <w:rPr>
          <w:rFonts w:ascii="Arial" w:eastAsia="Arial" w:hAnsi="Arial" w:cs="Arial"/>
          <w:color w:val="000000" w:themeColor="text1"/>
        </w:rPr>
        <w:t xml:space="preserve"> </w:t>
      </w:r>
      <w:r w:rsidRPr="00506BFB">
        <w:rPr>
          <w:color w:val="000000" w:themeColor="text1"/>
        </w:rPr>
        <w:t xml:space="preserve">Correo electrónico de remisión para la consulta pública previa y respuesta recibida. </w:t>
      </w:r>
    </w:p>
    <w:p w14:paraId="5A7C75C1" w14:textId="2F7E7652" w:rsidR="00D100E4" w:rsidRPr="00506BFB" w:rsidRDefault="00D100E4" w:rsidP="00E943B1">
      <w:pPr>
        <w:numPr>
          <w:ilvl w:val="0"/>
          <w:numId w:val="1"/>
        </w:numPr>
        <w:spacing w:after="31"/>
        <w:ind w:right="0" w:hanging="358"/>
        <w:rPr>
          <w:color w:val="000000" w:themeColor="text1"/>
        </w:rPr>
      </w:pPr>
      <w:r w:rsidRPr="00506BFB">
        <w:rPr>
          <w:color w:val="000000" w:themeColor="text1"/>
        </w:rPr>
        <w:t>Oficio de modificación de proyecto de 4 de julio de 2025.</w:t>
      </w:r>
    </w:p>
    <w:p w14:paraId="602C0BCC" w14:textId="55F2A65E" w:rsidR="00D100E4" w:rsidRPr="00506BFB" w:rsidRDefault="00D100E4" w:rsidP="00E943B1">
      <w:pPr>
        <w:numPr>
          <w:ilvl w:val="0"/>
          <w:numId w:val="1"/>
        </w:numPr>
        <w:spacing w:after="31"/>
        <w:ind w:right="0" w:hanging="358"/>
        <w:rPr>
          <w:color w:val="000000" w:themeColor="text1"/>
        </w:rPr>
      </w:pPr>
      <w:bookmarkStart w:id="1" w:name="_Hlk207181249"/>
      <w:r w:rsidRPr="00506BFB">
        <w:rPr>
          <w:color w:val="000000" w:themeColor="text1"/>
        </w:rPr>
        <w:lastRenderedPageBreak/>
        <w:t xml:space="preserve">Informe sobre omisión </w:t>
      </w:r>
      <w:bookmarkEnd w:id="1"/>
      <w:r w:rsidR="006A69B9" w:rsidRPr="00506BFB">
        <w:rPr>
          <w:color w:val="000000" w:themeColor="text1"/>
        </w:rPr>
        <w:t>d</w:t>
      </w:r>
      <w:r w:rsidRPr="00506BFB">
        <w:rPr>
          <w:color w:val="000000" w:themeColor="text1"/>
        </w:rPr>
        <w:t>e 4 de julio de 2025.</w:t>
      </w:r>
    </w:p>
    <w:p w14:paraId="797116B5" w14:textId="19EDA9BA" w:rsidR="0025264D" w:rsidRPr="00506BFB" w:rsidRDefault="0025264D" w:rsidP="00E943B1">
      <w:pPr>
        <w:numPr>
          <w:ilvl w:val="0"/>
          <w:numId w:val="1"/>
        </w:numPr>
        <w:spacing w:after="31"/>
        <w:ind w:right="0" w:hanging="358"/>
        <w:rPr>
          <w:color w:val="000000" w:themeColor="text1"/>
        </w:rPr>
      </w:pPr>
      <w:r w:rsidRPr="00506BFB">
        <w:rPr>
          <w:color w:val="000000" w:themeColor="text1"/>
        </w:rPr>
        <w:t>Comunicación de la Comisión Consultiva</w:t>
      </w:r>
      <w:r w:rsidR="00AD0757" w:rsidRPr="00506BFB">
        <w:rPr>
          <w:color w:val="000000" w:themeColor="text1"/>
        </w:rPr>
        <w:t xml:space="preserve"> de</w:t>
      </w:r>
      <w:r w:rsidRPr="00506BFB">
        <w:rPr>
          <w:color w:val="000000" w:themeColor="text1"/>
        </w:rPr>
        <w:t xml:space="preserve"> 7 de octubre de 2025.</w:t>
      </w:r>
    </w:p>
    <w:p w14:paraId="114440E8" w14:textId="60A876D9" w:rsidR="0025264D" w:rsidRPr="00506BFB" w:rsidRDefault="0025264D" w:rsidP="0025264D">
      <w:pPr>
        <w:numPr>
          <w:ilvl w:val="0"/>
          <w:numId w:val="1"/>
        </w:numPr>
        <w:spacing w:after="32"/>
        <w:ind w:right="0" w:hanging="358"/>
        <w:rPr>
          <w:color w:val="000000" w:themeColor="text1"/>
        </w:rPr>
      </w:pPr>
      <w:r w:rsidRPr="00506BFB">
        <w:rPr>
          <w:color w:val="000000" w:themeColor="text1"/>
        </w:rPr>
        <w:t xml:space="preserve">Informe de impacto normativo abreviado emitido por el Servicio de Normativa Tributaria </w:t>
      </w:r>
      <w:r w:rsidR="009C5E17" w:rsidRPr="00506BFB">
        <w:rPr>
          <w:color w:val="000000" w:themeColor="text1"/>
        </w:rPr>
        <w:t>de</w:t>
      </w:r>
      <w:r w:rsidRPr="00506BFB">
        <w:rPr>
          <w:color w:val="000000" w:themeColor="text1"/>
        </w:rPr>
        <w:t xml:space="preserve"> </w:t>
      </w:r>
      <w:r w:rsidR="00CA172A" w:rsidRPr="00506BFB">
        <w:rPr>
          <w:color w:val="000000" w:themeColor="text1"/>
        </w:rPr>
        <w:t>19</w:t>
      </w:r>
      <w:r w:rsidRPr="00506BFB">
        <w:rPr>
          <w:color w:val="000000" w:themeColor="text1"/>
        </w:rPr>
        <w:t xml:space="preserve"> de </w:t>
      </w:r>
      <w:r w:rsidR="00CA172A" w:rsidRPr="00506BFB">
        <w:rPr>
          <w:color w:val="000000" w:themeColor="text1"/>
        </w:rPr>
        <w:t>junio</w:t>
      </w:r>
      <w:r w:rsidRPr="00506BFB">
        <w:rPr>
          <w:color w:val="000000" w:themeColor="text1"/>
        </w:rPr>
        <w:t xml:space="preserve"> de 202</w:t>
      </w:r>
      <w:r w:rsidR="00CA172A" w:rsidRPr="00506BFB">
        <w:rPr>
          <w:color w:val="000000" w:themeColor="text1"/>
        </w:rPr>
        <w:t>5</w:t>
      </w:r>
      <w:r w:rsidRPr="00506BFB">
        <w:rPr>
          <w:color w:val="000000" w:themeColor="text1"/>
        </w:rPr>
        <w:t xml:space="preserve">. </w:t>
      </w:r>
    </w:p>
    <w:p w14:paraId="5B13D224" w14:textId="268E26CA" w:rsidR="00CA172A" w:rsidRPr="00506BFB" w:rsidRDefault="00CA172A" w:rsidP="00CA172A">
      <w:pPr>
        <w:numPr>
          <w:ilvl w:val="0"/>
          <w:numId w:val="1"/>
        </w:numPr>
        <w:spacing w:after="32"/>
        <w:ind w:right="0" w:hanging="358"/>
        <w:rPr>
          <w:color w:val="000000" w:themeColor="text1"/>
        </w:rPr>
      </w:pPr>
      <w:r w:rsidRPr="00506BFB">
        <w:rPr>
          <w:color w:val="000000" w:themeColor="text1"/>
        </w:rPr>
        <w:t xml:space="preserve">Informe de impacto normativo abreviado emitido por el Servicio de Normativa Tributaria </w:t>
      </w:r>
      <w:r w:rsidR="009C5E17" w:rsidRPr="00506BFB">
        <w:rPr>
          <w:color w:val="000000" w:themeColor="text1"/>
        </w:rPr>
        <w:t>de</w:t>
      </w:r>
      <w:r w:rsidRPr="00506BFB">
        <w:rPr>
          <w:color w:val="000000" w:themeColor="text1"/>
        </w:rPr>
        <w:t xml:space="preserve"> 20 de enero de 2026. </w:t>
      </w:r>
    </w:p>
    <w:p w14:paraId="71CF2239" w14:textId="56EC769D" w:rsidR="00CA172A" w:rsidRPr="00506BFB" w:rsidRDefault="00CA172A" w:rsidP="00CA172A">
      <w:pPr>
        <w:numPr>
          <w:ilvl w:val="0"/>
          <w:numId w:val="1"/>
        </w:numPr>
        <w:spacing w:after="29"/>
        <w:ind w:right="0" w:hanging="358"/>
        <w:rPr>
          <w:color w:val="000000" w:themeColor="text1"/>
        </w:rPr>
      </w:pPr>
      <w:r w:rsidRPr="00506BFB">
        <w:rPr>
          <w:color w:val="000000" w:themeColor="text1"/>
        </w:rPr>
        <w:t xml:space="preserve">Informe de impacto en función del género emitido por el Servicio de Normativa tributaria </w:t>
      </w:r>
      <w:r w:rsidR="009C5E17" w:rsidRPr="00506BFB">
        <w:rPr>
          <w:color w:val="000000" w:themeColor="text1"/>
        </w:rPr>
        <w:t>de</w:t>
      </w:r>
      <w:r w:rsidRPr="00506BFB">
        <w:rPr>
          <w:color w:val="000000" w:themeColor="text1"/>
        </w:rPr>
        <w:t xml:space="preserve"> 19 de junio de 2025. </w:t>
      </w:r>
    </w:p>
    <w:p w14:paraId="027AB92F" w14:textId="40CB6994" w:rsidR="0025264D" w:rsidRPr="00506BFB" w:rsidRDefault="0025264D" w:rsidP="0025264D">
      <w:pPr>
        <w:numPr>
          <w:ilvl w:val="0"/>
          <w:numId w:val="1"/>
        </w:numPr>
        <w:spacing w:after="29"/>
        <w:ind w:right="0" w:hanging="358"/>
        <w:rPr>
          <w:color w:val="000000" w:themeColor="text1"/>
        </w:rPr>
      </w:pPr>
      <w:r w:rsidRPr="00506BFB">
        <w:rPr>
          <w:color w:val="000000" w:themeColor="text1"/>
        </w:rPr>
        <w:t xml:space="preserve">Informe de impacto en función del género emitido por el Servicio de Normativa tributaria </w:t>
      </w:r>
      <w:r w:rsidR="009C5E17" w:rsidRPr="00506BFB">
        <w:rPr>
          <w:color w:val="000000" w:themeColor="text1"/>
        </w:rPr>
        <w:t>de</w:t>
      </w:r>
      <w:r w:rsidRPr="00506BFB">
        <w:rPr>
          <w:color w:val="000000" w:themeColor="text1"/>
        </w:rPr>
        <w:t xml:space="preserve"> 20 de enero de 2026. </w:t>
      </w:r>
    </w:p>
    <w:p w14:paraId="5F22B1AC" w14:textId="77777777" w:rsidR="0025264D" w:rsidRPr="00506BFB" w:rsidRDefault="0025264D" w:rsidP="0025264D">
      <w:pPr>
        <w:spacing w:after="31"/>
        <w:ind w:left="358" w:right="0" w:firstLine="0"/>
        <w:rPr>
          <w:color w:val="000000" w:themeColor="text1"/>
        </w:rPr>
      </w:pPr>
    </w:p>
    <w:p w14:paraId="4CA71EEC" w14:textId="522FBA04" w:rsidR="002A28E7" w:rsidRPr="00506BFB" w:rsidRDefault="00A63AA7" w:rsidP="00873B24">
      <w:pPr>
        <w:spacing w:after="333" w:line="259" w:lineRule="auto"/>
        <w:ind w:left="0" w:right="0" w:firstLine="0"/>
        <w:jc w:val="left"/>
        <w:rPr>
          <w:color w:val="000000" w:themeColor="text1"/>
        </w:rPr>
      </w:pPr>
      <w:r w:rsidRPr="00A63AA7">
        <w:rPr>
          <w:b/>
          <w:bCs/>
          <w:color w:val="000000" w:themeColor="text1"/>
          <w:sz w:val="24"/>
        </w:rPr>
        <w:t>III.</w:t>
      </w:r>
      <w:r w:rsidR="00E943B1" w:rsidRPr="00506BFB">
        <w:rPr>
          <w:color w:val="000000" w:themeColor="text1"/>
        </w:rPr>
        <w:t xml:space="preserve"> </w:t>
      </w:r>
      <w:r w:rsidR="002A28E7" w:rsidRPr="00506BFB">
        <w:rPr>
          <w:b/>
          <w:color w:val="000000" w:themeColor="text1"/>
          <w:sz w:val="24"/>
        </w:rPr>
        <w:t xml:space="preserve">CONSIDERACIONES JURÍDICAS </w:t>
      </w:r>
    </w:p>
    <w:p w14:paraId="425A1854" w14:textId="1344418E" w:rsidR="002A28E7" w:rsidRPr="00506BFB" w:rsidRDefault="008602A7" w:rsidP="00D5378C">
      <w:pPr>
        <w:spacing w:after="268" w:line="259" w:lineRule="auto"/>
        <w:ind w:left="-5" w:right="0"/>
        <w:rPr>
          <w:color w:val="000000" w:themeColor="text1"/>
        </w:rPr>
      </w:pPr>
      <w:r>
        <w:rPr>
          <w:b/>
          <w:color w:val="000000" w:themeColor="text1"/>
        </w:rPr>
        <w:t>i</w:t>
      </w:r>
      <w:r w:rsidR="00734CC9" w:rsidRPr="00506BFB">
        <w:rPr>
          <w:b/>
          <w:color w:val="000000" w:themeColor="text1"/>
        </w:rPr>
        <w:t>.-</w:t>
      </w:r>
      <w:r w:rsidR="002A28E7" w:rsidRPr="00506BFB">
        <w:rPr>
          <w:b/>
          <w:color w:val="000000" w:themeColor="text1"/>
        </w:rPr>
        <w:t xml:space="preserve"> </w:t>
      </w:r>
      <w:r w:rsidR="00734CC9" w:rsidRPr="00506BFB">
        <w:rPr>
          <w:b/>
          <w:color w:val="000000" w:themeColor="text1"/>
        </w:rPr>
        <w:t>COMPETENCIA DE LA COMISIÓN CONSULTIVA</w:t>
      </w:r>
      <w:r w:rsidR="0043792B" w:rsidRPr="00506BFB">
        <w:rPr>
          <w:b/>
          <w:color w:val="000000" w:themeColor="text1"/>
        </w:rPr>
        <w:t xml:space="preserve"> Y HABILITACIÓN</w:t>
      </w:r>
      <w:r w:rsidR="00D5378C" w:rsidRPr="00506BFB">
        <w:rPr>
          <w:b/>
          <w:color w:val="000000" w:themeColor="text1"/>
        </w:rPr>
        <w:t xml:space="preserve"> </w:t>
      </w:r>
      <w:r w:rsidR="0043792B" w:rsidRPr="00506BFB">
        <w:rPr>
          <w:b/>
          <w:color w:val="000000" w:themeColor="text1"/>
        </w:rPr>
        <w:t>NORMATIVA.</w:t>
      </w:r>
    </w:p>
    <w:p w14:paraId="4841E502" w14:textId="77777777" w:rsidR="00F72F78" w:rsidRPr="00506BFB" w:rsidRDefault="00F72F78" w:rsidP="00F72F78">
      <w:pPr>
        <w:spacing w:after="268" w:line="256" w:lineRule="auto"/>
        <w:ind w:left="-5" w:right="-6"/>
        <w:rPr>
          <w:color w:val="000000" w:themeColor="text1"/>
        </w:rPr>
      </w:pPr>
      <w:r w:rsidRPr="00506BFB">
        <w:rPr>
          <w:color w:val="000000" w:themeColor="text1"/>
        </w:rPr>
        <w:t xml:space="preserve">Títulos competenciales actuados por la norma reglamentaria en proyecto. </w:t>
      </w:r>
    </w:p>
    <w:p w14:paraId="22FB50E6" w14:textId="77777777" w:rsidR="00F72F78" w:rsidRPr="00506BFB" w:rsidRDefault="00F72F78" w:rsidP="00F72F78">
      <w:pPr>
        <w:spacing w:after="268" w:line="256" w:lineRule="auto"/>
        <w:ind w:left="-5" w:right="-6"/>
        <w:rPr>
          <w:color w:val="000000" w:themeColor="text1"/>
        </w:rPr>
      </w:pPr>
      <w:r w:rsidRPr="00506BFB">
        <w:rPr>
          <w:color w:val="000000" w:themeColor="text1"/>
        </w:rPr>
        <w:t xml:space="preserve">a) Competencia del Territorio Histórico de Álava: </w:t>
      </w:r>
    </w:p>
    <w:p w14:paraId="1E5B52DC" w14:textId="77777777" w:rsidR="00F72F78" w:rsidRPr="00506BFB" w:rsidRDefault="00F72F78" w:rsidP="00F72F78">
      <w:pPr>
        <w:spacing w:after="268" w:line="256" w:lineRule="auto"/>
        <w:ind w:left="-5" w:right="-6"/>
        <w:rPr>
          <w:color w:val="000000" w:themeColor="text1"/>
        </w:rPr>
      </w:pPr>
      <w:r w:rsidRPr="00506BFB">
        <w:rPr>
          <w:color w:val="000000" w:themeColor="text1"/>
        </w:rPr>
        <w:t xml:space="preserve">La Disposición Adicional Primera de la Constitución Española establece que: “La Constitución ampara y respeta los derechos históricos de los territorios forales. La actualización general de dicho régimen foral se llevará a cabo, en su caso, en el marco de la Constitución y de los Estatutos de Autonomía”. </w:t>
      </w:r>
    </w:p>
    <w:p w14:paraId="30868A74" w14:textId="77777777" w:rsidR="00F72F78" w:rsidRPr="00506BFB" w:rsidRDefault="00F72F78" w:rsidP="00F72F78">
      <w:pPr>
        <w:spacing w:after="268" w:line="256" w:lineRule="auto"/>
        <w:ind w:left="-5" w:right="-6"/>
        <w:rPr>
          <w:color w:val="000000" w:themeColor="text1"/>
        </w:rPr>
      </w:pPr>
      <w:r w:rsidRPr="00506BFB">
        <w:rPr>
          <w:color w:val="000000" w:themeColor="text1"/>
        </w:rPr>
        <w:t xml:space="preserve">A su vez, el Estatuto de Autonomía del País Vasco, en su artículo 41.2.a), señala que “las Instituciones competentes de los Territorios Históricos podrán mantener, establecer y regular, dentro de su territorio, el régimen tributario, atendiendo a la estructura general impositiva del Estado, a las normas que para la coordinación, armonización fiscal y colaboración con el Estado se contengan en el propio Concierto, y las que dicte el Parlamento Vasco para idénticas finalidades dentro de la Comunidad Autónoma”. </w:t>
      </w:r>
    </w:p>
    <w:p w14:paraId="347A5763" w14:textId="77777777" w:rsidR="00F72F78" w:rsidRPr="00506BFB" w:rsidRDefault="00F72F78" w:rsidP="00F72F78">
      <w:pPr>
        <w:spacing w:after="268" w:line="256" w:lineRule="auto"/>
        <w:ind w:left="-5" w:right="-6"/>
        <w:rPr>
          <w:color w:val="000000" w:themeColor="text1"/>
        </w:rPr>
      </w:pPr>
      <w:r w:rsidRPr="00506BFB">
        <w:rPr>
          <w:color w:val="000000" w:themeColor="text1"/>
        </w:rPr>
        <w:t xml:space="preserve">La Ley 12/2002, de 23 de mayo, por la que se aprueba el Concierto Económico con la Comunidad Autónoma del País Vasco, establece en su artículo 1 que las Instituciones competentes de los Territorios Históricos podrán mantener, establecer y regular, dentro de su territorio, su régimen tributario. </w:t>
      </w:r>
    </w:p>
    <w:p w14:paraId="5477433C" w14:textId="77777777" w:rsidR="00F72F78" w:rsidRPr="00506BFB" w:rsidRDefault="00F72F78" w:rsidP="00F72F78">
      <w:pPr>
        <w:spacing w:after="268" w:line="256" w:lineRule="auto"/>
        <w:ind w:left="-5" w:right="-6"/>
        <w:rPr>
          <w:color w:val="000000" w:themeColor="text1"/>
        </w:rPr>
      </w:pPr>
      <w:r w:rsidRPr="00506BFB">
        <w:rPr>
          <w:color w:val="000000" w:themeColor="text1"/>
        </w:rPr>
        <w:t xml:space="preserve">b) Competencia de la Diputación Foral de Álava: </w:t>
      </w:r>
    </w:p>
    <w:p w14:paraId="53D448DC" w14:textId="7E5B3F91" w:rsidR="00F72F78" w:rsidRPr="00506BFB" w:rsidRDefault="00F72F78" w:rsidP="00F72F78">
      <w:pPr>
        <w:spacing w:after="268" w:line="256" w:lineRule="auto"/>
        <w:ind w:left="-5" w:right="-6"/>
        <w:rPr>
          <w:color w:val="000000" w:themeColor="text1"/>
        </w:rPr>
      </w:pPr>
      <w:r w:rsidRPr="00506BFB">
        <w:rPr>
          <w:color w:val="000000" w:themeColor="text1"/>
        </w:rPr>
        <w:t>El artículo 15 de la Norma Foral de 7 de marzo de 1983, sobre organización institucional del Territorio Histórico de Álava, establece que corresponde a la Diputación Foral, como órgano colegiado, ejercitar la potestad reglamentaria con arreglo a la ley y ejercer la potestad normativa y de desarrollo normativo de conformidad con las leyes de la Comunidad Autónoma o del Estado, y en los supuestos de delegación por las Juntas Generales previstos en la normativa foral.</w:t>
      </w:r>
    </w:p>
    <w:p w14:paraId="525E9EC9" w14:textId="54016032" w:rsidR="00D5378C" w:rsidRPr="00506BFB" w:rsidRDefault="00F7163F" w:rsidP="002A28E7">
      <w:pPr>
        <w:spacing w:after="268" w:line="256" w:lineRule="auto"/>
        <w:ind w:left="-5" w:right="-6"/>
        <w:rPr>
          <w:color w:val="000000" w:themeColor="text1"/>
        </w:rPr>
      </w:pPr>
      <w:r w:rsidRPr="00506BFB">
        <w:rPr>
          <w:color w:val="000000" w:themeColor="text1"/>
        </w:rPr>
        <w:t>El artículo 4.1 de la Norma Foral General Tributaria de Álava atribuye a la Diputación Foral de Álava la potestad reglamentaria para el desarrollo de las normas tributarias, sin perjuicio de las facultades que corresponden a las Entidades Locales en relación con los tributos locales.</w:t>
      </w:r>
    </w:p>
    <w:p w14:paraId="62A86DD7" w14:textId="5DB6F384" w:rsidR="00BE442D" w:rsidRPr="00506BFB" w:rsidRDefault="00094D7B" w:rsidP="002A28E7">
      <w:pPr>
        <w:spacing w:after="268" w:line="256" w:lineRule="auto"/>
        <w:ind w:left="-5" w:right="-6"/>
        <w:rPr>
          <w:color w:val="000000" w:themeColor="text1"/>
        </w:rPr>
      </w:pPr>
      <w:r w:rsidRPr="00506BFB">
        <w:rPr>
          <w:color w:val="000000" w:themeColor="text1"/>
        </w:rPr>
        <w:lastRenderedPageBreak/>
        <w:t>Conforme al</w:t>
      </w:r>
      <w:r w:rsidR="00BE442D" w:rsidRPr="00506BFB">
        <w:rPr>
          <w:color w:val="000000" w:themeColor="text1"/>
        </w:rPr>
        <w:t xml:space="preserve"> artículo 7.2 de la Norma Foral 10/2023, de 15 de marzo, de Gobierno, Organización y Régimen Jurídico de la Diputación Foral de Álava, corresponde al Consejo de Gobierno Foral aprobar, mediante decretos forales, reglamentos de ejecución y desarrollo de las normas forales.</w:t>
      </w:r>
    </w:p>
    <w:p w14:paraId="557B12F0" w14:textId="79CAC39E" w:rsidR="002C42FA" w:rsidRPr="00506BFB" w:rsidRDefault="002C42FA" w:rsidP="002A28E7">
      <w:pPr>
        <w:spacing w:after="268" w:line="256" w:lineRule="auto"/>
        <w:ind w:left="-5" w:right="-6"/>
        <w:rPr>
          <w:color w:val="000000" w:themeColor="text1"/>
        </w:rPr>
      </w:pPr>
      <w:r w:rsidRPr="00506BFB">
        <w:rPr>
          <w:color w:val="000000" w:themeColor="text1"/>
        </w:rPr>
        <w:t>El art. 3.1 del Decreto Foral 40/1999, del Consejo de Gobierno Foral de 30 marzo, por el que se crea la Comisión Consultiva de la Administración Foral de Álava y se aprueba su Reglamento Orgánico, dispone que la  Comisión Consultiva emitirá dictamen preceptivo en relación a los proyectos de disposiciones reglamentarias que se dicten en ejecución de las Normas Forales que regulen materias de la competencia exclusiva o de desarrollo normativo del Territorio Histórico, o en ejecución de las Leyes de la Comunidad Autónoma en aquellas materias en que compete al Territorio Histórico el desarrollo reglamentario de las mismas.</w:t>
      </w:r>
    </w:p>
    <w:p w14:paraId="3B94D570" w14:textId="26AD1026" w:rsidR="00651815" w:rsidRPr="00506BFB" w:rsidRDefault="00651815" w:rsidP="002A28E7">
      <w:pPr>
        <w:spacing w:after="268" w:line="256" w:lineRule="auto"/>
        <w:ind w:left="-5" w:right="-6"/>
        <w:rPr>
          <w:color w:val="000000" w:themeColor="text1"/>
        </w:rPr>
      </w:pPr>
      <w:r w:rsidRPr="00506BFB">
        <w:rPr>
          <w:color w:val="000000" w:themeColor="text1"/>
        </w:rPr>
        <w:t>Por lo tanto, hay que concluir hay que concluir que, consistiendo el proyecto</w:t>
      </w:r>
      <w:r w:rsidR="00291F1A" w:rsidRPr="00506BFB">
        <w:rPr>
          <w:color w:val="000000" w:themeColor="text1"/>
        </w:rPr>
        <w:t xml:space="preserve"> de Decreto Foral que aprueba el Reglamento para la aplicación de la Norma Foral del régimen fiscal de las entidades sin fines lucrativos e incentivos fiscales al mecenazgo </w:t>
      </w:r>
      <w:r w:rsidRPr="00506BFB">
        <w:rPr>
          <w:color w:val="000000" w:themeColor="text1"/>
        </w:rPr>
        <w:t xml:space="preserve">de una materia sobre la que el Territorio Histórico de Álava ostenta la competencia </w:t>
      </w:r>
      <w:r w:rsidR="00291F1A" w:rsidRPr="00506BFB">
        <w:rPr>
          <w:color w:val="000000" w:themeColor="text1"/>
        </w:rPr>
        <w:t xml:space="preserve">exclusiva o </w:t>
      </w:r>
      <w:r w:rsidRPr="00506BFB">
        <w:rPr>
          <w:color w:val="000000" w:themeColor="text1"/>
        </w:rPr>
        <w:t>de  desarrollo  normativo</w:t>
      </w:r>
      <w:r w:rsidR="00291F1A" w:rsidRPr="00506BFB">
        <w:rPr>
          <w:color w:val="000000" w:themeColor="text1"/>
        </w:rPr>
        <w:t>,</w:t>
      </w:r>
      <w:r w:rsidRPr="00506BFB">
        <w:rPr>
          <w:color w:val="000000" w:themeColor="text1"/>
        </w:rPr>
        <w:t xml:space="preserve">  debe ser  objeto  del  preceptivo  dictamen de  esta  Comisión Consultiva, de conformidad con lo dispuesto en el artículo 3.1.b) del Decreto Foral 40/1999, de 30 de marzo, que crea la Comisión Consultiva de la Administración Foral de Álava y aprueba su Reglamento Orgánico.</w:t>
      </w:r>
    </w:p>
    <w:p w14:paraId="1E982433" w14:textId="55E20A9A" w:rsidR="008D25AB" w:rsidRPr="00506BFB" w:rsidRDefault="008602A7" w:rsidP="002A28E7">
      <w:pPr>
        <w:spacing w:after="314" w:line="259" w:lineRule="auto"/>
        <w:ind w:left="-5" w:right="0"/>
        <w:jc w:val="left"/>
        <w:rPr>
          <w:b/>
          <w:color w:val="000000" w:themeColor="text1"/>
        </w:rPr>
      </w:pPr>
      <w:r>
        <w:rPr>
          <w:b/>
          <w:color w:val="000000" w:themeColor="text1"/>
        </w:rPr>
        <w:t>ii</w:t>
      </w:r>
      <w:r w:rsidR="00094D7B" w:rsidRPr="00506BFB">
        <w:rPr>
          <w:b/>
          <w:color w:val="000000" w:themeColor="text1"/>
        </w:rPr>
        <w:t>.-PROCEDIMIENTO</w:t>
      </w:r>
      <w:r w:rsidR="0031240C">
        <w:rPr>
          <w:b/>
          <w:color w:val="000000" w:themeColor="text1"/>
        </w:rPr>
        <w:t>.</w:t>
      </w:r>
    </w:p>
    <w:p w14:paraId="1974FEA5" w14:textId="77777777" w:rsidR="002A28E7" w:rsidRPr="00506BFB" w:rsidRDefault="002A28E7" w:rsidP="002A28E7">
      <w:pPr>
        <w:numPr>
          <w:ilvl w:val="0"/>
          <w:numId w:val="2"/>
        </w:numPr>
        <w:spacing w:after="315" w:line="259" w:lineRule="auto"/>
        <w:ind w:right="0" w:hanging="251"/>
        <w:jc w:val="left"/>
        <w:rPr>
          <w:color w:val="000000" w:themeColor="text1"/>
        </w:rPr>
      </w:pPr>
      <w:r w:rsidRPr="00506BFB">
        <w:rPr>
          <w:b/>
          <w:color w:val="000000" w:themeColor="text1"/>
        </w:rPr>
        <w:t xml:space="preserve">Procedimiento de elaboración de disposiciones de carácter general. </w:t>
      </w:r>
    </w:p>
    <w:p w14:paraId="3859D0CB" w14:textId="77777777" w:rsidR="002A28E7" w:rsidRPr="00506BFB" w:rsidRDefault="002A28E7" w:rsidP="002A28E7">
      <w:pPr>
        <w:numPr>
          <w:ilvl w:val="0"/>
          <w:numId w:val="3"/>
        </w:numPr>
        <w:spacing w:after="268" w:line="259" w:lineRule="auto"/>
        <w:ind w:right="0" w:hanging="221"/>
        <w:jc w:val="left"/>
        <w:rPr>
          <w:color w:val="000000" w:themeColor="text1"/>
        </w:rPr>
      </w:pPr>
      <w:r w:rsidRPr="00506BFB">
        <w:rPr>
          <w:b/>
          <w:color w:val="000000" w:themeColor="text1"/>
        </w:rPr>
        <w:t xml:space="preserve">Normativa aplicable. </w:t>
      </w:r>
    </w:p>
    <w:p w14:paraId="68ABC5D9" w14:textId="0D81D801" w:rsidR="002A28E7" w:rsidRPr="00506BFB" w:rsidRDefault="002A28E7" w:rsidP="002A28E7">
      <w:pPr>
        <w:ind w:left="-5" w:right="0"/>
        <w:rPr>
          <w:color w:val="000000" w:themeColor="text1"/>
        </w:rPr>
      </w:pPr>
      <w:r w:rsidRPr="00506BFB">
        <w:rPr>
          <w:color w:val="000000" w:themeColor="text1"/>
        </w:rPr>
        <w:t>El Decreto Foral 6/2023, de 28 de febrero, del Consejo de Gobierno Foral aprueba el procedimiento de elaboración de disposiciones de carácter general de la Diputación Foral de Álava (BOTHA n.º 28, de 8 de marzo de 2023). Su disposición final señala que el mismo entrará en vigor al día siguiente de su publicación en BOTHA.</w:t>
      </w:r>
    </w:p>
    <w:p w14:paraId="20D20853" w14:textId="0D7E3F51" w:rsidR="002A28E7" w:rsidRPr="00506BFB" w:rsidRDefault="002A28E7" w:rsidP="002A28E7">
      <w:pPr>
        <w:spacing w:after="313"/>
        <w:ind w:left="-5" w:right="0"/>
        <w:rPr>
          <w:color w:val="000000" w:themeColor="text1"/>
        </w:rPr>
      </w:pPr>
      <w:r w:rsidRPr="00506BFB">
        <w:rPr>
          <w:color w:val="000000" w:themeColor="text1"/>
        </w:rPr>
        <w:t xml:space="preserve">El procedimiento de elaboración del proyecto sometido a dictamen se inició   </w:t>
      </w:r>
      <w:r w:rsidR="00736EBF" w:rsidRPr="00506BFB">
        <w:rPr>
          <w:color w:val="000000" w:themeColor="text1"/>
        </w:rPr>
        <w:t>mediante la Orden Foral 309/2025 de 28 de mayo, por la Segunda teniente de Diputado General y Diputada Foral de Hacienda, Finanzas y Presupuestos.</w:t>
      </w:r>
    </w:p>
    <w:p w14:paraId="3496209C" w14:textId="77777777" w:rsidR="002A28E7" w:rsidRPr="00506BFB" w:rsidRDefault="002A28E7" w:rsidP="002A28E7">
      <w:pPr>
        <w:numPr>
          <w:ilvl w:val="0"/>
          <w:numId w:val="3"/>
        </w:numPr>
        <w:spacing w:after="268" w:line="259" w:lineRule="auto"/>
        <w:ind w:right="0" w:hanging="221"/>
        <w:jc w:val="left"/>
        <w:rPr>
          <w:color w:val="000000" w:themeColor="text1"/>
        </w:rPr>
      </w:pPr>
      <w:r w:rsidRPr="00506BFB">
        <w:rPr>
          <w:b/>
          <w:color w:val="000000" w:themeColor="text1"/>
        </w:rPr>
        <w:t xml:space="preserve">Plan anual normativo. </w:t>
      </w:r>
    </w:p>
    <w:p w14:paraId="7E6DCCF2" w14:textId="2F5B27E1" w:rsidR="002A28E7" w:rsidRPr="00506BFB" w:rsidRDefault="002A28E7" w:rsidP="002A28E7">
      <w:pPr>
        <w:ind w:left="-5" w:right="0"/>
        <w:rPr>
          <w:color w:val="000000" w:themeColor="text1"/>
        </w:rPr>
      </w:pPr>
      <w:r w:rsidRPr="00506BFB">
        <w:rPr>
          <w:color w:val="000000" w:themeColor="text1"/>
        </w:rPr>
        <w:t>Dispone el artículo 4 del Decreto Foral 6/2023 que, en el último trimestre de cada año, la Diputación Foral de Álava aprobará un Plan Anual Normativo que incluirá las iniciativas normativas que tenga previsto proponer para su aprobación durante el ejercicio anual siguiente. En caso de que se promueva, por el órgano competente, una propuesta normativa que no figure en el Plan Anual Normativo, se deberá justificar la urgencia o la necesidad de tal regulación en la resolución de incoación del procedimiento de elaboración de la disposición.</w:t>
      </w:r>
    </w:p>
    <w:p w14:paraId="436B6565" w14:textId="05FB2244" w:rsidR="005C214E" w:rsidRPr="00506BFB" w:rsidRDefault="002A28E7" w:rsidP="00EA58A3">
      <w:pPr>
        <w:spacing w:after="315"/>
        <w:ind w:left="-5" w:right="0"/>
        <w:rPr>
          <w:color w:val="000000" w:themeColor="text1"/>
        </w:rPr>
      </w:pPr>
      <w:r w:rsidRPr="00506BFB">
        <w:rPr>
          <w:color w:val="000000" w:themeColor="text1"/>
        </w:rPr>
        <w:t>Revisado el Plan Anual Normativo del año 202</w:t>
      </w:r>
      <w:r w:rsidR="001A6CF8" w:rsidRPr="00506BFB">
        <w:rPr>
          <w:color w:val="000000" w:themeColor="text1"/>
        </w:rPr>
        <w:t xml:space="preserve">5 </w:t>
      </w:r>
      <w:r w:rsidRPr="00506BFB">
        <w:rPr>
          <w:color w:val="000000" w:themeColor="text1"/>
        </w:rPr>
        <w:t>se constata que la presente iniciativa normativa no está prevista en dicho Plan</w:t>
      </w:r>
      <w:r w:rsidR="000D2ECC" w:rsidRPr="00506BFB">
        <w:rPr>
          <w:color w:val="000000" w:themeColor="text1"/>
        </w:rPr>
        <w:t xml:space="preserve"> pero,  tal y como se indica en la Orden Foral 309/2025, de 28 de mayo, de la Diputada Foral de Hacienda, Finanzas y Presupuestos, por la que se incoa el procedimiento de elaboración del decreto proyectado, es necesaria su tramitación para proceder, a desarrollar reglamentariamente la vigente Norma Foral 35/2021, de 23 de diciembre, de régimen </w:t>
      </w:r>
      <w:r w:rsidR="000D2ECC" w:rsidRPr="00506BFB">
        <w:rPr>
          <w:color w:val="000000" w:themeColor="text1"/>
        </w:rPr>
        <w:lastRenderedPageBreak/>
        <w:t>fiscal de las entidades sin fines lucrativos e incentivos fiscales al mecenazgo ya que el Reglamento hasta ahora vigente desarrolla una Norma Foral de mecenazgo que ya no está vigente.</w:t>
      </w:r>
    </w:p>
    <w:p w14:paraId="535BF698" w14:textId="79189FCF" w:rsidR="002A28E7" w:rsidRPr="00506BFB" w:rsidRDefault="00B47F5C" w:rsidP="0031240C">
      <w:pPr>
        <w:spacing w:after="315"/>
        <w:ind w:left="0" w:right="0" w:firstLine="0"/>
        <w:rPr>
          <w:color w:val="000000" w:themeColor="text1"/>
        </w:rPr>
      </w:pPr>
      <w:r w:rsidRPr="00506BFB">
        <w:rPr>
          <w:b/>
          <w:color w:val="000000" w:themeColor="text1"/>
        </w:rPr>
        <w:t xml:space="preserve">3. </w:t>
      </w:r>
      <w:r w:rsidR="002A28E7" w:rsidRPr="00506BFB">
        <w:rPr>
          <w:b/>
          <w:color w:val="000000" w:themeColor="text1"/>
        </w:rPr>
        <w:t xml:space="preserve">Principios de buena regulación. </w:t>
      </w:r>
    </w:p>
    <w:p w14:paraId="0A100355" w14:textId="1677318F" w:rsidR="002A28E7" w:rsidRPr="00506BFB" w:rsidRDefault="002A28E7" w:rsidP="002A28E7">
      <w:pPr>
        <w:spacing w:after="317"/>
        <w:ind w:left="-5" w:right="0"/>
        <w:rPr>
          <w:color w:val="000000" w:themeColor="text1"/>
        </w:rPr>
      </w:pPr>
      <w:r w:rsidRPr="00506BFB">
        <w:rPr>
          <w:color w:val="000000" w:themeColor="text1"/>
        </w:rPr>
        <w:t xml:space="preserve">El preámbulo del proyecto justifica su adecuación a los principios de buena regulación regulados en el artículo 129 de la Ley 39/2015, de 1 de octubre, de Procedimiento Administrativo Común de las Administraciones Públicas (en adelante, LPACAP), y en el artículo 3 del Decreto Foral 6/2023, de 28 de febrero, del Consejo de Gobierno Foral, que aprueba el procedimiento de elaboración de disposiciones de carácter general de la Diputación Foral de Álava.  </w:t>
      </w:r>
    </w:p>
    <w:p w14:paraId="3C089C4B" w14:textId="3B8A4486" w:rsidR="00C106FC" w:rsidRPr="00506BFB" w:rsidRDefault="00C106FC" w:rsidP="002A28E7">
      <w:pPr>
        <w:spacing w:after="317"/>
        <w:ind w:left="-5" w:right="0"/>
        <w:rPr>
          <w:color w:val="000000" w:themeColor="text1"/>
        </w:rPr>
      </w:pPr>
      <w:r w:rsidRPr="00506BFB">
        <w:rPr>
          <w:color w:val="000000" w:themeColor="text1"/>
        </w:rPr>
        <w:t xml:space="preserve">Así, en lo que se refiere a los principios de necesidad y eficacia, se trata de una norma necesaria para el desarrollo reglamentario de la Norma Foral 35/2021, de 23 de diciembre, de régimen fiscal de las entidades sin fines lucrativos e incentivos fiscales al mecenazgo. De acuerdo con el principio de proporcionalidad, contiene la regulación imprescindible para el objetivo señalado, al no existir ninguna alternativa regulatoria menos restrictiva de derechos. Conforme a los principios de seguridad jurídica y eficiencia, resulta coherente con el ordenamiento jurídico y permite una gestión más eficiente de los recursos públicos. Cumple también con el principio de transparencia, ya que identifica claramente su propósito, y durante el procedimiento de elaboración de la norma se ha permitido la participación activa de las potenciales destinatarias y destinatarios a través del trámite de audiencia e información pública. </w:t>
      </w:r>
    </w:p>
    <w:p w14:paraId="235C8CC0" w14:textId="715D2396" w:rsidR="002A28E7" w:rsidRPr="00506BFB" w:rsidRDefault="00B47F5C" w:rsidP="00B47F5C">
      <w:pPr>
        <w:spacing w:after="268" w:line="259" w:lineRule="auto"/>
        <w:ind w:right="0"/>
        <w:jc w:val="left"/>
        <w:rPr>
          <w:color w:val="000000" w:themeColor="text1"/>
        </w:rPr>
      </w:pPr>
      <w:r w:rsidRPr="00506BFB">
        <w:rPr>
          <w:b/>
          <w:color w:val="000000" w:themeColor="text1"/>
        </w:rPr>
        <w:t xml:space="preserve">4. </w:t>
      </w:r>
      <w:r w:rsidR="002A28E7" w:rsidRPr="00506BFB">
        <w:rPr>
          <w:b/>
          <w:color w:val="000000" w:themeColor="text1"/>
        </w:rPr>
        <w:t xml:space="preserve">Informes y trámites preceptivos. </w:t>
      </w:r>
    </w:p>
    <w:p w14:paraId="3090766C" w14:textId="5715BCBA" w:rsidR="002A28E7" w:rsidRPr="00506BFB" w:rsidRDefault="002A28E7" w:rsidP="002A28E7">
      <w:pPr>
        <w:ind w:left="-5" w:right="0"/>
        <w:rPr>
          <w:color w:val="000000" w:themeColor="text1"/>
        </w:rPr>
      </w:pPr>
      <w:r w:rsidRPr="00506BFB">
        <w:rPr>
          <w:color w:val="000000" w:themeColor="text1"/>
        </w:rPr>
        <w:t>Figura en el expediente el informe de impacto normativo abreviado, el informe de impacto en función del género</w:t>
      </w:r>
      <w:r w:rsidR="008D25AB" w:rsidRPr="00506BFB">
        <w:rPr>
          <w:color w:val="000000" w:themeColor="text1"/>
        </w:rPr>
        <w:t xml:space="preserve"> y el informe sobre omisión</w:t>
      </w:r>
      <w:r w:rsidRPr="00506BFB">
        <w:rPr>
          <w:color w:val="000000" w:themeColor="text1"/>
        </w:rPr>
        <w:t xml:space="preserve">, emitidos por el Servicio de Normativa Tributaria y el informe de observaciones favorable que emite el Servicio de Igualdad, trámites previstos en los artículos 7 y 8 del Decreto Foral 6/2023. </w:t>
      </w:r>
    </w:p>
    <w:p w14:paraId="311BCA74" w14:textId="7073CE59" w:rsidR="002A28E7" w:rsidRPr="00506BFB" w:rsidRDefault="00B47F5C" w:rsidP="00B47F5C">
      <w:pPr>
        <w:spacing w:after="268" w:line="259" w:lineRule="auto"/>
        <w:ind w:right="0"/>
        <w:jc w:val="left"/>
        <w:rPr>
          <w:color w:val="000000" w:themeColor="text1"/>
        </w:rPr>
      </w:pPr>
      <w:r w:rsidRPr="00506BFB">
        <w:rPr>
          <w:b/>
          <w:color w:val="000000" w:themeColor="text1"/>
        </w:rPr>
        <w:t xml:space="preserve">5. </w:t>
      </w:r>
      <w:r w:rsidR="002A28E7" w:rsidRPr="00506BFB">
        <w:rPr>
          <w:b/>
          <w:color w:val="000000" w:themeColor="text1"/>
        </w:rPr>
        <w:t xml:space="preserve">Consulta pública previa y trámite de audiencia e información pública. </w:t>
      </w:r>
    </w:p>
    <w:p w14:paraId="123286FB" w14:textId="77F60B2D" w:rsidR="002A28E7" w:rsidRPr="00506BFB" w:rsidRDefault="00F14E8C" w:rsidP="002A28E7">
      <w:pPr>
        <w:spacing w:after="315"/>
        <w:ind w:left="-5" w:right="0"/>
        <w:rPr>
          <w:color w:val="000000" w:themeColor="text1"/>
        </w:rPr>
      </w:pPr>
      <w:r w:rsidRPr="00506BFB">
        <w:rPr>
          <w:color w:val="000000" w:themeColor="text1"/>
        </w:rPr>
        <w:t>La Orden Foral 309</w:t>
      </w:r>
      <w:r w:rsidR="000B13A1" w:rsidRPr="00506BFB">
        <w:rPr>
          <w:color w:val="000000" w:themeColor="text1"/>
        </w:rPr>
        <w:t>/2025</w:t>
      </w:r>
      <w:r w:rsidR="002A28E7" w:rsidRPr="00506BFB">
        <w:rPr>
          <w:color w:val="000000" w:themeColor="text1"/>
        </w:rPr>
        <w:t xml:space="preserve">, de </w:t>
      </w:r>
      <w:r w:rsidRPr="00506BFB">
        <w:rPr>
          <w:color w:val="000000" w:themeColor="text1"/>
        </w:rPr>
        <w:t>28 de mayo</w:t>
      </w:r>
      <w:r w:rsidR="002A28E7" w:rsidRPr="00506BFB">
        <w:rPr>
          <w:color w:val="000000" w:themeColor="text1"/>
        </w:rPr>
        <w:t>, de iniciación del procedimiento, en su parte expositiva, así como el informe de impacto normativo, de 1</w:t>
      </w:r>
      <w:r w:rsidR="00297675" w:rsidRPr="00506BFB">
        <w:rPr>
          <w:color w:val="000000" w:themeColor="text1"/>
        </w:rPr>
        <w:t>9</w:t>
      </w:r>
      <w:r w:rsidR="002A28E7" w:rsidRPr="00506BFB">
        <w:rPr>
          <w:color w:val="000000" w:themeColor="text1"/>
        </w:rPr>
        <w:t xml:space="preserve"> de </w:t>
      </w:r>
      <w:r w:rsidR="00297675" w:rsidRPr="00506BFB">
        <w:rPr>
          <w:color w:val="000000" w:themeColor="text1"/>
        </w:rPr>
        <w:t>junio</w:t>
      </w:r>
      <w:r w:rsidR="002A28E7" w:rsidRPr="00506BFB">
        <w:rPr>
          <w:color w:val="000000" w:themeColor="text1"/>
        </w:rPr>
        <w:t xml:space="preserve"> de 2025, dan cuenta de la realización del trámite de consulta pública previa a través de la web de la Diputación Foral de Álava de 10 días hábiles, sin que se hayan producido propuestas ni observaciones. Asimismo, consta en el expediente que el proyecto ha sido sometido al trámite de audiencia e información pública durante un periodo de 10 días hábiles, sin que se hayan recibido </w:t>
      </w:r>
      <w:r w:rsidR="00297675" w:rsidRPr="00506BFB">
        <w:rPr>
          <w:color w:val="000000" w:themeColor="text1"/>
        </w:rPr>
        <w:t>alegaciones</w:t>
      </w:r>
      <w:r w:rsidR="002A28E7" w:rsidRPr="00506BFB">
        <w:rPr>
          <w:color w:val="000000" w:themeColor="text1"/>
        </w:rPr>
        <w:t>.</w:t>
      </w:r>
      <w:r w:rsidR="002A28E7" w:rsidRPr="00506BFB">
        <w:rPr>
          <w:b/>
          <w:color w:val="000000" w:themeColor="text1"/>
        </w:rPr>
        <w:t xml:space="preserve"> </w:t>
      </w:r>
    </w:p>
    <w:p w14:paraId="2F075359" w14:textId="489097C9" w:rsidR="002A28E7" w:rsidRPr="00506BFB" w:rsidRDefault="00F0667F" w:rsidP="008F7C45">
      <w:pPr>
        <w:spacing w:after="314" w:line="259" w:lineRule="auto"/>
        <w:ind w:left="0" w:right="0" w:firstLine="0"/>
        <w:jc w:val="left"/>
        <w:rPr>
          <w:color w:val="000000" w:themeColor="text1"/>
        </w:rPr>
      </w:pPr>
      <w:r>
        <w:rPr>
          <w:b/>
          <w:color w:val="000000" w:themeColor="text1"/>
        </w:rPr>
        <w:t>iii</w:t>
      </w:r>
      <w:r w:rsidR="008F7C45" w:rsidRPr="00506BFB">
        <w:rPr>
          <w:b/>
          <w:color w:val="000000" w:themeColor="text1"/>
        </w:rPr>
        <w:t>.</w:t>
      </w:r>
      <w:r w:rsidR="00992627" w:rsidRPr="00506BFB">
        <w:rPr>
          <w:b/>
          <w:color w:val="000000" w:themeColor="text1"/>
        </w:rPr>
        <w:t>-</w:t>
      </w:r>
      <w:r w:rsidR="002A28E7" w:rsidRPr="00506BFB">
        <w:rPr>
          <w:b/>
          <w:color w:val="000000" w:themeColor="text1"/>
        </w:rPr>
        <w:t xml:space="preserve"> </w:t>
      </w:r>
      <w:r w:rsidR="002C0124" w:rsidRPr="00506BFB">
        <w:rPr>
          <w:b/>
          <w:color w:val="000000" w:themeColor="text1"/>
        </w:rPr>
        <w:t>DESCRIPCIÓN DEL PROYECTO</w:t>
      </w:r>
      <w:r>
        <w:rPr>
          <w:b/>
          <w:color w:val="000000" w:themeColor="text1"/>
        </w:rPr>
        <w:t>.</w:t>
      </w:r>
      <w:r w:rsidR="002A28E7" w:rsidRPr="00506BFB">
        <w:rPr>
          <w:b/>
          <w:color w:val="000000" w:themeColor="text1"/>
        </w:rPr>
        <w:t xml:space="preserve"> </w:t>
      </w:r>
    </w:p>
    <w:p w14:paraId="32B7F5A0" w14:textId="136270AF" w:rsidR="00567FDA" w:rsidRDefault="00CD3780" w:rsidP="00567FDA">
      <w:pPr>
        <w:spacing w:after="349" w:line="259" w:lineRule="auto"/>
        <w:ind w:left="47" w:right="191" w:firstLine="0"/>
        <w:rPr>
          <w:color w:val="000000" w:themeColor="text1"/>
        </w:rPr>
      </w:pPr>
      <w:r w:rsidRPr="00506BFB">
        <w:rPr>
          <w:color w:val="000000" w:themeColor="text1"/>
        </w:rPr>
        <w:t xml:space="preserve">La parte sustantiva del proyecto este Decreto Foral se </w:t>
      </w:r>
      <w:r w:rsidR="00567FDA" w:rsidRPr="00506BFB">
        <w:rPr>
          <w:color w:val="000000" w:themeColor="text1"/>
        </w:rPr>
        <w:t>articula en siete capítulos (con trece artículos en total), una disposición adicional, una disposición derogatoria y dos disposiciones finales</w:t>
      </w:r>
      <w:r w:rsidR="0031240C">
        <w:rPr>
          <w:color w:val="000000" w:themeColor="text1"/>
        </w:rPr>
        <w:t>.</w:t>
      </w:r>
    </w:p>
    <w:p w14:paraId="36CA9155" w14:textId="77777777" w:rsidR="0031240C" w:rsidRDefault="0031240C" w:rsidP="00567FDA">
      <w:pPr>
        <w:spacing w:after="349" w:line="259" w:lineRule="auto"/>
        <w:ind w:left="47" w:right="191" w:firstLine="0"/>
        <w:rPr>
          <w:color w:val="000000" w:themeColor="text1"/>
        </w:rPr>
      </w:pPr>
    </w:p>
    <w:p w14:paraId="7EF670DA" w14:textId="77777777" w:rsidR="0031240C" w:rsidRPr="00506BFB" w:rsidRDefault="0031240C" w:rsidP="00567FDA">
      <w:pPr>
        <w:spacing w:after="349" w:line="259" w:lineRule="auto"/>
        <w:ind w:left="47" w:right="191" w:firstLine="0"/>
        <w:rPr>
          <w:color w:val="000000" w:themeColor="text1"/>
        </w:rPr>
      </w:pPr>
    </w:p>
    <w:p w14:paraId="5656B8F1" w14:textId="77777777" w:rsidR="00567FDA" w:rsidRPr="00506BFB" w:rsidRDefault="00567FDA" w:rsidP="00567FDA">
      <w:pPr>
        <w:spacing w:after="349" w:line="259" w:lineRule="auto"/>
        <w:ind w:left="47" w:right="269" w:firstLine="0"/>
        <w:rPr>
          <w:color w:val="000000" w:themeColor="text1"/>
        </w:rPr>
      </w:pPr>
      <w:r w:rsidRPr="00506BFB">
        <w:rPr>
          <w:color w:val="000000" w:themeColor="text1"/>
        </w:rPr>
        <w:lastRenderedPageBreak/>
        <w:t xml:space="preserve">El </w:t>
      </w:r>
      <w:r w:rsidRPr="00506BFB">
        <w:rPr>
          <w:color w:val="000000" w:themeColor="text1"/>
          <w:u w:val="single" w:color="000000"/>
        </w:rPr>
        <w:t>Capítulo I</w:t>
      </w:r>
      <w:r w:rsidRPr="00506BFB">
        <w:rPr>
          <w:color w:val="000000" w:themeColor="text1"/>
        </w:rPr>
        <w:t xml:space="preserve"> versa sobre el procedimiento para la aplicación de régimen fiscal especial de las entidades sin fines lucrativos, la memoria económica y la acreditación del derecho a la exclusión de la obligación de retener e ingresar a cuenta, todo ello relacionado con el Título II de la Norma Foral, que se ocupa de las entidades sin fines lucrativos y su régimen fiscal:</w:t>
      </w:r>
    </w:p>
    <w:p w14:paraId="5801C9C5" w14:textId="3F09F9FA" w:rsidR="00567FDA" w:rsidRPr="00506BFB" w:rsidRDefault="00567FDA" w:rsidP="00567FDA">
      <w:pPr>
        <w:spacing w:after="349" w:line="259" w:lineRule="auto"/>
        <w:ind w:left="259" w:right="264" w:firstLine="125"/>
        <w:rPr>
          <w:color w:val="000000" w:themeColor="text1"/>
        </w:rPr>
      </w:pPr>
      <w:r w:rsidRPr="00506BFB">
        <w:rPr>
          <w:noProof/>
          <w:color w:val="000000" w:themeColor="text1"/>
        </w:rPr>
        <w:drawing>
          <wp:anchor distT="0" distB="0" distL="114300" distR="114300" simplePos="0" relativeHeight="251661312" behindDoc="0" locked="0" layoutInCell="1" allowOverlap="0" wp14:anchorId="236D3C14" wp14:editId="7CC7C9A1">
            <wp:simplePos x="0" y="0"/>
            <wp:positionH relativeFrom="page">
              <wp:posOffset>463296</wp:posOffset>
            </wp:positionH>
            <wp:positionV relativeFrom="page">
              <wp:posOffset>3000088</wp:posOffset>
            </wp:positionV>
            <wp:extent cx="18288" cy="18293"/>
            <wp:effectExtent l="0" t="0" r="0" b="0"/>
            <wp:wrapSquare wrapText="bothSides"/>
            <wp:docPr id="5555" name="Picture 5555"/>
            <wp:cNvGraphicFramePr/>
            <a:graphic xmlns:a="http://schemas.openxmlformats.org/drawingml/2006/main">
              <a:graphicData uri="http://schemas.openxmlformats.org/drawingml/2006/picture">
                <pic:pic xmlns:pic="http://schemas.openxmlformats.org/drawingml/2006/picture">
                  <pic:nvPicPr>
                    <pic:cNvPr id="5555" name="Picture 5555"/>
                    <pic:cNvPicPr/>
                  </pic:nvPicPr>
                  <pic:blipFill>
                    <a:blip r:embed="rId8"/>
                    <a:stretch>
                      <a:fillRect/>
                    </a:stretch>
                  </pic:blipFill>
                  <pic:spPr>
                    <a:xfrm>
                      <a:off x="0" y="0"/>
                      <a:ext cx="18288" cy="18293"/>
                    </a:xfrm>
                    <a:prstGeom prst="rect">
                      <a:avLst/>
                    </a:prstGeom>
                  </pic:spPr>
                </pic:pic>
              </a:graphicData>
            </a:graphic>
          </wp:anchor>
        </w:drawing>
      </w:r>
      <w:r w:rsidRPr="00506BFB">
        <w:rPr>
          <w:noProof/>
          <w:color w:val="000000" w:themeColor="text1"/>
        </w:rPr>
        <w:drawing>
          <wp:anchor distT="0" distB="0" distL="114300" distR="114300" simplePos="0" relativeHeight="251662336" behindDoc="0" locked="0" layoutInCell="1" allowOverlap="0" wp14:anchorId="02F95B6B" wp14:editId="3334C102">
            <wp:simplePos x="0" y="0"/>
            <wp:positionH relativeFrom="page">
              <wp:posOffset>6943345</wp:posOffset>
            </wp:positionH>
            <wp:positionV relativeFrom="page">
              <wp:posOffset>7988038</wp:posOffset>
            </wp:positionV>
            <wp:extent cx="12192" cy="12195"/>
            <wp:effectExtent l="0" t="0" r="0" b="0"/>
            <wp:wrapSquare wrapText="bothSides"/>
            <wp:docPr id="5556" name="Picture 5556"/>
            <wp:cNvGraphicFramePr/>
            <a:graphic xmlns:a="http://schemas.openxmlformats.org/drawingml/2006/main">
              <a:graphicData uri="http://schemas.openxmlformats.org/drawingml/2006/picture">
                <pic:pic xmlns:pic="http://schemas.openxmlformats.org/drawingml/2006/picture">
                  <pic:nvPicPr>
                    <pic:cNvPr id="5556" name="Picture 5556"/>
                    <pic:cNvPicPr/>
                  </pic:nvPicPr>
                  <pic:blipFill>
                    <a:blip r:embed="rId9"/>
                    <a:stretch>
                      <a:fillRect/>
                    </a:stretch>
                  </pic:blipFill>
                  <pic:spPr>
                    <a:xfrm>
                      <a:off x="0" y="0"/>
                      <a:ext cx="12192" cy="12195"/>
                    </a:xfrm>
                    <a:prstGeom prst="rect">
                      <a:avLst/>
                    </a:prstGeom>
                  </pic:spPr>
                </pic:pic>
              </a:graphicData>
            </a:graphic>
          </wp:anchor>
        </w:drawing>
      </w:r>
      <w:r w:rsidRPr="00506BFB">
        <w:rPr>
          <w:noProof/>
          <w:color w:val="000000" w:themeColor="text1"/>
        </w:rPr>
        <w:drawing>
          <wp:inline distT="0" distB="0" distL="0" distR="0" wp14:anchorId="09DD38DB" wp14:editId="06DAECD9">
            <wp:extent cx="48768" cy="48782"/>
            <wp:effectExtent l="0" t="0" r="0" b="0"/>
            <wp:docPr id="5443" name="Picture 5443"/>
            <wp:cNvGraphicFramePr/>
            <a:graphic xmlns:a="http://schemas.openxmlformats.org/drawingml/2006/main">
              <a:graphicData uri="http://schemas.openxmlformats.org/drawingml/2006/picture">
                <pic:pic xmlns:pic="http://schemas.openxmlformats.org/drawingml/2006/picture">
                  <pic:nvPicPr>
                    <pic:cNvPr id="5443" name="Picture 5443"/>
                    <pic:cNvPicPr/>
                  </pic:nvPicPr>
                  <pic:blipFill>
                    <a:blip r:embed="rId10"/>
                    <a:stretch>
                      <a:fillRect/>
                    </a:stretch>
                  </pic:blipFill>
                  <pic:spPr>
                    <a:xfrm>
                      <a:off x="0" y="0"/>
                      <a:ext cx="48768" cy="48782"/>
                    </a:xfrm>
                    <a:prstGeom prst="rect">
                      <a:avLst/>
                    </a:prstGeom>
                  </pic:spPr>
                </pic:pic>
              </a:graphicData>
            </a:graphic>
          </wp:inline>
        </w:drawing>
      </w:r>
      <w:r w:rsidRPr="00506BFB">
        <w:rPr>
          <w:color w:val="000000" w:themeColor="text1"/>
        </w:rPr>
        <w:t xml:space="preserve"> Dentro de este capítulo, el artículo 1 del proyecto regula la opción por la aplicación de régimen </w:t>
      </w:r>
      <w:r w:rsidRPr="00506BFB">
        <w:rPr>
          <w:noProof/>
          <w:color w:val="000000" w:themeColor="text1"/>
        </w:rPr>
        <w:drawing>
          <wp:inline distT="0" distB="0" distL="0" distR="0" wp14:anchorId="17BCF8A8" wp14:editId="479C04DF">
            <wp:extent cx="12192" cy="12195"/>
            <wp:effectExtent l="0" t="0" r="0" b="0"/>
            <wp:docPr id="5444" name="Picture 5444"/>
            <wp:cNvGraphicFramePr/>
            <a:graphic xmlns:a="http://schemas.openxmlformats.org/drawingml/2006/main">
              <a:graphicData uri="http://schemas.openxmlformats.org/drawingml/2006/picture">
                <pic:pic xmlns:pic="http://schemas.openxmlformats.org/drawingml/2006/picture">
                  <pic:nvPicPr>
                    <pic:cNvPr id="5444" name="Picture 5444"/>
                    <pic:cNvPicPr/>
                  </pic:nvPicPr>
                  <pic:blipFill>
                    <a:blip r:embed="rId11"/>
                    <a:stretch>
                      <a:fillRect/>
                    </a:stretch>
                  </pic:blipFill>
                  <pic:spPr>
                    <a:xfrm>
                      <a:off x="0" y="0"/>
                      <a:ext cx="12192" cy="12195"/>
                    </a:xfrm>
                    <a:prstGeom prst="rect">
                      <a:avLst/>
                    </a:prstGeom>
                  </pic:spPr>
                </pic:pic>
              </a:graphicData>
            </a:graphic>
          </wp:inline>
        </w:drawing>
      </w:r>
      <w:r w:rsidRPr="00506BFB">
        <w:rPr>
          <w:color w:val="000000" w:themeColor="text1"/>
        </w:rPr>
        <w:t xml:space="preserve"> fiscal especial de tales entidades sin fines lucrativos; a este respecto, se han incluido diversas aportaciones de la Sección de Sociedades, como la referencia a las Cooperativas de Utilidad Pública y a las Cooperativas de Iniciativa Social en el párrafo segundo del apartado l, el contenido de la memoria explicativa de la letra b) del mismo apartado, así como un requisito adicional para federaciones y asociaciones a que se refiere el último inciso de la letra a) del artículo 4 de la Norma Foral.</w:t>
      </w:r>
    </w:p>
    <w:p w14:paraId="57A66AB3" w14:textId="6E6D84B3" w:rsidR="00567FDA" w:rsidRPr="00506BFB" w:rsidRDefault="00567FDA" w:rsidP="0031240C">
      <w:pPr>
        <w:spacing w:after="323" w:line="259" w:lineRule="auto"/>
        <w:ind w:left="567" w:right="191" w:hanging="141"/>
        <w:rPr>
          <w:color w:val="000000" w:themeColor="text1"/>
        </w:rPr>
      </w:pPr>
      <w:r w:rsidRPr="00506BFB">
        <w:rPr>
          <w:noProof/>
          <w:color w:val="000000" w:themeColor="text1"/>
        </w:rPr>
        <w:drawing>
          <wp:inline distT="0" distB="0" distL="0" distR="0" wp14:anchorId="4773AF8F" wp14:editId="3C22E4E7">
            <wp:extent cx="48768" cy="48782"/>
            <wp:effectExtent l="0" t="0" r="0" b="0"/>
            <wp:docPr id="5445" name="Picture 5445"/>
            <wp:cNvGraphicFramePr/>
            <a:graphic xmlns:a="http://schemas.openxmlformats.org/drawingml/2006/main">
              <a:graphicData uri="http://schemas.openxmlformats.org/drawingml/2006/picture">
                <pic:pic xmlns:pic="http://schemas.openxmlformats.org/drawingml/2006/picture">
                  <pic:nvPicPr>
                    <pic:cNvPr id="5445" name="Picture 5445"/>
                    <pic:cNvPicPr/>
                  </pic:nvPicPr>
                  <pic:blipFill>
                    <a:blip r:embed="rId12"/>
                    <a:stretch>
                      <a:fillRect/>
                    </a:stretch>
                  </pic:blipFill>
                  <pic:spPr>
                    <a:xfrm>
                      <a:off x="0" y="0"/>
                      <a:ext cx="48768" cy="48782"/>
                    </a:xfrm>
                    <a:prstGeom prst="rect">
                      <a:avLst/>
                    </a:prstGeom>
                  </pic:spPr>
                </pic:pic>
              </a:graphicData>
            </a:graphic>
          </wp:inline>
        </w:drawing>
      </w:r>
      <w:r w:rsidRPr="00506BFB">
        <w:rPr>
          <w:color w:val="000000" w:themeColor="text1"/>
        </w:rPr>
        <w:tab/>
        <w:t>El artículo 2, por su parte, se encarga de la aplicación de régimen fiscal especial a efectos de los tributos locales, según lo dispue</w:t>
      </w:r>
      <w:r w:rsidR="00657643" w:rsidRPr="00506BFB">
        <w:rPr>
          <w:color w:val="000000" w:themeColor="text1"/>
        </w:rPr>
        <w:t xml:space="preserve">sto </w:t>
      </w:r>
      <w:r w:rsidRPr="00506BFB">
        <w:rPr>
          <w:color w:val="000000" w:themeColor="text1"/>
        </w:rPr>
        <w:t xml:space="preserve"> en el artículo 18 de la No</w:t>
      </w:r>
      <w:r w:rsidR="00657643" w:rsidRPr="00506BFB">
        <w:rPr>
          <w:color w:val="000000" w:themeColor="text1"/>
        </w:rPr>
        <w:t>rma</w:t>
      </w:r>
      <w:r w:rsidRPr="00506BFB">
        <w:rPr>
          <w:color w:val="000000" w:themeColor="text1"/>
        </w:rPr>
        <w:t xml:space="preserve"> Foral.</w:t>
      </w:r>
    </w:p>
    <w:p w14:paraId="26583097" w14:textId="77777777" w:rsidR="00567FDA" w:rsidRPr="00506BFB" w:rsidRDefault="00567FDA" w:rsidP="0031240C">
      <w:pPr>
        <w:spacing w:after="349" w:line="259" w:lineRule="auto"/>
        <w:ind w:left="567" w:right="274" w:hanging="141"/>
        <w:rPr>
          <w:color w:val="000000" w:themeColor="text1"/>
        </w:rPr>
      </w:pPr>
      <w:r w:rsidRPr="00506BFB">
        <w:rPr>
          <w:noProof/>
          <w:color w:val="000000" w:themeColor="text1"/>
        </w:rPr>
        <w:drawing>
          <wp:inline distT="0" distB="0" distL="0" distR="0" wp14:anchorId="21B45799" wp14:editId="1E914EB8">
            <wp:extent cx="48768" cy="54880"/>
            <wp:effectExtent l="0" t="0" r="0" b="0"/>
            <wp:docPr id="5446" name="Picture 5446"/>
            <wp:cNvGraphicFramePr/>
            <a:graphic xmlns:a="http://schemas.openxmlformats.org/drawingml/2006/main">
              <a:graphicData uri="http://schemas.openxmlformats.org/drawingml/2006/picture">
                <pic:pic xmlns:pic="http://schemas.openxmlformats.org/drawingml/2006/picture">
                  <pic:nvPicPr>
                    <pic:cNvPr id="5446" name="Picture 5446"/>
                    <pic:cNvPicPr/>
                  </pic:nvPicPr>
                  <pic:blipFill>
                    <a:blip r:embed="rId13"/>
                    <a:stretch>
                      <a:fillRect/>
                    </a:stretch>
                  </pic:blipFill>
                  <pic:spPr>
                    <a:xfrm>
                      <a:off x="0" y="0"/>
                      <a:ext cx="48768" cy="54880"/>
                    </a:xfrm>
                    <a:prstGeom prst="rect">
                      <a:avLst/>
                    </a:prstGeom>
                  </pic:spPr>
                </pic:pic>
              </a:graphicData>
            </a:graphic>
          </wp:inline>
        </w:drawing>
      </w:r>
      <w:r w:rsidRPr="00506BFB">
        <w:rPr>
          <w:color w:val="000000" w:themeColor="text1"/>
        </w:rPr>
        <w:t xml:space="preserve"> El artículo 3 se centra en la memoria económica a que hace mención el artículo 5 de la Norma Foral, Entre la información que, como mínimo, deberá contener esa memoria económica, se ha incluido, a instancias de la Sección de Sociedades, una referencia a las rentas de cualquier naturaleza percibidas por la entidad correspondiente por su participación en entidades mercantiles.</w:t>
      </w:r>
    </w:p>
    <w:p w14:paraId="204CE959" w14:textId="126C4838" w:rsidR="00567FDA" w:rsidRPr="00506BFB" w:rsidRDefault="00567FDA" w:rsidP="0031240C">
      <w:pPr>
        <w:spacing w:after="349" w:line="259" w:lineRule="auto"/>
        <w:ind w:left="426" w:right="278" w:firstLine="0"/>
        <w:rPr>
          <w:color w:val="000000" w:themeColor="text1"/>
        </w:rPr>
      </w:pPr>
      <w:r w:rsidRPr="00506BFB">
        <w:rPr>
          <w:color w:val="000000" w:themeColor="text1"/>
        </w:rPr>
        <w:t xml:space="preserve">Concluye este capítulo inicial con el artículo 4, que desarrolla las previsiones contenidas en el artículo </w:t>
      </w:r>
      <w:r w:rsidR="008F5CA6" w:rsidRPr="00506BFB">
        <w:rPr>
          <w:noProof/>
          <w:color w:val="000000" w:themeColor="text1"/>
        </w:rPr>
        <w:drawing>
          <wp:inline distT="0" distB="0" distL="0" distR="0" wp14:anchorId="5F1B504D" wp14:editId="35E49083">
            <wp:extent cx="48768" cy="48782"/>
            <wp:effectExtent l="0" t="0" r="0" b="0"/>
            <wp:docPr id="5447" name="Picture 5447"/>
            <wp:cNvGraphicFramePr/>
            <a:graphic xmlns:a="http://schemas.openxmlformats.org/drawingml/2006/main">
              <a:graphicData uri="http://schemas.openxmlformats.org/drawingml/2006/picture">
                <pic:pic xmlns:pic="http://schemas.openxmlformats.org/drawingml/2006/picture">
                  <pic:nvPicPr>
                    <pic:cNvPr id="5447" name="Picture 5447"/>
                    <pic:cNvPicPr/>
                  </pic:nvPicPr>
                  <pic:blipFill>
                    <a:blip r:embed="rId14"/>
                    <a:stretch>
                      <a:fillRect/>
                    </a:stretch>
                  </pic:blipFill>
                  <pic:spPr>
                    <a:xfrm>
                      <a:off x="0" y="0"/>
                      <a:ext cx="48768" cy="48782"/>
                    </a:xfrm>
                    <a:prstGeom prst="rect">
                      <a:avLst/>
                    </a:prstGeom>
                  </pic:spPr>
                </pic:pic>
              </a:graphicData>
            </a:graphic>
          </wp:inline>
        </w:drawing>
      </w:r>
      <w:r w:rsidRPr="00506BFB">
        <w:rPr>
          <w:color w:val="000000" w:themeColor="text1"/>
        </w:rPr>
        <w:t>14 de la Norma Foral sobre la acreditación a efectos de la exclusión de la obligación de retener o ingresar a cuenta respecto de las rentas exentas percibidas por las entidades sin fines lucrativos.</w:t>
      </w:r>
    </w:p>
    <w:p w14:paraId="41A0C2AA" w14:textId="77777777" w:rsidR="00567FDA" w:rsidRPr="00506BFB" w:rsidRDefault="00567FDA" w:rsidP="008F5CA6">
      <w:pPr>
        <w:spacing w:after="0" w:line="240" w:lineRule="auto"/>
        <w:ind w:left="6" w:right="187" w:hanging="6"/>
        <w:rPr>
          <w:color w:val="000000" w:themeColor="text1"/>
        </w:rPr>
      </w:pPr>
      <w:r w:rsidRPr="00506BFB">
        <w:rPr>
          <w:color w:val="000000" w:themeColor="text1"/>
        </w:rPr>
        <w:t xml:space="preserve">A continuación, el </w:t>
      </w:r>
      <w:r w:rsidRPr="00506BFB">
        <w:rPr>
          <w:color w:val="000000" w:themeColor="text1"/>
          <w:u w:val="single" w:color="000000"/>
        </w:rPr>
        <w:t>Capítulo II</w:t>
      </w:r>
      <w:r w:rsidRPr="00506BFB">
        <w:rPr>
          <w:color w:val="000000" w:themeColor="text1"/>
        </w:rPr>
        <w:t xml:space="preserve"> se ocupa de régimen fiscal de las entidades sin fines lucrativos, sobre todo en relación con lo regulado en el artículo 5 de la Norma Foral. Así, el artículo 5 del Decreto Foral aclara algunos puntos relativos a la persecución de fines de interés general; el artículo 6 trata de los gastos de administración y gestión; y el artículo 7 aborda las retribuciones de las y los administradores nombrados en representación de las entidades sin fines lucrativos a efectos de la exclusión de la obligación de retener a que se refiere el último párrafo del apartado 6 del artículo 5 de la Norma Foral.</w:t>
      </w:r>
    </w:p>
    <w:p w14:paraId="4F58CA99" w14:textId="36AEEB4A" w:rsidR="00567FDA" w:rsidRPr="00506BFB" w:rsidRDefault="00567FDA" w:rsidP="00567FDA">
      <w:pPr>
        <w:spacing w:after="0" w:line="259" w:lineRule="auto"/>
        <w:ind w:left="91" w:right="0" w:firstLine="0"/>
        <w:jc w:val="center"/>
        <w:rPr>
          <w:color w:val="000000" w:themeColor="text1"/>
        </w:rPr>
      </w:pPr>
    </w:p>
    <w:p w14:paraId="597E6360" w14:textId="77777777" w:rsidR="00567FDA" w:rsidRPr="00506BFB" w:rsidRDefault="00567FDA" w:rsidP="00567FDA">
      <w:pPr>
        <w:spacing w:after="349" w:line="259" w:lineRule="auto"/>
        <w:ind w:left="47" w:right="191" w:firstLine="0"/>
        <w:rPr>
          <w:color w:val="000000" w:themeColor="text1"/>
        </w:rPr>
      </w:pPr>
      <w:r w:rsidRPr="00506BFB">
        <w:rPr>
          <w:color w:val="000000" w:themeColor="text1"/>
        </w:rPr>
        <w:t xml:space="preserve">En cuanto al </w:t>
      </w:r>
      <w:r w:rsidRPr="00506BFB">
        <w:rPr>
          <w:color w:val="000000" w:themeColor="text1"/>
          <w:u w:val="single" w:color="000000"/>
        </w:rPr>
        <w:t>Capítulo III</w:t>
      </w:r>
      <w:r w:rsidRPr="00506BFB">
        <w:rPr>
          <w:color w:val="000000" w:themeColor="text1"/>
        </w:rPr>
        <w:t>. incluido en el proyecto a instancias de la Sección de Sociedades, trata diversos aspectos .de los incentivos fiscales al mecenazgo, en concreto los relacionados con la llamada compensación simbólica o reputacional (artículo 8).</w:t>
      </w:r>
    </w:p>
    <w:p w14:paraId="60B73F7A" w14:textId="77777777" w:rsidR="00567FDA" w:rsidRPr="00506BFB" w:rsidRDefault="00567FDA" w:rsidP="00567FDA">
      <w:pPr>
        <w:spacing w:after="349" w:line="259" w:lineRule="auto"/>
        <w:ind w:left="47" w:right="191" w:firstLine="0"/>
        <w:rPr>
          <w:color w:val="000000" w:themeColor="text1"/>
        </w:rPr>
      </w:pPr>
      <w:r w:rsidRPr="00506BFB">
        <w:rPr>
          <w:color w:val="000000" w:themeColor="text1"/>
        </w:rPr>
        <w:t xml:space="preserve">Por su parte, el </w:t>
      </w:r>
      <w:r w:rsidRPr="00506BFB">
        <w:rPr>
          <w:color w:val="000000" w:themeColor="text1"/>
          <w:u w:val="single" w:color="000000"/>
        </w:rPr>
        <w:t>Capítulo IV</w:t>
      </w:r>
      <w:r w:rsidRPr="00506BFB">
        <w:rPr>
          <w:color w:val="000000" w:themeColor="text1"/>
        </w:rPr>
        <w:t xml:space="preserve"> regula las obligaciones de información y justificación documental en el ámbito de régimen fiscal de los donativos, donaciones, aportaciones y prestaciones gratuitas de servicios a que hace referencia el Capítulo II del Título III de la Norma Foral. Por una parte, el artículo 9 se encarga del modelo informativo a presentar en estos casos; por otra, el artículo 10 aborda la justificación de los donativos, donaciones, aportaciones y prestaciones gratuitas de servicios deducibles realizadas a favor de determinadas entidades no residentes.</w:t>
      </w:r>
    </w:p>
    <w:p w14:paraId="710B10D8" w14:textId="77777777" w:rsidR="00567FDA" w:rsidRPr="00506BFB" w:rsidRDefault="00567FDA" w:rsidP="00567FDA">
      <w:pPr>
        <w:spacing w:after="322" w:line="259" w:lineRule="auto"/>
        <w:ind w:left="47" w:right="191" w:firstLine="0"/>
        <w:rPr>
          <w:color w:val="000000" w:themeColor="text1"/>
        </w:rPr>
      </w:pPr>
      <w:r w:rsidRPr="00506BFB">
        <w:rPr>
          <w:color w:val="000000" w:themeColor="text1"/>
        </w:rPr>
        <w:t xml:space="preserve">En cuanto al </w:t>
      </w:r>
      <w:r w:rsidRPr="00506BFB">
        <w:rPr>
          <w:color w:val="000000" w:themeColor="text1"/>
          <w:u w:val="single" w:color="000000"/>
        </w:rPr>
        <w:t>Capítulo V,</w:t>
      </w:r>
      <w:r w:rsidRPr="00506BFB">
        <w:rPr>
          <w:color w:val="000000" w:themeColor="text1"/>
        </w:rPr>
        <w:t xml:space="preserve"> se circunscribe al artículo 11, que desarrolla lo previsto en el artículo 29 de la Norma Foral en cuanto a los gastos deducibles en actividades de interés general.</w:t>
      </w:r>
    </w:p>
    <w:p w14:paraId="50923364" w14:textId="4CA9FA2A" w:rsidR="00567FDA" w:rsidRPr="00506BFB" w:rsidRDefault="00567FDA" w:rsidP="00567FDA">
      <w:pPr>
        <w:spacing w:after="349" w:line="259" w:lineRule="auto"/>
        <w:ind w:left="47" w:right="191" w:firstLine="0"/>
        <w:rPr>
          <w:color w:val="000000" w:themeColor="text1"/>
        </w:rPr>
      </w:pPr>
      <w:r w:rsidRPr="00506BFB">
        <w:rPr>
          <w:color w:val="000000" w:themeColor="text1"/>
        </w:rPr>
        <w:lastRenderedPageBreak/>
        <w:t xml:space="preserve">Por otro lado, el </w:t>
      </w:r>
      <w:r w:rsidRPr="00506BFB">
        <w:rPr>
          <w:color w:val="000000" w:themeColor="text1"/>
          <w:u w:val="single" w:color="000000"/>
        </w:rPr>
        <w:t>Capítulo VI,</w:t>
      </w:r>
      <w:r w:rsidRPr="00506BFB">
        <w:rPr>
          <w:color w:val="000000" w:themeColor="text1"/>
        </w:rPr>
        <w:t xml:space="preserve"> que también consta de un solo artículo (artículo 12), especifica los supuestos de deducibilidad de donativos, donaciones, aportaciones y prestaciones gratuitas de servicios en actividades prioritarias, en relación con los incentivos fiscales contenidos en el artículo 3 1 de la Norma Foral (Actividades y</w:t>
      </w:r>
      <w:r w:rsidR="00B2264B" w:rsidRPr="00506BFB">
        <w:rPr>
          <w:color w:val="000000" w:themeColor="text1"/>
        </w:rPr>
        <w:t xml:space="preserve"> </w:t>
      </w:r>
      <w:r w:rsidRPr="00506BFB">
        <w:rPr>
          <w:color w:val="000000" w:themeColor="text1"/>
        </w:rPr>
        <w:t>programas prioritarios de mecenazgo). Hay que tener en cuenta que se ha trasladado al proyecto la redacción que del título de ese artículo 12 y del contenido de su apartado I ha realizado la Sección de Sociedades.</w:t>
      </w:r>
    </w:p>
    <w:p w14:paraId="13CA6629" w14:textId="77777777" w:rsidR="00567FDA" w:rsidRPr="00506BFB" w:rsidRDefault="00567FDA" w:rsidP="00567FDA">
      <w:pPr>
        <w:spacing w:after="349" w:line="259" w:lineRule="auto"/>
        <w:ind w:left="47" w:right="191" w:firstLine="0"/>
        <w:rPr>
          <w:color w:val="000000" w:themeColor="text1"/>
        </w:rPr>
      </w:pPr>
      <w:r w:rsidRPr="00506BFB">
        <w:rPr>
          <w:color w:val="000000" w:themeColor="text1"/>
        </w:rPr>
        <w:t xml:space="preserve">Para concluir con la parte dispositiva, el </w:t>
      </w:r>
      <w:r w:rsidRPr="00506BFB">
        <w:rPr>
          <w:color w:val="000000" w:themeColor="text1"/>
          <w:u w:val="single" w:color="000000"/>
        </w:rPr>
        <w:t>Capítulo VII,</w:t>
      </w:r>
      <w:r w:rsidRPr="00506BFB">
        <w:rPr>
          <w:color w:val="000000" w:themeColor="text1"/>
        </w:rPr>
        <w:t xml:space="preserve"> en su artículo 13, se encarga de los programas de apoyo a acontecimientos de excepcional interés público, en relación con el artículo 32 de la Norma Foral.</w:t>
      </w:r>
    </w:p>
    <w:p w14:paraId="56BDFCC6" w14:textId="77777777" w:rsidR="00567FDA" w:rsidRPr="00506BFB" w:rsidRDefault="00567FDA" w:rsidP="00567FDA">
      <w:pPr>
        <w:spacing w:after="382" w:line="259" w:lineRule="auto"/>
        <w:ind w:left="47" w:right="191" w:firstLine="0"/>
        <w:rPr>
          <w:color w:val="000000" w:themeColor="text1"/>
        </w:rPr>
      </w:pPr>
      <w:r w:rsidRPr="00506BFB">
        <w:rPr>
          <w:color w:val="000000" w:themeColor="text1"/>
        </w:rPr>
        <w:t xml:space="preserve">La </w:t>
      </w:r>
      <w:r w:rsidRPr="00506BFB">
        <w:rPr>
          <w:color w:val="000000" w:themeColor="text1"/>
          <w:u w:val="single" w:color="000000"/>
        </w:rPr>
        <w:t>Disposición Adicional Única</w:t>
      </w:r>
      <w:r w:rsidRPr="00506BFB">
        <w:rPr>
          <w:color w:val="000000" w:themeColor="text1"/>
        </w:rPr>
        <w:t xml:space="preserve"> trata de la aplicación de régimen fiscal especial y acreditación a efectos de la exclusión de la obligación de retener o ingresar a cuenta de la Iglesia Católica y de otras iglesias, confesiones y comunidades religiosas, todo ello relacionado con los artículos 35 y 36 de la Norma Foral.</w:t>
      </w:r>
    </w:p>
    <w:p w14:paraId="51971584" w14:textId="77777777" w:rsidR="00567FDA" w:rsidRPr="00506BFB" w:rsidRDefault="00567FDA" w:rsidP="00567FDA">
      <w:pPr>
        <w:spacing w:after="349" w:line="259" w:lineRule="auto"/>
        <w:ind w:left="47" w:right="191" w:firstLine="0"/>
        <w:rPr>
          <w:color w:val="000000" w:themeColor="text1"/>
        </w:rPr>
      </w:pPr>
      <w:r w:rsidRPr="00506BFB">
        <w:rPr>
          <w:color w:val="000000" w:themeColor="text1"/>
        </w:rPr>
        <w:t xml:space="preserve">En consonancia con lo indicado anteriormente, la </w:t>
      </w:r>
      <w:r w:rsidRPr="00506BFB">
        <w:rPr>
          <w:color w:val="000000" w:themeColor="text1"/>
          <w:u w:val="single" w:color="000000"/>
        </w:rPr>
        <w:t>Disposición Derogatoria Única</w:t>
      </w:r>
      <w:r w:rsidRPr="00506BFB">
        <w:rPr>
          <w:color w:val="000000" w:themeColor="text1"/>
        </w:rPr>
        <w:t xml:space="preserve"> deroga de modo expreso el Decreto Foral 60/2004, de 19 de octubre, que aprueba el Reglamento para la aplicación del régimen fiscal de las entidades sin fines lucrativos e incentivos al mecenazgo.</w:t>
      </w:r>
    </w:p>
    <w:p w14:paraId="2C213DC6" w14:textId="77777777" w:rsidR="00567FDA" w:rsidRPr="00506BFB" w:rsidRDefault="00567FDA" w:rsidP="00567FDA">
      <w:pPr>
        <w:spacing w:after="321" w:line="259" w:lineRule="auto"/>
        <w:ind w:left="47" w:right="191" w:firstLine="0"/>
        <w:rPr>
          <w:color w:val="000000" w:themeColor="text1"/>
        </w:rPr>
      </w:pPr>
      <w:r w:rsidRPr="00506BFB">
        <w:rPr>
          <w:color w:val="000000" w:themeColor="text1"/>
        </w:rPr>
        <w:t xml:space="preserve">El proyecto normativo que nos ocupa concluye con dos </w:t>
      </w:r>
      <w:r w:rsidRPr="00506BFB">
        <w:rPr>
          <w:color w:val="000000" w:themeColor="text1"/>
          <w:u w:val="single" w:color="000000"/>
        </w:rPr>
        <w:t>Disposiciones Finales</w:t>
      </w:r>
      <w:r w:rsidRPr="00506BFB">
        <w:rPr>
          <w:color w:val="000000" w:themeColor="text1"/>
        </w:rPr>
        <w:t>: la Primera determina la entrada en vigor de la norma (el día siguiente al de su publicación en el BOTHA), mientras las Segunda hace una habilitación de desarrollo a favor de la Diputada Foral del Departamento de Hacienda, Finanzas y Presupuestos.</w:t>
      </w:r>
    </w:p>
    <w:p w14:paraId="3576553A" w14:textId="6BB5A3F7" w:rsidR="002A28E7" w:rsidRPr="00506BFB" w:rsidRDefault="00A416C4" w:rsidP="002A28E7">
      <w:pPr>
        <w:spacing w:after="268" w:line="259" w:lineRule="auto"/>
        <w:ind w:left="-5" w:right="0"/>
        <w:jc w:val="left"/>
        <w:rPr>
          <w:color w:val="000000" w:themeColor="text1"/>
        </w:rPr>
      </w:pPr>
      <w:r>
        <w:rPr>
          <w:b/>
          <w:color w:val="000000" w:themeColor="text1"/>
        </w:rPr>
        <w:t>iv</w:t>
      </w:r>
      <w:r w:rsidR="002A28E7" w:rsidRPr="00506BFB">
        <w:rPr>
          <w:b/>
          <w:color w:val="000000" w:themeColor="text1"/>
        </w:rPr>
        <w:t>.</w:t>
      </w:r>
      <w:r w:rsidR="008F5CA6" w:rsidRPr="00506BFB">
        <w:rPr>
          <w:b/>
          <w:color w:val="000000" w:themeColor="text1"/>
        </w:rPr>
        <w:t xml:space="preserve"> </w:t>
      </w:r>
      <w:r w:rsidR="00992627" w:rsidRPr="00506BFB">
        <w:rPr>
          <w:b/>
          <w:color w:val="000000" w:themeColor="text1"/>
        </w:rPr>
        <w:t>-</w:t>
      </w:r>
      <w:r w:rsidR="00DF6F50" w:rsidRPr="00506BFB">
        <w:rPr>
          <w:b/>
          <w:color w:val="000000" w:themeColor="text1"/>
        </w:rPr>
        <w:t>ANÁLISIS DEL PROYECTO</w:t>
      </w:r>
      <w:r w:rsidR="002A28E7" w:rsidRPr="00506BFB">
        <w:rPr>
          <w:b/>
          <w:color w:val="000000" w:themeColor="text1"/>
        </w:rPr>
        <w:t xml:space="preserve">. </w:t>
      </w:r>
    </w:p>
    <w:p w14:paraId="6A5903D5" w14:textId="3517B4DC" w:rsidR="00D523D1" w:rsidRPr="00506BFB" w:rsidRDefault="00D81C4F" w:rsidP="002A28E7">
      <w:pPr>
        <w:ind w:left="-5" w:right="0"/>
        <w:rPr>
          <w:color w:val="000000" w:themeColor="text1"/>
        </w:rPr>
      </w:pPr>
      <w:r w:rsidRPr="00506BFB">
        <w:rPr>
          <w:color w:val="000000" w:themeColor="text1"/>
        </w:rPr>
        <w:t>En relación con el proyecto de Decreto Foral objeto de dictamen s</w:t>
      </w:r>
      <w:r w:rsidR="00D523D1" w:rsidRPr="00506BFB">
        <w:rPr>
          <w:color w:val="000000" w:themeColor="text1"/>
        </w:rPr>
        <w:t>e añaden a continuación</w:t>
      </w:r>
      <w:r w:rsidR="005A4F35" w:rsidRPr="00506BFB">
        <w:rPr>
          <w:color w:val="000000" w:themeColor="text1"/>
        </w:rPr>
        <w:t xml:space="preserve"> el análisis y</w:t>
      </w:r>
      <w:r w:rsidRPr="00506BFB">
        <w:rPr>
          <w:color w:val="000000" w:themeColor="text1"/>
        </w:rPr>
        <w:t xml:space="preserve"> </w:t>
      </w:r>
      <w:r w:rsidR="00D523D1" w:rsidRPr="00506BFB">
        <w:rPr>
          <w:color w:val="000000" w:themeColor="text1"/>
        </w:rPr>
        <w:t>observaciones</w:t>
      </w:r>
      <w:r w:rsidR="005A4F35" w:rsidRPr="00506BFB">
        <w:rPr>
          <w:color w:val="000000" w:themeColor="text1"/>
        </w:rPr>
        <w:t xml:space="preserve"> de algunos artículos y capítulos</w:t>
      </w:r>
      <w:r w:rsidRPr="00506BFB">
        <w:rPr>
          <w:color w:val="000000" w:themeColor="text1"/>
        </w:rPr>
        <w:t>:</w:t>
      </w:r>
      <w:r w:rsidR="00D523D1" w:rsidRPr="00506BFB">
        <w:rPr>
          <w:color w:val="000000" w:themeColor="text1"/>
        </w:rPr>
        <w:t xml:space="preserve"> </w:t>
      </w:r>
    </w:p>
    <w:p w14:paraId="01EA6F33" w14:textId="7119C291" w:rsidR="006D12E3" w:rsidRPr="00506BFB" w:rsidRDefault="00DD45D5" w:rsidP="002A28E7">
      <w:pPr>
        <w:ind w:left="-5" w:right="0"/>
        <w:rPr>
          <w:color w:val="000000" w:themeColor="text1"/>
          <w:u w:val="single"/>
        </w:rPr>
      </w:pPr>
      <w:r w:rsidRPr="00506BFB">
        <w:rPr>
          <w:color w:val="000000" w:themeColor="text1"/>
          <w:u w:val="single"/>
        </w:rPr>
        <w:t xml:space="preserve">1. </w:t>
      </w:r>
      <w:r w:rsidR="006D12E3" w:rsidRPr="00506BFB">
        <w:rPr>
          <w:color w:val="000000" w:themeColor="text1"/>
          <w:u w:val="single"/>
        </w:rPr>
        <w:t>PROCEDIMIENTO PARA LA APLICACIÓN DEL RÉGIMEN FISCAL ESPECIAL DE LAS ENTIDADES SIN FINES LUCRATIVOS, MEMORIA ECONÓMICA Y ACREDITACIÓN DEL DERECHO A LA EXCLUSIÓN DE LA OBLIGACIÓN DE RETENER E INGRESAR A CUENTA</w:t>
      </w:r>
    </w:p>
    <w:p w14:paraId="61B47062" w14:textId="2E3EC9F8" w:rsidR="00B87671" w:rsidRPr="00506BFB" w:rsidRDefault="007A6FD8" w:rsidP="00BE4BA4">
      <w:pPr>
        <w:rPr>
          <w:rFonts w:eastAsia="Calibri"/>
          <w:color w:val="000000" w:themeColor="text1"/>
          <w:szCs w:val="22"/>
          <w:lang w:eastAsia="en-US"/>
        </w:rPr>
      </w:pPr>
      <w:r w:rsidRPr="00506BFB">
        <w:rPr>
          <w:rFonts w:eastAsia="Calibri"/>
          <w:color w:val="000000" w:themeColor="text1"/>
          <w:szCs w:val="22"/>
          <w:lang w:eastAsia="en-US"/>
        </w:rPr>
        <w:t>De acuerdo con lo</w:t>
      </w:r>
      <w:r w:rsidR="00B87671" w:rsidRPr="00506BFB">
        <w:rPr>
          <w:rFonts w:eastAsia="Calibri"/>
          <w:color w:val="000000" w:themeColor="text1"/>
          <w:szCs w:val="22"/>
          <w:lang w:eastAsia="en-US"/>
        </w:rPr>
        <w:t xml:space="preserve"> que dispone </w:t>
      </w:r>
      <w:r w:rsidRPr="00506BFB">
        <w:rPr>
          <w:rFonts w:eastAsia="Calibri"/>
          <w:color w:val="000000" w:themeColor="text1"/>
          <w:szCs w:val="22"/>
          <w:lang w:eastAsia="en-US"/>
        </w:rPr>
        <w:t xml:space="preserve">el </w:t>
      </w:r>
      <w:r w:rsidR="005A4F35" w:rsidRPr="00506BFB">
        <w:rPr>
          <w:rFonts w:eastAsia="Calibri"/>
          <w:color w:val="000000" w:themeColor="text1"/>
          <w:szCs w:val="22"/>
          <w:lang w:eastAsia="en-US"/>
        </w:rPr>
        <w:t xml:space="preserve">artículo </w:t>
      </w:r>
      <w:r w:rsidRPr="00506BFB">
        <w:rPr>
          <w:rFonts w:eastAsia="Calibri"/>
          <w:color w:val="000000" w:themeColor="text1"/>
          <w:szCs w:val="22"/>
          <w:lang w:eastAsia="en-US"/>
        </w:rPr>
        <w:t>4 de la Norma Foral</w:t>
      </w:r>
      <w:r w:rsidR="00B87671" w:rsidRPr="00506BFB">
        <w:rPr>
          <w:rFonts w:eastAsia="Calibri"/>
          <w:color w:val="000000" w:themeColor="text1"/>
          <w:szCs w:val="22"/>
          <w:lang w:eastAsia="en-US"/>
        </w:rPr>
        <w:t xml:space="preserve"> 35/2021</w:t>
      </w:r>
      <w:r w:rsidRPr="00506BFB">
        <w:rPr>
          <w:rFonts w:eastAsia="Calibri"/>
          <w:color w:val="000000" w:themeColor="text1"/>
          <w:szCs w:val="22"/>
          <w:lang w:eastAsia="en-US"/>
        </w:rPr>
        <w:t>,</w:t>
      </w:r>
      <w:r w:rsidRPr="00506BFB">
        <w:rPr>
          <w:color w:val="000000" w:themeColor="text1"/>
        </w:rPr>
        <w:t xml:space="preserve"> </w:t>
      </w:r>
      <w:r w:rsidRPr="00506BFB">
        <w:rPr>
          <w:rFonts w:eastAsia="Calibri"/>
          <w:color w:val="000000" w:themeColor="text1"/>
          <w:szCs w:val="22"/>
          <w:lang w:eastAsia="en-US"/>
        </w:rPr>
        <w:t>las entidades</w:t>
      </w:r>
      <w:r w:rsidR="00B87671" w:rsidRPr="00506BFB">
        <w:rPr>
          <w:rFonts w:eastAsia="Calibri"/>
          <w:color w:val="000000" w:themeColor="text1"/>
          <w:szCs w:val="22"/>
          <w:lang w:eastAsia="en-US"/>
        </w:rPr>
        <w:t xml:space="preserve"> sin fines lucrativos para acogerse al régimen fiscal especial de las entidades sin ánimo de </w:t>
      </w:r>
      <w:r w:rsidR="000D495D" w:rsidRPr="00506BFB">
        <w:rPr>
          <w:rFonts w:eastAsia="Calibri"/>
          <w:color w:val="000000" w:themeColor="text1"/>
          <w:szCs w:val="22"/>
          <w:lang w:eastAsia="en-US"/>
        </w:rPr>
        <w:t>lucro</w:t>
      </w:r>
      <w:r w:rsidRPr="00506BFB">
        <w:rPr>
          <w:rFonts w:eastAsia="Calibri"/>
          <w:color w:val="000000" w:themeColor="text1"/>
          <w:szCs w:val="22"/>
          <w:lang w:eastAsia="en-US"/>
        </w:rPr>
        <w:t xml:space="preserve"> debe</w:t>
      </w:r>
      <w:r w:rsidR="00B87671" w:rsidRPr="00506BFB">
        <w:rPr>
          <w:rFonts w:eastAsia="Calibri"/>
          <w:color w:val="000000" w:themeColor="text1"/>
          <w:szCs w:val="22"/>
          <w:lang w:eastAsia="en-US"/>
        </w:rPr>
        <w:t>n</w:t>
      </w:r>
      <w:r w:rsidRPr="00506BFB">
        <w:rPr>
          <w:rFonts w:eastAsia="Calibri"/>
          <w:color w:val="000000" w:themeColor="text1"/>
          <w:szCs w:val="22"/>
          <w:lang w:eastAsia="en-US"/>
        </w:rPr>
        <w:t xml:space="preserve"> comunicar a la Administración tributaria su opción por dicho régimen a través de la correspondiente declaración censa</w:t>
      </w:r>
      <w:r w:rsidR="00022C84" w:rsidRPr="00506BFB">
        <w:rPr>
          <w:rFonts w:eastAsia="Calibri"/>
          <w:color w:val="000000" w:themeColor="text1"/>
          <w:szCs w:val="22"/>
          <w:lang w:eastAsia="en-US"/>
        </w:rPr>
        <w:t xml:space="preserve">l </w:t>
      </w:r>
      <w:r w:rsidR="00B87671" w:rsidRPr="00506BFB">
        <w:rPr>
          <w:rFonts w:eastAsia="Calibri"/>
          <w:color w:val="000000" w:themeColor="text1"/>
          <w:szCs w:val="22"/>
          <w:lang w:eastAsia="en-US"/>
        </w:rPr>
        <w:t>que se desarrolla reglamentariamente.</w:t>
      </w:r>
    </w:p>
    <w:p w14:paraId="5B6DEDFF" w14:textId="091A0969" w:rsidR="00EA190F" w:rsidRPr="00506BFB" w:rsidRDefault="00B400F3" w:rsidP="00EA190F">
      <w:pPr>
        <w:rPr>
          <w:rFonts w:eastAsia="Calibri"/>
          <w:color w:val="000000" w:themeColor="text1"/>
          <w:szCs w:val="22"/>
          <w:lang w:eastAsia="en-US"/>
        </w:rPr>
      </w:pPr>
      <w:r w:rsidRPr="00506BFB">
        <w:rPr>
          <w:rFonts w:eastAsia="Calibri"/>
          <w:color w:val="000000" w:themeColor="text1"/>
          <w:szCs w:val="22"/>
          <w:lang w:eastAsia="en-US"/>
        </w:rPr>
        <w:t>Con la</w:t>
      </w:r>
      <w:r w:rsidR="00EA190F" w:rsidRPr="00506BFB">
        <w:rPr>
          <w:rFonts w:eastAsia="Calibri"/>
          <w:color w:val="000000" w:themeColor="text1"/>
          <w:szCs w:val="22"/>
          <w:lang w:eastAsia="en-US"/>
        </w:rPr>
        <w:t xml:space="preserve"> Norma Foral 3/2025 de 9 abril de Álava (revisión de determinados impuestos del sistema tributario del Territorio Histórico de Álava y de otras normas forales tributarias)</w:t>
      </w:r>
      <w:r w:rsidR="00EA190F" w:rsidRPr="00506BFB">
        <w:rPr>
          <w:color w:val="000000" w:themeColor="text1"/>
        </w:rPr>
        <w:t xml:space="preserve"> con</w:t>
      </w:r>
      <w:r w:rsidR="00EA190F" w:rsidRPr="00506BFB">
        <w:rPr>
          <w:rFonts w:eastAsia="Calibri"/>
          <w:color w:val="000000" w:themeColor="text1"/>
          <w:szCs w:val="22"/>
          <w:lang w:eastAsia="en-US"/>
        </w:rPr>
        <w:t xml:space="preserve"> efectos para los periodos impositivos que se inicien a partir de 1 de enero de 2025, se </w:t>
      </w:r>
      <w:r w:rsidRPr="00506BFB">
        <w:rPr>
          <w:rFonts w:eastAsia="Calibri"/>
          <w:color w:val="000000" w:themeColor="text1"/>
          <w:szCs w:val="22"/>
          <w:lang w:eastAsia="en-US"/>
        </w:rPr>
        <w:t>adapta la re</w:t>
      </w:r>
      <w:r w:rsidR="00965FCD">
        <w:rPr>
          <w:rFonts w:eastAsia="Calibri"/>
          <w:color w:val="000000" w:themeColor="text1"/>
          <w:szCs w:val="22"/>
          <w:lang w:eastAsia="en-US"/>
        </w:rPr>
        <w:t>m</w:t>
      </w:r>
      <w:r w:rsidRPr="00506BFB">
        <w:rPr>
          <w:rFonts w:eastAsia="Calibri"/>
          <w:color w:val="000000" w:themeColor="text1"/>
          <w:szCs w:val="22"/>
          <w:lang w:eastAsia="en-US"/>
        </w:rPr>
        <w:t xml:space="preserve">isión normativa a las </w:t>
      </w:r>
      <w:r w:rsidR="00EA190F" w:rsidRPr="00506BFB">
        <w:rPr>
          <w:rFonts w:eastAsia="Calibri"/>
          <w:color w:val="000000" w:themeColor="text1"/>
          <w:szCs w:val="22"/>
          <w:lang w:eastAsia="en-US"/>
        </w:rPr>
        <w:t>modificaciones</w:t>
      </w:r>
      <w:r w:rsidRPr="00506BFB">
        <w:rPr>
          <w:rFonts w:eastAsia="Calibri"/>
          <w:color w:val="000000" w:themeColor="text1"/>
          <w:szCs w:val="22"/>
          <w:lang w:eastAsia="en-US"/>
        </w:rPr>
        <w:t xml:space="preserve"> de la Norma Foral 35/2021</w:t>
      </w:r>
      <w:r w:rsidR="00EA190F" w:rsidRPr="00506BFB">
        <w:rPr>
          <w:rFonts w:eastAsia="Calibri"/>
          <w:color w:val="000000" w:themeColor="text1"/>
          <w:szCs w:val="22"/>
          <w:lang w:eastAsia="en-US"/>
        </w:rPr>
        <w:t>.</w:t>
      </w:r>
    </w:p>
    <w:p w14:paraId="4D5D4ED6" w14:textId="44D1E95C" w:rsidR="00EA190F" w:rsidRPr="00506BFB" w:rsidRDefault="00EA190F" w:rsidP="00EA190F">
      <w:pPr>
        <w:rPr>
          <w:rFonts w:eastAsia="Calibri"/>
          <w:color w:val="000000" w:themeColor="text1"/>
          <w:szCs w:val="22"/>
          <w:lang w:eastAsia="en-US"/>
        </w:rPr>
      </w:pPr>
      <w:r w:rsidRPr="00506BFB">
        <w:rPr>
          <w:rFonts w:eastAsia="Calibri"/>
          <w:color w:val="000000" w:themeColor="text1"/>
          <w:szCs w:val="22"/>
          <w:lang w:eastAsia="en-US"/>
        </w:rPr>
        <w:t xml:space="preserve">En este sentido,  se añade la opción a través de  la remisión efectuada por el artículo 43.2 de la Norma Foral 16/1997, de 9 de junio, sobre el régimen fiscal de las cooperativas, respecto de las cooperativas de utilidad pública y las cooperativas de iniciativa social que desearan aplicar el régimen fiscal especia previsto en los artículos 7 a 17 de la Norma Foral 35/2021, de 23 de </w:t>
      </w:r>
      <w:r w:rsidRPr="00506BFB">
        <w:rPr>
          <w:rFonts w:eastAsia="Calibri"/>
          <w:color w:val="000000" w:themeColor="text1"/>
          <w:szCs w:val="22"/>
          <w:lang w:eastAsia="en-US"/>
        </w:rPr>
        <w:lastRenderedPageBreak/>
        <w:t>diciembre, que comporta la aplicación íntegra de dicho régimen, incluida la obligación de ejercitar y comunicar la opción prevista en su artículo 16, sin que resulte posible la aplicación automática del régimen de mecenazgo.</w:t>
      </w:r>
    </w:p>
    <w:p w14:paraId="6C4ED500" w14:textId="46E7C734" w:rsidR="004912BE" w:rsidRPr="00506BFB" w:rsidRDefault="004C29E6" w:rsidP="00E747CA">
      <w:pPr>
        <w:rPr>
          <w:rFonts w:eastAsia="Calibri"/>
          <w:color w:val="000000" w:themeColor="text1"/>
          <w:szCs w:val="22"/>
          <w:lang w:eastAsia="en-US"/>
        </w:rPr>
      </w:pPr>
      <w:bookmarkStart w:id="2" w:name="_Hlk219816356"/>
      <w:r w:rsidRPr="00506BFB">
        <w:rPr>
          <w:rFonts w:eastAsia="Calibri"/>
          <w:color w:val="000000" w:themeColor="text1"/>
          <w:szCs w:val="22"/>
          <w:lang w:eastAsia="en-US"/>
        </w:rPr>
        <w:t xml:space="preserve">Asimismo, </w:t>
      </w:r>
      <w:bookmarkEnd w:id="2"/>
      <w:r w:rsidR="004912BE" w:rsidRPr="00506BFB">
        <w:rPr>
          <w:rFonts w:eastAsia="Calibri"/>
          <w:color w:val="000000" w:themeColor="text1"/>
          <w:szCs w:val="22"/>
          <w:lang w:eastAsia="en-US"/>
        </w:rPr>
        <w:t xml:space="preserve">en el Impuesto sobre Sociedades y en el Impuesto sobre la Renta de No Residentes el régimen tributario aplicable a las Cooperativas de Utilidad Pública y a las Cooperativas de Iniciativa Social será el previsto en los artículos 7 a17 de la Norma Foral 35/2021, de 23 de diciembre, de régimen fiscal de las entidades sin fines lucrativos e incentivos fiscales al mecenazgo. </w:t>
      </w:r>
    </w:p>
    <w:p w14:paraId="215677D7" w14:textId="3FF06414" w:rsidR="00E747CA" w:rsidRPr="00506BFB" w:rsidRDefault="00CA30AE" w:rsidP="00E747CA">
      <w:pPr>
        <w:rPr>
          <w:rFonts w:eastAsia="Calibri"/>
          <w:color w:val="000000" w:themeColor="text1"/>
          <w:szCs w:val="22"/>
          <w:lang w:eastAsia="en-US"/>
        </w:rPr>
      </w:pPr>
      <w:r w:rsidRPr="00506BFB">
        <w:rPr>
          <w:rFonts w:eastAsia="Calibri"/>
          <w:color w:val="000000" w:themeColor="text1"/>
          <w:szCs w:val="22"/>
          <w:lang w:eastAsia="en-US"/>
        </w:rPr>
        <w:t>Además</w:t>
      </w:r>
      <w:r w:rsidR="004912BE" w:rsidRPr="00506BFB">
        <w:rPr>
          <w:rFonts w:eastAsia="Calibri"/>
          <w:color w:val="000000" w:themeColor="text1"/>
          <w:szCs w:val="22"/>
          <w:lang w:eastAsia="en-US"/>
        </w:rPr>
        <w:t>, a los donativos y aportaciones efectuadas por personas jurídicas o a los convenios de colaboración empresarial realizados a favor de las Cooperativas de Utilidad Pública y a las Cooperativas de Iniciativa Social les serán de aplicación los artículos procedentes del Capítulo II del Título III y el artículo 28 de dicha Norma Foral</w:t>
      </w:r>
      <w:r w:rsidRPr="00506BFB">
        <w:rPr>
          <w:rFonts w:eastAsia="Calibri"/>
          <w:color w:val="000000" w:themeColor="text1"/>
          <w:szCs w:val="22"/>
          <w:lang w:eastAsia="en-US"/>
        </w:rPr>
        <w:t>.</w:t>
      </w:r>
    </w:p>
    <w:p w14:paraId="5A78CF6E" w14:textId="529605CF" w:rsidR="004F00C3" w:rsidRPr="00506BFB" w:rsidRDefault="004F00C3" w:rsidP="00E747CA">
      <w:pPr>
        <w:rPr>
          <w:rFonts w:eastAsia="Calibri"/>
          <w:color w:val="000000" w:themeColor="text1"/>
          <w:szCs w:val="22"/>
          <w:lang w:eastAsia="en-US"/>
        </w:rPr>
      </w:pPr>
      <w:r w:rsidRPr="00506BFB">
        <w:rPr>
          <w:rFonts w:eastAsia="Calibri"/>
          <w:color w:val="000000" w:themeColor="text1"/>
          <w:szCs w:val="22"/>
          <w:lang w:eastAsia="en-US"/>
        </w:rPr>
        <w:t>De acuerdo con el</w:t>
      </w:r>
      <w:r w:rsidRPr="00506BFB">
        <w:rPr>
          <w:color w:val="000000" w:themeColor="text1"/>
        </w:rPr>
        <w:t xml:space="preserve"> artículo 16 de la Norma Foral, l</w:t>
      </w:r>
      <w:r w:rsidRPr="00506BFB">
        <w:rPr>
          <w:rFonts w:eastAsia="Calibri"/>
          <w:color w:val="000000" w:themeColor="text1"/>
          <w:szCs w:val="22"/>
          <w:lang w:eastAsia="en-US"/>
        </w:rPr>
        <w:t>as entidades sin fines lucrativos que deseen acogerse al régimen tributario regulado en este Título deberán solicitarlo a la Administración Tributaria habilita el desarrollo reglamentario respecto del plazo y forma.</w:t>
      </w:r>
    </w:p>
    <w:p w14:paraId="29AB6CFC" w14:textId="7C429F4E" w:rsidR="00A3217F" w:rsidRPr="00506BFB" w:rsidRDefault="00360A50" w:rsidP="004F00C3">
      <w:pPr>
        <w:rPr>
          <w:rFonts w:eastAsia="Calibri"/>
          <w:color w:val="000000" w:themeColor="text1"/>
          <w:szCs w:val="22"/>
          <w:lang w:eastAsia="en-US"/>
        </w:rPr>
      </w:pPr>
      <w:r w:rsidRPr="00506BFB">
        <w:rPr>
          <w:rFonts w:eastAsia="Calibri"/>
          <w:color w:val="000000" w:themeColor="text1"/>
          <w:szCs w:val="22"/>
          <w:lang w:eastAsia="en-US"/>
        </w:rPr>
        <w:t>Además,</w:t>
      </w:r>
      <w:r w:rsidR="00CA30AE" w:rsidRPr="00506BFB">
        <w:rPr>
          <w:rFonts w:eastAsia="Calibri"/>
          <w:color w:val="000000" w:themeColor="text1"/>
          <w:szCs w:val="22"/>
          <w:lang w:eastAsia="en-US"/>
        </w:rPr>
        <w:t xml:space="preserve"> </w:t>
      </w:r>
      <w:r w:rsidR="00A3217F" w:rsidRPr="00506BFB">
        <w:rPr>
          <w:rFonts w:eastAsia="Calibri"/>
          <w:color w:val="000000" w:themeColor="text1"/>
          <w:szCs w:val="22"/>
          <w:lang w:eastAsia="en-US"/>
        </w:rPr>
        <w:t>la Norma Foral establece la documentación que deberá ser presentada por los y las contribuyentes junto con la solicitud de aplicación del régimen especial, que comprenderá la escritura o acta de constitución, los estatutos de la entidad, la memoria explicativa de sus fines, la acreditación de estar inscritas en el registro correspondiente, así como una declaración responsable suscrita por los y las representantes legales de la entidad sobre el cumplimiento de los requisitos establecidos en el artículo 5 de la misma.</w:t>
      </w:r>
      <w:r w:rsidR="00CA30AE" w:rsidRPr="00506BFB">
        <w:rPr>
          <w:rFonts w:eastAsia="Calibri"/>
          <w:color w:val="000000" w:themeColor="text1"/>
          <w:szCs w:val="22"/>
          <w:lang w:eastAsia="en-US"/>
        </w:rPr>
        <w:t xml:space="preserve"> </w:t>
      </w:r>
    </w:p>
    <w:p w14:paraId="3497A412" w14:textId="72690BF2" w:rsidR="00CA30AE" w:rsidRPr="00506BFB" w:rsidRDefault="00045A1B" w:rsidP="004F00C3">
      <w:pPr>
        <w:rPr>
          <w:rFonts w:eastAsia="Calibri"/>
          <w:color w:val="000000" w:themeColor="text1"/>
          <w:szCs w:val="22"/>
          <w:lang w:eastAsia="en-US"/>
        </w:rPr>
      </w:pPr>
      <w:r w:rsidRPr="00506BFB">
        <w:rPr>
          <w:rFonts w:eastAsia="Calibri"/>
          <w:color w:val="000000" w:themeColor="text1"/>
          <w:szCs w:val="22"/>
          <w:lang w:eastAsia="en-US"/>
        </w:rPr>
        <w:t>De conformidad con lo dispuesto en el artículo 4, letra a), último inciso,</w:t>
      </w:r>
      <w:r w:rsidR="00FD5D44" w:rsidRPr="00506BFB">
        <w:rPr>
          <w:rFonts w:eastAsia="Calibri"/>
          <w:color w:val="000000" w:themeColor="text1"/>
          <w:szCs w:val="22"/>
          <w:lang w:eastAsia="en-US"/>
        </w:rPr>
        <w:t xml:space="preserve"> </w:t>
      </w:r>
      <w:r w:rsidRPr="00506BFB">
        <w:rPr>
          <w:rFonts w:eastAsia="Calibri"/>
          <w:color w:val="000000" w:themeColor="text1"/>
          <w:szCs w:val="22"/>
          <w:lang w:eastAsia="en-US"/>
        </w:rPr>
        <w:t>e</w:t>
      </w:r>
      <w:r w:rsidR="00CA30AE" w:rsidRPr="00506BFB">
        <w:rPr>
          <w:rFonts w:eastAsia="Calibri"/>
          <w:color w:val="000000" w:themeColor="text1"/>
          <w:szCs w:val="22"/>
          <w:lang w:eastAsia="en-US"/>
        </w:rPr>
        <w:t>n el caso de federaciones, la norma exige que todas las entidades integrantes sean aptas para el régimen, por lo que resulta exigi</w:t>
      </w:r>
      <w:r w:rsidR="00773A66" w:rsidRPr="00506BFB">
        <w:rPr>
          <w:rFonts w:eastAsia="Calibri"/>
          <w:color w:val="000000" w:themeColor="text1"/>
          <w:szCs w:val="22"/>
          <w:lang w:eastAsia="en-US"/>
        </w:rPr>
        <w:t>ble</w:t>
      </w:r>
      <w:r w:rsidR="00CA30AE" w:rsidRPr="00506BFB">
        <w:rPr>
          <w:rFonts w:eastAsia="Calibri"/>
          <w:color w:val="000000" w:themeColor="text1"/>
          <w:szCs w:val="22"/>
          <w:lang w:eastAsia="en-US"/>
        </w:rPr>
        <w:t xml:space="preserve"> la documentación acreditativa de cada una de ellas al ejercer la opción.</w:t>
      </w:r>
      <w:r w:rsidR="00B01262" w:rsidRPr="00506BFB">
        <w:rPr>
          <w:color w:val="000000" w:themeColor="text1"/>
        </w:rPr>
        <w:t xml:space="preserve"> </w:t>
      </w:r>
      <w:r w:rsidR="00B01262" w:rsidRPr="00506BFB">
        <w:rPr>
          <w:rFonts w:eastAsia="Calibri"/>
          <w:color w:val="000000" w:themeColor="text1"/>
          <w:szCs w:val="22"/>
          <w:lang w:eastAsia="en-US"/>
        </w:rPr>
        <w:t>En el Territorio Histórico de Álava, esta regulación reviste especialidad en la medida en que, para federaciones y asociaciones incluidas federaciones deportivas, la presentación de la declaración responsable y la declaración censal para nuevas incorporaciones es una obligación establecida expresamente</w:t>
      </w:r>
      <w:r w:rsidR="002A29D7" w:rsidRPr="00506BFB">
        <w:rPr>
          <w:rFonts w:eastAsia="Calibri"/>
          <w:color w:val="000000" w:themeColor="text1"/>
          <w:szCs w:val="22"/>
          <w:lang w:eastAsia="en-US"/>
        </w:rPr>
        <w:t>.</w:t>
      </w:r>
      <w:r w:rsidR="002E1F75" w:rsidRPr="00506BFB">
        <w:rPr>
          <w:rFonts w:eastAsia="Calibri"/>
          <w:color w:val="000000" w:themeColor="text1"/>
          <w:szCs w:val="22"/>
          <w:lang w:eastAsia="en-US"/>
        </w:rPr>
        <w:t xml:space="preserve"> A dicha declaración se adjuntará, obligatoriamente, la declaración responsable del representante legal de la entidad incorporada acreditando el cumplimiento de los requisitos exigidos y la declaración de utilidad pública, en los mismos términos que los aplicables en el momento de la constitución inicial de la federación o asociación</w:t>
      </w:r>
      <w:r w:rsidR="00FD5D44" w:rsidRPr="00506BFB">
        <w:rPr>
          <w:rFonts w:eastAsia="Calibri"/>
          <w:color w:val="000000" w:themeColor="text1"/>
          <w:szCs w:val="22"/>
          <w:lang w:eastAsia="en-US"/>
        </w:rPr>
        <w:t>.</w:t>
      </w:r>
    </w:p>
    <w:p w14:paraId="68D833FA" w14:textId="3C44D284" w:rsidR="00DD45D5" w:rsidRPr="00506BFB" w:rsidRDefault="00DD45D5" w:rsidP="004F00C3">
      <w:pPr>
        <w:rPr>
          <w:rFonts w:eastAsia="Calibri"/>
          <w:color w:val="000000" w:themeColor="text1"/>
          <w:szCs w:val="22"/>
          <w:u w:val="single"/>
          <w:lang w:eastAsia="en-US"/>
        </w:rPr>
      </w:pPr>
      <w:r w:rsidRPr="00506BFB">
        <w:rPr>
          <w:rFonts w:eastAsia="Calibri"/>
          <w:color w:val="000000" w:themeColor="text1"/>
          <w:szCs w:val="22"/>
          <w:u w:val="single"/>
          <w:lang w:eastAsia="en-US"/>
        </w:rPr>
        <w:t>2. REQUISITOS QUE DEBEN REUNIR LAS COOPERATIVAS DE UTILIDAD PÚBLICA Y LAS COOPERATIVAS DE INICIATIVA SOCIAL</w:t>
      </w:r>
    </w:p>
    <w:p w14:paraId="612D64A6" w14:textId="77777777" w:rsidR="00DD45D5" w:rsidRPr="00506BFB" w:rsidRDefault="00DD45D5" w:rsidP="00DD45D5">
      <w:pPr>
        <w:rPr>
          <w:color w:val="000000" w:themeColor="text1"/>
        </w:rPr>
      </w:pPr>
      <w:r w:rsidRPr="00506BFB">
        <w:rPr>
          <w:color w:val="000000" w:themeColor="text1"/>
        </w:rPr>
        <w:t>En lo que respecta a los requisitos que deben reunir las cooperativas de utilidad pública y las cooperativas de iniciativa social para que les sean de aplicación los beneficios fiscales que les reconocen, en relación con el Impuesto de Sociedades y con los tributos locales, respectivamente, los apartados segundo y tercero del artículo 43 de la Norma Foral 16/1997, de 9 de junio, sobre régimen fiscal de las cooperativas, mediante la remisión que efectúan a determinados artículos de la Norma Foral 35/2021, de 23 de diciembre, de régimen fiscal de las entidades sin fines lucrativos e incentivos fiscales al mecenazgo, se advierte el proyecto una cierta ambigüedad en relación con la cuestión de si estas entidades deben o no reunir los requisitos que establece el artículo 5 de la Norma Foral 35/2021.</w:t>
      </w:r>
    </w:p>
    <w:p w14:paraId="257B1D0E" w14:textId="77777777" w:rsidR="00DD45D5" w:rsidRPr="00506BFB" w:rsidRDefault="00DD45D5" w:rsidP="00DD45D5">
      <w:pPr>
        <w:rPr>
          <w:color w:val="000000" w:themeColor="text1"/>
        </w:rPr>
      </w:pPr>
      <w:r w:rsidRPr="00506BFB">
        <w:rPr>
          <w:color w:val="000000" w:themeColor="text1"/>
        </w:rPr>
        <w:lastRenderedPageBreak/>
        <w:t>Así, por un lado, entre la documentación que debe acompañar la comunicación de la opción por el régimen fiscal especial de las entidades sin fines lucrativos, el apartado primero del artículo 1 exige en la letra d) la presentación de una “Declaración responsable suscrita por los y las representantes legales de la entidad sobre el cumplimiento de los requisitos establecidos en el artículo 5 de la Norma Foral” (35/2021), si bien añade más adelante dentro de la misma letra que “</w:t>
      </w:r>
      <w:r w:rsidRPr="00506BFB">
        <w:rPr>
          <w:rFonts w:eastAsia="Calibri"/>
          <w:color w:val="000000" w:themeColor="text1"/>
          <w:szCs w:val="22"/>
          <w:lang w:eastAsia="en-US"/>
        </w:rPr>
        <w:t>En el caso de las Cooperativas de Utilidad Pública y de las Cooperativas de Iniciativa Social, la declaración responsable atenderá a las particularidades de su propio régimen fiscal regulado en la Norma Foral 16/1997, de 9 de junio, sobre el régimen fiscal de las cooperativas del Territorio Histórico de Araba</w:t>
      </w:r>
      <w:r w:rsidRPr="00506BFB">
        <w:rPr>
          <w:rFonts w:eastAsia="Calibri"/>
          <w:color w:val="000000" w:themeColor="text1"/>
        </w:rPr>
        <w:t>”</w:t>
      </w:r>
      <w:r w:rsidRPr="00506BFB">
        <w:rPr>
          <w:color w:val="000000" w:themeColor="text1"/>
        </w:rPr>
        <w:t>.</w:t>
      </w:r>
    </w:p>
    <w:p w14:paraId="7F167960" w14:textId="42CAACFE" w:rsidR="00DD45D5" w:rsidRPr="00506BFB" w:rsidRDefault="00DD45D5" w:rsidP="00DD45D5">
      <w:pPr>
        <w:rPr>
          <w:color w:val="000000" w:themeColor="text1"/>
        </w:rPr>
      </w:pPr>
      <w:r w:rsidRPr="00506BFB">
        <w:rPr>
          <w:color w:val="000000" w:themeColor="text1"/>
        </w:rPr>
        <w:t>Sin embargo, por otro lado, el apartado 5 del mismo artículo primero del proyecto añade que “</w:t>
      </w:r>
      <w:r w:rsidRPr="00506BFB">
        <w:rPr>
          <w:rFonts w:eastAsia="Calibri"/>
          <w:color w:val="000000" w:themeColor="text1"/>
          <w:szCs w:val="22"/>
          <w:lang w:eastAsia="en-US"/>
        </w:rPr>
        <w:t>La aplicación del régimen especial previsto en el Titulo II de la Norma Foral quedará condicionada, para cada período impositivo, al cumplimiento, durante cada uno de ellos, de las condiciones y requisitos previstos en el artículo 5 de la Norma Foral</w:t>
      </w:r>
      <w:r w:rsidRPr="00506BFB">
        <w:rPr>
          <w:rFonts w:eastAsia="Calibri"/>
          <w:color w:val="000000" w:themeColor="text1"/>
        </w:rPr>
        <w:t xml:space="preserve">”, disposición que invita a pensar, por el contrario, que las condiciones y requisitos del artículo 5 de la Norma Foral </w:t>
      </w:r>
      <w:r w:rsidR="00965FCD">
        <w:rPr>
          <w:rFonts w:eastAsia="Calibri"/>
          <w:color w:val="000000" w:themeColor="text1"/>
        </w:rPr>
        <w:t>3</w:t>
      </w:r>
      <w:r w:rsidRPr="00506BFB">
        <w:rPr>
          <w:rFonts w:eastAsia="Calibri"/>
          <w:color w:val="000000" w:themeColor="text1"/>
        </w:rPr>
        <w:t xml:space="preserve">5/2021 son también exigibles a las </w:t>
      </w:r>
      <w:r w:rsidRPr="00506BFB">
        <w:rPr>
          <w:color w:val="000000" w:themeColor="text1"/>
        </w:rPr>
        <w:t>cooperativas de utilidad pública y las cooperativas de iniciativa social.</w:t>
      </w:r>
    </w:p>
    <w:p w14:paraId="1C3B492B" w14:textId="072D23F6" w:rsidR="00DD45D5" w:rsidRPr="00506BFB" w:rsidRDefault="00DD45D5" w:rsidP="00DD45D5">
      <w:pPr>
        <w:rPr>
          <w:color w:val="000000" w:themeColor="text1"/>
        </w:rPr>
      </w:pPr>
      <w:r w:rsidRPr="00506BFB">
        <w:rPr>
          <w:color w:val="000000" w:themeColor="text1"/>
        </w:rPr>
        <w:t xml:space="preserve">Esta Comisión consultiva considera que los requisitos exigibles a </w:t>
      </w:r>
      <w:r w:rsidRPr="00506BFB">
        <w:rPr>
          <w:rFonts w:eastAsia="Calibri"/>
          <w:color w:val="000000" w:themeColor="text1"/>
        </w:rPr>
        <w:t xml:space="preserve">las </w:t>
      </w:r>
      <w:r w:rsidRPr="00506BFB">
        <w:rPr>
          <w:color w:val="000000" w:themeColor="text1"/>
        </w:rPr>
        <w:t xml:space="preserve">cooperativas de utilidad pública y a las cooperativas de iniciativa social para poder acogerse a los beneficios fiscales establecidos en el artículo 43 de la Norma Foral 16/1997, de 9 de junio, sobre régimen fiscal de las cooperativas, incluidos los relativos al Impuesto de Sociedades y a los tributos locales, son en todo caso, los que se relacionan para estas cooperativas en los artículos 41 y 42 de la Norma Foral 16/1997, no siendo exigible que </w:t>
      </w:r>
      <w:r w:rsidR="00506BFB" w:rsidRPr="00506BFB">
        <w:rPr>
          <w:color w:val="000000" w:themeColor="text1"/>
        </w:rPr>
        <w:t xml:space="preserve">en </w:t>
      </w:r>
      <w:r w:rsidRPr="00506BFB">
        <w:rPr>
          <w:color w:val="000000" w:themeColor="text1"/>
        </w:rPr>
        <w:t>estas entidades concurran, adicionalmente, los requisitos establecidos en el artículo 5 de la Norma Foral 35/2021, de 23 de diciembre, de régimen fiscal de las entidades sin fines lucrativos e incentivos fiscales al mecenazgo.</w:t>
      </w:r>
    </w:p>
    <w:p w14:paraId="2972C2AD" w14:textId="77777777" w:rsidR="00DD45D5" w:rsidRPr="00506BFB" w:rsidRDefault="00DD45D5" w:rsidP="00DD45D5">
      <w:pPr>
        <w:rPr>
          <w:color w:val="000000" w:themeColor="text1"/>
        </w:rPr>
      </w:pPr>
      <w:r w:rsidRPr="00506BFB">
        <w:rPr>
          <w:color w:val="000000" w:themeColor="text1"/>
        </w:rPr>
        <w:t>Ello resulta del propio tenor literal de los artículos 41 y 42 de la Norma Foral 16/1997, que definen y establecen los requisitos que permiten identificar a estas cooperativas, como de lo establecido en el artículo 44 de la misma Norma Foral 16/1997 que regula la “Pérdida de los beneficios fiscales” por las mismas, como también, finalmente, de la circunstancia de que la remisión que establecen los apartados 2 y 3 del artículo 43 de la Norma Foral 16/1997 al régimen fiscal de las entidades sin fines lucrativos es parcial y no en bloque o la totalidad del mismo régimen.</w:t>
      </w:r>
    </w:p>
    <w:p w14:paraId="32A32856" w14:textId="77777777" w:rsidR="00DD45D5" w:rsidRPr="00506BFB" w:rsidRDefault="00DD45D5" w:rsidP="00DD45D5">
      <w:pPr>
        <w:rPr>
          <w:color w:val="000000" w:themeColor="text1"/>
        </w:rPr>
      </w:pPr>
      <w:r w:rsidRPr="00506BFB">
        <w:rPr>
          <w:color w:val="000000" w:themeColor="text1"/>
        </w:rPr>
        <w:t xml:space="preserve">En consecuencia con lo anterior, lo establecido en relación con este punto en el proyecto es conforme con el ordenamiento jurídico siempre que se interprete en el sentido expuesto, es decir en el sentido de que </w:t>
      </w:r>
      <w:r w:rsidRPr="00506BFB">
        <w:rPr>
          <w:rFonts w:eastAsia="Calibri"/>
          <w:color w:val="000000" w:themeColor="text1"/>
        </w:rPr>
        <w:t xml:space="preserve">las </w:t>
      </w:r>
      <w:r w:rsidRPr="00506BFB">
        <w:rPr>
          <w:color w:val="000000" w:themeColor="text1"/>
        </w:rPr>
        <w:t>cooperativas de utilidad pública y de iniciativa social, para poder acogerse a los beneficios fiscales establecidos en el artículo 43 de la Norma Foral 16/1997, de 9 de junio, incluidos los relativos al Impuesto de Sociedades y a los tributos locales, deben reunir los requisitos establecidos para las mismas en los artículos 41 y 42 de la Norma Foral 16/1997, no siéndoles exigibles, en cambio, los requisitos establecidos con carácter general en el artículo 5 de la Norma Foral 35/2021, de 23 de diciembre.</w:t>
      </w:r>
    </w:p>
    <w:p w14:paraId="237F8670" w14:textId="29232336" w:rsidR="00002ACD" w:rsidRPr="00506BFB" w:rsidRDefault="00DD45D5" w:rsidP="00E747CA">
      <w:pPr>
        <w:rPr>
          <w:rFonts w:eastAsia="Calibri"/>
          <w:color w:val="000000" w:themeColor="text1"/>
          <w:szCs w:val="22"/>
          <w:u w:val="single"/>
          <w:lang w:eastAsia="en-US"/>
        </w:rPr>
      </w:pPr>
      <w:r w:rsidRPr="00506BFB">
        <w:rPr>
          <w:rFonts w:eastAsia="Calibri"/>
          <w:color w:val="000000" w:themeColor="text1"/>
          <w:szCs w:val="22"/>
          <w:u w:val="single"/>
          <w:lang w:eastAsia="en-US"/>
        </w:rPr>
        <w:t xml:space="preserve">3. </w:t>
      </w:r>
      <w:r w:rsidR="00002ACD" w:rsidRPr="00506BFB">
        <w:rPr>
          <w:rFonts w:eastAsia="Calibri"/>
          <w:color w:val="000000" w:themeColor="text1"/>
          <w:szCs w:val="22"/>
          <w:u w:val="single"/>
          <w:lang w:eastAsia="en-US"/>
        </w:rPr>
        <w:t>OBLIGACIONES DE INFORMACIÓN Y JUSTIFICACIÓN DOCUMENTAL</w:t>
      </w:r>
    </w:p>
    <w:p w14:paraId="582FFCAD" w14:textId="38848336" w:rsidR="00D91679" w:rsidRPr="00506BFB" w:rsidRDefault="00002ACD" w:rsidP="00D91679">
      <w:pPr>
        <w:rPr>
          <w:rFonts w:eastAsia="Calibri"/>
          <w:color w:val="000000" w:themeColor="text1"/>
          <w:szCs w:val="22"/>
          <w:lang w:eastAsia="en-US"/>
        </w:rPr>
      </w:pPr>
      <w:r w:rsidRPr="00506BFB">
        <w:rPr>
          <w:rFonts w:eastAsia="Calibri"/>
          <w:color w:val="000000" w:themeColor="text1"/>
          <w:szCs w:val="22"/>
          <w:lang w:eastAsia="en-US"/>
        </w:rPr>
        <w:t>El Capítulo IV regula las obligaciones de información y justificación documental en el ámbito de régimen fiscal de los donativos, donaciones, aportaciones y prestaciones gratuitas de</w:t>
      </w:r>
      <w:r w:rsidR="00D91679" w:rsidRPr="00506BFB">
        <w:rPr>
          <w:rFonts w:eastAsia="Calibri"/>
          <w:color w:val="000000" w:themeColor="text1"/>
          <w:szCs w:val="22"/>
          <w:lang w:eastAsia="en-US"/>
        </w:rPr>
        <w:t xml:space="preserve"> servicios.</w:t>
      </w:r>
      <w:r w:rsidR="00D91679" w:rsidRPr="00506BFB">
        <w:rPr>
          <w:color w:val="000000" w:themeColor="text1"/>
        </w:rPr>
        <w:t xml:space="preserve"> El a</w:t>
      </w:r>
      <w:r w:rsidR="00D91679" w:rsidRPr="00506BFB">
        <w:rPr>
          <w:rFonts w:eastAsia="Calibri"/>
          <w:color w:val="000000" w:themeColor="text1"/>
          <w:szCs w:val="22"/>
          <w:lang w:eastAsia="en-US"/>
        </w:rPr>
        <w:t>rtículo 26 de la Norma Foral respecto de la justificación de los donativos, donaciones, aportaciones y prestaciones gratuitas de servicios deducibles condiciona la efectividad de los donativos, donaciones, aportaciones y prestaciones gratuitas de servicios deducibles a través de la presentación por parte de la entidad beneficiaria del modelo informativo que se apruebe al efecto que es objeto de desarrollo reglamentario.</w:t>
      </w:r>
    </w:p>
    <w:p w14:paraId="1A469F4C" w14:textId="24E79AF7" w:rsidR="00336887" w:rsidRPr="00506BFB" w:rsidRDefault="00336887" w:rsidP="004C4889">
      <w:pPr>
        <w:rPr>
          <w:rFonts w:eastAsia="Calibri"/>
          <w:color w:val="000000" w:themeColor="text1"/>
          <w:szCs w:val="22"/>
          <w:lang w:eastAsia="en-US"/>
        </w:rPr>
      </w:pPr>
      <w:r w:rsidRPr="00506BFB">
        <w:rPr>
          <w:rFonts w:eastAsia="Calibri"/>
          <w:color w:val="000000" w:themeColor="text1"/>
          <w:szCs w:val="22"/>
          <w:lang w:eastAsia="en-US"/>
        </w:rPr>
        <w:lastRenderedPageBreak/>
        <w:t xml:space="preserve">La disposición Transitoria </w:t>
      </w:r>
      <w:r w:rsidR="00161696" w:rsidRPr="00506BFB">
        <w:rPr>
          <w:rFonts w:eastAsia="Calibri"/>
          <w:color w:val="000000" w:themeColor="text1"/>
          <w:szCs w:val="22"/>
          <w:lang w:eastAsia="en-US"/>
        </w:rPr>
        <w:t xml:space="preserve">única de la Norma </w:t>
      </w:r>
      <w:r w:rsidR="000D495D" w:rsidRPr="00506BFB">
        <w:rPr>
          <w:rFonts w:eastAsia="Calibri"/>
          <w:color w:val="000000" w:themeColor="text1"/>
          <w:szCs w:val="22"/>
          <w:lang w:eastAsia="en-US"/>
        </w:rPr>
        <w:t>Foral</w:t>
      </w:r>
      <w:r w:rsidR="00161696" w:rsidRPr="00506BFB">
        <w:rPr>
          <w:rFonts w:eastAsia="Calibri"/>
          <w:color w:val="000000" w:themeColor="text1"/>
          <w:szCs w:val="22"/>
          <w:lang w:eastAsia="en-US"/>
        </w:rPr>
        <w:t xml:space="preserve"> </w:t>
      </w:r>
      <w:r w:rsidRPr="00506BFB">
        <w:rPr>
          <w:rFonts w:eastAsia="Calibri"/>
          <w:color w:val="000000" w:themeColor="text1"/>
          <w:szCs w:val="22"/>
          <w:lang w:eastAsia="en-US"/>
        </w:rPr>
        <w:t>establece determinadas obligaciones de información que, para la aplicación del nuevo régimen fiscal, deben cumplimentar las entidades que, en el momento de la entrada en vigor de la presente Norma Foral, estuvieran aplicando el régimen fiscal especial establecido en el Título II de la Norma Foral 16/2004, de 24 de febrero, de régimen fiscal de las entidades sin fines lucrativos y de los incentivos fiscales al mecenazgo.</w:t>
      </w:r>
    </w:p>
    <w:p w14:paraId="757B43F4" w14:textId="544008ED" w:rsidR="00161696" w:rsidRPr="00506BFB" w:rsidRDefault="00161696" w:rsidP="004C4889">
      <w:pPr>
        <w:rPr>
          <w:rFonts w:eastAsia="Calibri"/>
          <w:color w:val="000000" w:themeColor="text1"/>
          <w:szCs w:val="22"/>
          <w:lang w:eastAsia="en-US"/>
        </w:rPr>
      </w:pPr>
      <w:r w:rsidRPr="00506BFB">
        <w:rPr>
          <w:rFonts w:eastAsia="Calibri"/>
          <w:color w:val="000000" w:themeColor="text1"/>
          <w:szCs w:val="22"/>
          <w:lang w:eastAsia="en-US"/>
        </w:rPr>
        <w:t>Reglamentariamente</w:t>
      </w:r>
      <w:r w:rsidR="00D05E42" w:rsidRPr="00506BFB">
        <w:rPr>
          <w:rFonts w:eastAsia="Calibri"/>
          <w:color w:val="000000" w:themeColor="text1"/>
          <w:szCs w:val="22"/>
          <w:lang w:eastAsia="en-US"/>
        </w:rPr>
        <w:t>,</w:t>
      </w:r>
      <w:r w:rsidRPr="00506BFB">
        <w:rPr>
          <w:rFonts w:eastAsia="Calibri"/>
          <w:color w:val="000000" w:themeColor="text1"/>
          <w:szCs w:val="22"/>
          <w:lang w:eastAsia="en-US"/>
        </w:rPr>
        <w:t xml:space="preserve"> se desarrolla la regulación del modelo informativo en relación con los donativos, donaciones, aportaciones y prestaciones gratuitas de servicios recibidas.</w:t>
      </w:r>
    </w:p>
    <w:p w14:paraId="166B10E5" w14:textId="69822AF8" w:rsidR="00FA5B2A" w:rsidRPr="00506BFB" w:rsidRDefault="00FA5B2A" w:rsidP="004C4889">
      <w:pPr>
        <w:rPr>
          <w:rFonts w:eastAsia="Calibri"/>
          <w:color w:val="000000" w:themeColor="text1"/>
          <w:szCs w:val="22"/>
          <w:lang w:eastAsia="en-US"/>
        </w:rPr>
      </w:pPr>
      <w:r w:rsidRPr="00506BFB">
        <w:rPr>
          <w:rFonts w:eastAsia="Calibri"/>
          <w:color w:val="000000" w:themeColor="text1"/>
          <w:szCs w:val="22"/>
          <w:lang w:eastAsia="en-US"/>
        </w:rPr>
        <w:t>Entre sus novedades cabe destacar que la presentación del modelo informativo por parte de la entidad beneficiaria del mecenazgo deja de estar condicionada a la solicitud de certificación por parte de la persona aportante, así como el establecimiento del procedimiento previsto en el artículo 26.3 de la Norma Foral, para obtener la autorización que permita la no inclusión de ciertos datos en el modelo informativo en supuestos excepcionales. Asimismo, se efectúa la concreción de la justificación de la obligación de presentar la documentación justificativa por parte de la persona que realice aportaciones a determinadas entidades no residentes, incluyendo junto a la misma la exoneración del cumplimiento de dicha obligación en el supuesto de que la propia entidad sin fines lucrativos tenga la obligación de presentar el modelo informativo.</w:t>
      </w:r>
    </w:p>
    <w:p w14:paraId="0E38558F" w14:textId="1591283D" w:rsidR="00377CCB" w:rsidRPr="00506BFB" w:rsidRDefault="00DD45D5" w:rsidP="004C4889">
      <w:pPr>
        <w:rPr>
          <w:rFonts w:eastAsia="Calibri"/>
          <w:color w:val="000000" w:themeColor="text1"/>
          <w:szCs w:val="22"/>
          <w:u w:val="single"/>
          <w:lang w:eastAsia="en-US"/>
        </w:rPr>
      </w:pPr>
      <w:r w:rsidRPr="00506BFB">
        <w:rPr>
          <w:rFonts w:eastAsia="Calibri"/>
          <w:color w:val="000000" w:themeColor="text1"/>
          <w:szCs w:val="22"/>
          <w:u w:val="single"/>
          <w:lang w:eastAsia="en-US"/>
        </w:rPr>
        <w:t xml:space="preserve">4. </w:t>
      </w:r>
      <w:r w:rsidR="00377CCB" w:rsidRPr="00506BFB">
        <w:rPr>
          <w:rFonts w:eastAsia="Calibri"/>
          <w:color w:val="000000" w:themeColor="text1"/>
          <w:szCs w:val="22"/>
          <w:u w:val="single"/>
          <w:lang w:eastAsia="en-US"/>
        </w:rPr>
        <w:t>RÉGIMEN FISCAL DE LAS ENTIDADES SIN FINES LUCRATIVOS</w:t>
      </w:r>
    </w:p>
    <w:p w14:paraId="29B20CE3" w14:textId="46161047" w:rsidR="00AD531B" w:rsidRPr="00506BFB" w:rsidRDefault="008006A7" w:rsidP="004C4889">
      <w:pPr>
        <w:rPr>
          <w:rFonts w:eastAsia="Calibri"/>
          <w:color w:val="000000" w:themeColor="text1"/>
          <w:szCs w:val="22"/>
          <w:lang w:eastAsia="en-US"/>
        </w:rPr>
      </w:pPr>
      <w:r w:rsidRPr="00506BFB">
        <w:rPr>
          <w:rFonts w:eastAsia="Calibri"/>
          <w:color w:val="000000" w:themeColor="text1"/>
          <w:szCs w:val="22"/>
          <w:lang w:eastAsia="en-US"/>
        </w:rPr>
        <w:t>El apartado 3 del artículo 20 de la Norma Foral regula que no perderán el carácter de donativo, donación, aportación o prestación gratuita de servicios, los supuestos en los que se produzca una compensación simbólica o reputacional para la persona o entidad que las realice, siempre que no tenga como finalidad principal la publicidad o propaganda de la misma</w:t>
      </w:r>
      <w:r w:rsidR="00965FCD">
        <w:rPr>
          <w:rFonts w:eastAsia="Calibri"/>
          <w:color w:val="000000" w:themeColor="text1"/>
          <w:szCs w:val="22"/>
          <w:lang w:eastAsia="en-US"/>
        </w:rPr>
        <w:t>.</w:t>
      </w:r>
    </w:p>
    <w:p w14:paraId="519718BA" w14:textId="4A8588AA" w:rsidR="00F248FD" w:rsidRPr="00506BFB" w:rsidRDefault="00DD45D5" w:rsidP="004C4889">
      <w:pPr>
        <w:rPr>
          <w:rFonts w:eastAsia="Calibri"/>
          <w:color w:val="000000" w:themeColor="text1"/>
          <w:szCs w:val="22"/>
          <w:u w:val="single"/>
          <w:lang w:eastAsia="en-US"/>
        </w:rPr>
      </w:pPr>
      <w:r w:rsidRPr="00506BFB">
        <w:rPr>
          <w:rFonts w:eastAsia="Calibri"/>
          <w:color w:val="000000" w:themeColor="text1"/>
          <w:szCs w:val="22"/>
          <w:u w:val="single"/>
          <w:lang w:eastAsia="en-US"/>
        </w:rPr>
        <w:t xml:space="preserve">5. </w:t>
      </w:r>
      <w:r w:rsidR="00F248FD" w:rsidRPr="00506BFB">
        <w:rPr>
          <w:rFonts w:eastAsia="Calibri"/>
          <w:color w:val="000000" w:themeColor="text1"/>
          <w:szCs w:val="22"/>
          <w:u w:val="single"/>
          <w:lang w:eastAsia="en-US"/>
        </w:rPr>
        <w:t>ACTIVIDADES DE INTERÉS GENERAL</w:t>
      </w:r>
    </w:p>
    <w:p w14:paraId="6CC61224" w14:textId="7BD65D2A" w:rsidR="00AB036B" w:rsidRPr="00506BFB" w:rsidRDefault="00AB036B" w:rsidP="004C4889">
      <w:pPr>
        <w:rPr>
          <w:rFonts w:eastAsia="Calibri"/>
          <w:color w:val="000000" w:themeColor="text1"/>
          <w:szCs w:val="22"/>
          <w:lang w:eastAsia="en-US"/>
        </w:rPr>
      </w:pPr>
      <w:r w:rsidRPr="00506BFB">
        <w:rPr>
          <w:rFonts w:eastAsia="Calibri"/>
          <w:color w:val="000000" w:themeColor="text1"/>
          <w:szCs w:val="22"/>
          <w:lang w:eastAsia="en-US"/>
        </w:rPr>
        <w:t>El Capítulo V, desarrolla lo previsto en el artículo 29 de la Norma Foral en cuanto a los gastos deducibles en actividades de interés general.</w:t>
      </w:r>
    </w:p>
    <w:p w14:paraId="1B7DA261" w14:textId="72D740DF" w:rsidR="003C6524" w:rsidRPr="00506BFB" w:rsidRDefault="00A027F9" w:rsidP="00FD7CFE">
      <w:pPr>
        <w:rPr>
          <w:rFonts w:eastAsia="Calibri"/>
          <w:color w:val="000000" w:themeColor="text1"/>
          <w:szCs w:val="22"/>
          <w:lang w:eastAsia="en-US"/>
        </w:rPr>
      </w:pPr>
      <w:r w:rsidRPr="00506BFB">
        <w:rPr>
          <w:rFonts w:eastAsia="Calibri"/>
          <w:color w:val="000000" w:themeColor="text1"/>
          <w:szCs w:val="22"/>
          <w:lang w:eastAsia="en-US"/>
        </w:rPr>
        <w:t xml:space="preserve">De conformidad  con lo dispuesto en el artículo 29 de la Norma Foral de régimen fiscal de las entidades sin fines lucrativos y de los incentivos fiscales al mecenazgo, a efectos de la determinación de la base imponible del Impuesto sobre Sociedades, del Impuesto sobre la Renta de no Residentes de los y las contribuyentes que operen mediante establecimiento permanente o del rendimiento neto de la actividad económica de los y las contribuyentes del Impuesto sobre la Renta de las Personas Físicas, tendrán la consideración de deducibles los gastos realizados para fines de interés general, </w:t>
      </w:r>
      <w:r w:rsidR="001C5EFD" w:rsidRPr="00506BFB">
        <w:rPr>
          <w:rFonts w:eastAsia="Calibri"/>
          <w:color w:val="000000" w:themeColor="text1"/>
          <w:szCs w:val="22"/>
          <w:lang w:eastAsia="en-US"/>
        </w:rPr>
        <w:t xml:space="preserve">desarrollando el </w:t>
      </w:r>
      <w:r w:rsidRPr="00506BFB">
        <w:rPr>
          <w:rFonts w:eastAsia="Calibri"/>
          <w:color w:val="000000" w:themeColor="text1"/>
          <w:szCs w:val="22"/>
          <w:lang w:eastAsia="en-US"/>
        </w:rPr>
        <w:t xml:space="preserve"> reglamento  los requisitos para que proceda la deducción de tales cantidades, las entidades o personas interesadas deberán comunicar por escrito a la Administración tributaria la realización de dichas actividades de interés general, el importe del gasto, así como una memoria en la que se describa y justifique la contribución de la actividad de que se trate a los fines de interés general</w:t>
      </w:r>
      <w:r w:rsidR="001658EB" w:rsidRPr="00506BFB">
        <w:rPr>
          <w:rFonts w:eastAsia="Calibri"/>
          <w:color w:val="000000" w:themeColor="text1"/>
          <w:szCs w:val="22"/>
          <w:lang w:eastAsia="en-US"/>
        </w:rPr>
        <w:t>.</w:t>
      </w:r>
    </w:p>
    <w:p w14:paraId="329BB134" w14:textId="4309252F" w:rsidR="0006014F" w:rsidRPr="00506BFB" w:rsidRDefault="00DD45D5" w:rsidP="004C4889">
      <w:pPr>
        <w:rPr>
          <w:rFonts w:eastAsia="Calibri"/>
          <w:color w:val="000000" w:themeColor="text1"/>
          <w:szCs w:val="22"/>
          <w:lang w:eastAsia="en-US"/>
        </w:rPr>
      </w:pPr>
      <w:r w:rsidRPr="00506BFB">
        <w:rPr>
          <w:rFonts w:eastAsia="Calibri"/>
          <w:color w:val="000000" w:themeColor="text1"/>
          <w:szCs w:val="22"/>
          <w:u w:val="single"/>
          <w:lang w:eastAsia="en-US"/>
        </w:rPr>
        <w:t xml:space="preserve">6. </w:t>
      </w:r>
      <w:r w:rsidR="0006014F" w:rsidRPr="00506BFB">
        <w:rPr>
          <w:rFonts w:eastAsia="Calibri"/>
          <w:color w:val="000000" w:themeColor="text1"/>
          <w:szCs w:val="22"/>
          <w:u w:val="single"/>
          <w:lang w:eastAsia="en-US"/>
        </w:rPr>
        <w:t>ACTIVIDADES PRIORITARIAS</w:t>
      </w:r>
      <w:r w:rsidR="0006014F" w:rsidRPr="00506BFB">
        <w:rPr>
          <w:rFonts w:eastAsia="Calibri"/>
          <w:color w:val="000000" w:themeColor="text1"/>
          <w:szCs w:val="22"/>
          <w:lang w:eastAsia="en-US"/>
        </w:rPr>
        <w:t xml:space="preserve"> </w:t>
      </w:r>
    </w:p>
    <w:p w14:paraId="3D927420" w14:textId="3E82E2C5" w:rsidR="0006014F" w:rsidRPr="00506BFB" w:rsidRDefault="00DD3CA5" w:rsidP="004C4889">
      <w:pPr>
        <w:rPr>
          <w:rFonts w:eastAsia="Calibri"/>
          <w:b/>
          <w:bCs/>
          <w:color w:val="000000" w:themeColor="text1"/>
          <w:szCs w:val="22"/>
          <w:lang w:eastAsia="en-US"/>
        </w:rPr>
      </w:pPr>
      <w:r w:rsidRPr="00506BFB">
        <w:rPr>
          <w:rFonts w:eastAsia="Calibri"/>
          <w:color w:val="000000" w:themeColor="text1"/>
          <w:szCs w:val="22"/>
          <w:lang w:eastAsia="en-US"/>
        </w:rPr>
        <w:t>El Capítulo VI, especifica los supuestos de deducibilidad' de donativos, donaciones, aportaciones y prestaciones gratuitas de servicios en actividades prioritarias, en relación con los incentivos fiscales contenidos en el artículo 31 de la Norma Foral (Actividades y programas prioritarios de mecenazgo</w:t>
      </w:r>
      <w:r w:rsidRPr="00506BFB">
        <w:rPr>
          <w:rFonts w:eastAsia="Calibri"/>
          <w:b/>
          <w:bCs/>
          <w:color w:val="000000" w:themeColor="text1"/>
          <w:szCs w:val="22"/>
          <w:lang w:eastAsia="en-US"/>
        </w:rPr>
        <w:t xml:space="preserve">. </w:t>
      </w:r>
    </w:p>
    <w:p w14:paraId="4630DBFC" w14:textId="50E45A42" w:rsidR="004C4889" w:rsidRPr="00506BFB" w:rsidRDefault="0006014F" w:rsidP="0006014F">
      <w:pPr>
        <w:rPr>
          <w:rFonts w:eastAsia="Calibri"/>
          <w:color w:val="000000" w:themeColor="text1"/>
          <w:szCs w:val="22"/>
          <w:lang w:eastAsia="en-US"/>
        </w:rPr>
      </w:pPr>
      <w:r w:rsidRPr="00506BFB">
        <w:rPr>
          <w:rFonts w:eastAsia="Calibri"/>
          <w:color w:val="000000" w:themeColor="text1"/>
          <w:szCs w:val="22"/>
          <w:lang w:eastAsia="en-US"/>
        </w:rPr>
        <w:lastRenderedPageBreak/>
        <w:t>Respecto a los incentivos fiscales previstos para la actividades y programas prioritarios,</w:t>
      </w:r>
      <w:r w:rsidRPr="00506BFB">
        <w:rPr>
          <w:color w:val="000000" w:themeColor="text1"/>
        </w:rPr>
        <w:t xml:space="preserve"> </w:t>
      </w:r>
      <w:r w:rsidRPr="00506BFB">
        <w:rPr>
          <w:rFonts w:eastAsia="Calibri"/>
          <w:color w:val="000000" w:themeColor="text1"/>
          <w:szCs w:val="22"/>
          <w:lang w:eastAsia="en-US"/>
        </w:rPr>
        <w:t xml:space="preserve">el primer párrafo de las letras a) y b) del apartado 2 del artículo 31 de la Norma Foral se refiere a las </w:t>
      </w:r>
      <w:r w:rsidR="004C4889" w:rsidRPr="00506BFB">
        <w:rPr>
          <w:rFonts w:eastAsia="Calibri"/>
          <w:color w:val="000000" w:themeColor="text1"/>
          <w:szCs w:val="22"/>
          <w:lang w:eastAsia="en-US"/>
        </w:rPr>
        <w:t xml:space="preserve"> cantidades </w:t>
      </w:r>
      <w:r w:rsidRPr="00506BFB">
        <w:rPr>
          <w:rFonts w:eastAsia="Calibri"/>
          <w:color w:val="000000" w:themeColor="text1"/>
          <w:szCs w:val="22"/>
          <w:lang w:eastAsia="en-US"/>
        </w:rPr>
        <w:t xml:space="preserve">a las que se aplica </w:t>
      </w:r>
      <w:r w:rsidR="007C50A5" w:rsidRPr="00506BFB">
        <w:rPr>
          <w:rFonts w:eastAsia="Calibri"/>
          <w:color w:val="000000" w:themeColor="text1"/>
          <w:szCs w:val="22"/>
          <w:lang w:eastAsia="en-US"/>
        </w:rPr>
        <w:t xml:space="preserve">la deducibilidad de donativos, donaciones, aportaciones y prestaciones gratuitas de servicios en actividades prioritarias </w:t>
      </w:r>
      <w:r w:rsidR="004C4889" w:rsidRPr="00506BFB">
        <w:rPr>
          <w:rFonts w:eastAsia="Calibri"/>
          <w:color w:val="000000" w:themeColor="text1"/>
          <w:szCs w:val="22"/>
          <w:lang w:eastAsia="en-US"/>
        </w:rPr>
        <w:t>se ent</w:t>
      </w:r>
      <w:r w:rsidR="007C50A5" w:rsidRPr="00506BFB">
        <w:rPr>
          <w:rFonts w:eastAsia="Calibri"/>
          <w:color w:val="000000" w:themeColor="text1"/>
          <w:szCs w:val="22"/>
          <w:lang w:eastAsia="en-US"/>
        </w:rPr>
        <w:t>iende</w:t>
      </w:r>
      <w:r w:rsidR="004C4889" w:rsidRPr="00506BFB">
        <w:rPr>
          <w:rFonts w:eastAsia="Calibri"/>
          <w:color w:val="000000" w:themeColor="text1"/>
          <w:szCs w:val="22"/>
          <w:lang w:eastAsia="en-US"/>
        </w:rPr>
        <w:t xml:space="preserve"> incluida cualquier aportación, ya sea monetaria o en especie, incluidas las prestaciones gratuitas de servicios, siempre que las mismas se destinen a la cobertura de la actividad o programa declarado prioritario. </w:t>
      </w:r>
    </w:p>
    <w:p w14:paraId="6F2BC040" w14:textId="326EE5BC" w:rsidR="004C4889" w:rsidRPr="00506BFB" w:rsidRDefault="00CB2672" w:rsidP="00CB2672">
      <w:pPr>
        <w:rPr>
          <w:rFonts w:eastAsia="Calibri"/>
          <w:color w:val="000000" w:themeColor="text1"/>
          <w:szCs w:val="22"/>
          <w:lang w:eastAsia="en-US"/>
        </w:rPr>
      </w:pPr>
      <w:r w:rsidRPr="00506BFB">
        <w:rPr>
          <w:rFonts w:eastAsia="Calibri"/>
          <w:color w:val="000000" w:themeColor="text1"/>
          <w:szCs w:val="22"/>
          <w:lang w:eastAsia="en-US"/>
        </w:rPr>
        <w:t xml:space="preserve">La Norma Foral 35/2021 señala en el </w:t>
      </w:r>
      <w:r w:rsidR="00324504" w:rsidRPr="00506BFB">
        <w:rPr>
          <w:rFonts w:eastAsia="Calibri"/>
          <w:color w:val="000000" w:themeColor="text1"/>
          <w:szCs w:val="22"/>
          <w:lang w:eastAsia="en-US"/>
        </w:rPr>
        <w:t xml:space="preserve">artículo 32, </w:t>
      </w:r>
      <w:r w:rsidRPr="00506BFB">
        <w:rPr>
          <w:rFonts w:eastAsia="Calibri"/>
          <w:color w:val="000000" w:themeColor="text1"/>
          <w:szCs w:val="22"/>
          <w:lang w:eastAsia="en-US"/>
        </w:rPr>
        <w:t>que la base de la deducción será el importe total del gasto o de la inversión realizada cuando el contenido del soporte publicitario se refiera de modo esencial a la divulgación de dichas actividades prioritarias. Esta regulación ampara la regulación reglamentaria en virtud de la</w:t>
      </w:r>
      <w:r w:rsidR="002336C1">
        <w:rPr>
          <w:rFonts w:eastAsia="Calibri"/>
          <w:color w:val="000000" w:themeColor="text1"/>
          <w:szCs w:val="22"/>
          <w:lang w:eastAsia="en-US"/>
        </w:rPr>
        <w:t xml:space="preserve"> </w:t>
      </w:r>
      <w:r w:rsidRPr="00506BFB">
        <w:rPr>
          <w:rFonts w:eastAsia="Calibri"/>
          <w:color w:val="000000" w:themeColor="text1"/>
          <w:szCs w:val="22"/>
          <w:lang w:eastAsia="en-US"/>
        </w:rPr>
        <w:t>cual, e</w:t>
      </w:r>
      <w:r w:rsidR="004C4889" w:rsidRPr="00506BFB">
        <w:rPr>
          <w:rFonts w:eastAsia="Calibri"/>
          <w:color w:val="000000" w:themeColor="text1"/>
          <w:szCs w:val="22"/>
          <w:lang w:eastAsia="en-US"/>
        </w:rPr>
        <w:t>n el caso de que la aportación sea en especie o consista en una prestación gratuita de servicios, el gasto para el aportante será el coste neto contable del bien donado o del servicio prestado, prescindiendo, en su caso, del posible margen de beneficios al que renuncia al realizar una donación o una prestación gratuita y no una transmisión onerosa.</w:t>
      </w:r>
    </w:p>
    <w:p w14:paraId="67E7D62C" w14:textId="47220988" w:rsidR="008C422D" w:rsidRPr="00506BFB" w:rsidRDefault="009C17BC" w:rsidP="007C50A5">
      <w:pPr>
        <w:rPr>
          <w:rFonts w:eastAsia="Calibri"/>
          <w:color w:val="000000" w:themeColor="text1"/>
          <w:szCs w:val="22"/>
          <w:lang w:eastAsia="en-US"/>
        </w:rPr>
      </w:pPr>
      <w:r w:rsidRPr="00506BFB">
        <w:rPr>
          <w:rFonts w:eastAsia="Calibri"/>
          <w:color w:val="000000" w:themeColor="text1"/>
          <w:szCs w:val="22"/>
          <w:lang w:eastAsia="en-US"/>
        </w:rPr>
        <w:t>Por lo tanto, n</w:t>
      </w:r>
      <w:r w:rsidR="00AE0080" w:rsidRPr="00506BFB">
        <w:rPr>
          <w:rFonts w:eastAsia="Calibri"/>
          <w:color w:val="000000" w:themeColor="text1"/>
          <w:szCs w:val="22"/>
          <w:lang w:eastAsia="en-US"/>
        </w:rPr>
        <w:t xml:space="preserve">o debe considerarse el posible margen de beneficio, sino el valor neto registrado contablemente en el momento de la donación o prestación. </w:t>
      </w:r>
    </w:p>
    <w:p w14:paraId="6A4C31EF" w14:textId="7FD48E2E" w:rsidR="00641792" w:rsidRPr="00506BFB" w:rsidRDefault="00AE0080" w:rsidP="007C50A5">
      <w:pPr>
        <w:rPr>
          <w:rFonts w:eastAsia="Calibri"/>
          <w:color w:val="000000" w:themeColor="text1"/>
          <w:szCs w:val="22"/>
          <w:lang w:eastAsia="en-US"/>
        </w:rPr>
      </w:pPr>
      <w:r w:rsidRPr="00506BFB">
        <w:rPr>
          <w:rFonts w:eastAsia="Calibri"/>
          <w:color w:val="000000" w:themeColor="text1"/>
          <w:szCs w:val="22"/>
          <w:lang w:eastAsia="en-US"/>
        </w:rPr>
        <w:t>Es decir, solo se computa el coste neto contable, lo que impide incrementar el importe deducible por el valor de mercado o por un precio teórico superior al de coste</w:t>
      </w:r>
      <w:r w:rsidR="00641792" w:rsidRPr="00506BFB">
        <w:rPr>
          <w:rFonts w:eastAsia="Calibri"/>
          <w:color w:val="000000" w:themeColor="text1"/>
          <w:szCs w:val="22"/>
          <w:lang w:eastAsia="en-US"/>
        </w:rPr>
        <w:t>, evitando que la deducción se calcule sobre un valor de mercado que incorpore márgenes de beneficio no renunciados. En este sentido, el Reglamento no introduce un criterio nuevo ni amplía el alcance de la Norma Foral, sino que desarrolla y concreta el criterio de valoración por coste aplicable a aportaciones en especie y prestaciones gratuitas de servicios en el supuesto especial de actividades prioritarias, manteniendo la lógica y los límites del régimen fiscal.</w:t>
      </w:r>
    </w:p>
    <w:p w14:paraId="392899DB" w14:textId="533E4F94" w:rsidR="00452B3D" w:rsidRPr="00506BFB" w:rsidRDefault="00452B3D" w:rsidP="007C50A5">
      <w:pPr>
        <w:rPr>
          <w:rFonts w:eastAsia="Calibri"/>
          <w:color w:val="000000" w:themeColor="text1"/>
          <w:szCs w:val="22"/>
          <w:u w:val="single"/>
          <w:lang w:eastAsia="en-US"/>
        </w:rPr>
      </w:pPr>
      <w:r w:rsidRPr="00506BFB">
        <w:rPr>
          <w:rFonts w:eastAsia="Calibri"/>
          <w:color w:val="000000" w:themeColor="text1"/>
          <w:szCs w:val="22"/>
          <w:u w:val="single"/>
          <w:lang w:eastAsia="en-US"/>
        </w:rPr>
        <w:t>Observaciones:</w:t>
      </w:r>
    </w:p>
    <w:p w14:paraId="33D70E5D" w14:textId="07F54661" w:rsidR="005A7B01" w:rsidRPr="00506BFB" w:rsidRDefault="009B2E69" w:rsidP="007C50A5">
      <w:pPr>
        <w:rPr>
          <w:rFonts w:eastAsia="Calibri"/>
          <w:color w:val="000000" w:themeColor="text1"/>
          <w:szCs w:val="22"/>
          <w:lang w:eastAsia="en-US"/>
        </w:rPr>
      </w:pPr>
      <w:r w:rsidRPr="00506BFB">
        <w:rPr>
          <w:rFonts w:eastAsia="Calibri"/>
          <w:color w:val="000000" w:themeColor="text1"/>
          <w:szCs w:val="22"/>
          <w:lang w:eastAsia="en-US"/>
        </w:rPr>
        <w:t>Se propone modificar el término coste neto contable del bien que figura en el párrafo segundo del  apartado</w:t>
      </w:r>
      <w:r w:rsidR="00C627B2">
        <w:rPr>
          <w:rFonts w:eastAsia="Calibri"/>
          <w:color w:val="000000" w:themeColor="text1"/>
          <w:szCs w:val="22"/>
          <w:lang w:eastAsia="en-US"/>
        </w:rPr>
        <w:t xml:space="preserve"> </w:t>
      </w:r>
      <w:r w:rsidRPr="00506BFB">
        <w:rPr>
          <w:rFonts w:eastAsia="Calibri"/>
          <w:color w:val="000000" w:themeColor="text1"/>
          <w:szCs w:val="22"/>
          <w:lang w:eastAsia="en-US"/>
        </w:rPr>
        <w:t xml:space="preserve">1 del artículo 12 por el valor contable </w:t>
      </w:r>
      <w:r w:rsidR="005A7B01" w:rsidRPr="00506BFB">
        <w:rPr>
          <w:rFonts w:eastAsia="Calibri"/>
          <w:color w:val="000000" w:themeColor="text1"/>
          <w:szCs w:val="22"/>
          <w:lang w:eastAsia="en-US"/>
        </w:rPr>
        <w:t xml:space="preserve">y, en su defecto, el valor determinado conforme a las normas del Impuesto sobre el l Patrimonio </w:t>
      </w:r>
      <w:r w:rsidRPr="00506BFB">
        <w:rPr>
          <w:rFonts w:eastAsia="Calibri"/>
          <w:color w:val="000000" w:themeColor="text1"/>
          <w:szCs w:val="22"/>
          <w:lang w:eastAsia="en-US"/>
        </w:rPr>
        <w:t xml:space="preserve">que es el empleado </w:t>
      </w:r>
      <w:r w:rsidR="00452B3D" w:rsidRPr="00506BFB">
        <w:rPr>
          <w:rFonts w:eastAsia="Calibri"/>
          <w:color w:val="000000" w:themeColor="text1"/>
          <w:szCs w:val="22"/>
          <w:lang w:eastAsia="en-US"/>
        </w:rPr>
        <w:t xml:space="preserve"> en el  apartado 1 a) del artículo 21 de la Norma 35/202</w:t>
      </w:r>
      <w:r w:rsidR="005A7B01" w:rsidRPr="00506BFB">
        <w:rPr>
          <w:rFonts w:eastAsia="Calibri"/>
          <w:color w:val="000000" w:themeColor="text1"/>
          <w:szCs w:val="22"/>
          <w:lang w:eastAsia="en-US"/>
        </w:rPr>
        <w:t>.</w:t>
      </w:r>
    </w:p>
    <w:p w14:paraId="58ACC7C8" w14:textId="4D6C1E93" w:rsidR="00B33A75" w:rsidRPr="00506BFB" w:rsidRDefault="005A7B01" w:rsidP="00F76300">
      <w:pPr>
        <w:rPr>
          <w:rFonts w:eastAsia="Calibri"/>
          <w:color w:val="000000" w:themeColor="text1"/>
          <w:szCs w:val="22"/>
          <w:lang w:eastAsia="en-US"/>
        </w:rPr>
      </w:pPr>
      <w:r w:rsidRPr="00506BFB">
        <w:rPr>
          <w:rFonts w:eastAsia="Calibri"/>
          <w:color w:val="000000" w:themeColor="text1"/>
          <w:szCs w:val="22"/>
          <w:lang w:eastAsia="en-US"/>
        </w:rPr>
        <w:t xml:space="preserve">En </w:t>
      </w:r>
      <w:r w:rsidR="00452B3D" w:rsidRPr="00506BFB">
        <w:rPr>
          <w:rFonts w:eastAsia="Calibri"/>
          <w:color w:val="000000" w:themeColor="text1"/>
          <w:szCs w:val="22"/>
          <w:lang w:eastAsia="en-US"/>
        </w:rPr>
        <w:t>las prestaciones gratuitas de servicios, el coste de la prestación de los servicios para el prestador, incluida en su caso, la amortización de los bienes cedidos, tal y como regula el 1.h del artículo 21 de la mencionada Norma Foral.</w:t>
      </w:r>
    </w:p>
    <w:p w14:paraId="613D9C97" w14:textId="461F84B7" w:rsidR="00F62DE4" w:rsidRPr="00506BFB" w:rsidRDefault="00DD45D5" w:rsidP="007C50A5">
      <w:pPr>
        <w:rPr>
          <w:rFonts w:eastAsia="Calibri"/>
          <w:color w:val="000000" w:themeColor="text1"/>
          <w:szCs w:val="22"/>
          <w:u w:val="single"/>
          <w:lang w:eastAsia="en-US"/>
        </w:rPr>
      </w:pPr>
      <w:r w:rsidRPr="00506BFB">
        <w:rPr>
          <w:rFonts w:eastAsia="Calibri"/>
          <w:color w:val="000000" w:themeColor="text1"/>
          <w:szCs w:val="22"/>
          <w:u w:val="single"/>
          <w:lang w:eastAsia="en-US"/>
        </w:rPr>
        <w:t xml:space="preserve">7. </w:t>
      </w:r>
      <w:r w:rsidR="00DD3CA5" w:rsidRPr="00506BFB">
        <w:rPr>
          <w:rFonts w:eastAsia="Calibri"/>
          <w:color w:val="000000" w:themeColor="text1"/>
          <w:szCs w:val="22"/>
          <w:u w:val="single"/>
          <w:lang w:eastAsia="en-US"/>
        </w:rPr>
        <w:t>PROGRAMAS DE APOYO A ACONTECIMIENTOS DE EXCEPCIONAL INTERÉS PÚBLICO</w:t>
      </w:r>
    </w:p>
    <w:p w14:paraId="365E498D" w14:textId="1F0C0659" w:rsidR="00A027F9" w:rsidRPr="00506BFB" w:rsidRDefault="00DD3CA5" w:rsidP="007C50A5">
      <w:pPr>
        <w:rPr>
          <w:rFonts w:eastAsia="Calibri"/>
          <w:color w:val="000000" w:themeColor="text1"/>
          <w:szCs w:val="22"/>
          <w:lang w:eastAsia="en-US"/>
        </w:rPr>
      </w:pPr>
      <w:r w:rsidRPr="00506BFB">
        <w:rPr>
          <w:rFonts w:eastAsia="Calibri"/>
          <w:color w:val="000000" w:themeColor="text1"/>
          <w:szCs w:val="22"/>
          <w:lang w:eastAsia="en-US"/>
        </w:rPr>
        <w:t>El Capítulo VII,</w:t>
      </w:r>
      <w:r w:rsidR="00605A99" w:rsidRPr="00506BFB">
        <w:rPr>
          <w:rFonts w:eastAsia="Calibri"/>
          <w:color w:val="000000" w:themeColor="text1"/>
          <w:szCs w:val="22"/>
          <w:lang w:eastAsia="en-US"/>
        </w:rPr>
        <w:t xml:space="preserve"> señala que </w:t>
      </w:r>
      <w:r w:rsidR="00AD1D5C" w:rsidRPr="00506BFB">
        <w:rPr>
          <w:rFonts w:eastAsia="Calibri"/>
          <w:color w:val="000000" w:themeColor="text1"/>
          <w:szCs w:val="22"/>
          <w:lang w:eastAsia="en-US"/>
        </w:rPr>
        <w:t>de conformidad en relación con el artículo 32 de la Norma</w:t>
      </w:r>
      <w:r w:rsidR="00C627B2">
        <w:rPr>
          <w:rFonts w:eastAsia="Calibri"/>
          <w:color w:val="000000" w:themeColor="text1"/>
          <w:szCs w:val="22"/>
          <w:lang w:eastAsia="en-US"/>
        </w:rPr>
        <w:t xml:space="preserve"> </w:t>
      </w:r>
      <w:r w:rsidR="00AD1D5C" w:rsidRPr="00506BFB">
        <w:rPr>
          <w:rFonts w:eastAsia="Calibri"/>
          <w:color w:val="000000" w:themeColor="text1"/>
          <w:szCs w:val="22"/>
          <w:lang w:eastAsia="en-US"/>
        </w:rPr>
        <w:t xml:space="preserve">Foral al regular </w:t>
      </w:r>
      <w:r w:rsidRPr="00506BFB">
        <w:rPr>
          <w:rFonts w:eastAsia="Calibri"/>
          <w:color w:val="000000" w:themeColor="text1"/>
          <w:szCs w:val="22"/>
          <w:lang w:eastAsia="en-US"/>
        </w:rPr>
        <w:t xml:space="preserve">los programas de apoyo a acontecimientos de excepcional interés público, </w:t>
      </w:r>
      <w:r w:rsidR="00605A99" w:rsidRPr="00506BFB">
        <w:rPr>
          <w:rFonts w:eastAsia="Calibri"/>
          <w:color w:val="000000" w:themeColor="text1"/>
          <w:szCs w:val="22"/>
          <w:lang w:eastAsia="en-US"/>
        </w:rPr>
        <w:t>se</w:t>
      </w:r>
      <w:r w:rsidR="00AD1D5C" w:rsidRPr="00506BFB">
        <w:rPr>
          <w:rFonts w:eastAsia="Calibri"/>
          <w:color w:val="000000" w:themeColor="text1"/>
          <w:szCs w:val="22"/>
          <w:lang w:eastAsia="en-US"/>
        </w:rPr>
        <w:t xml:space="preserve"> desarrolla </w:t>
      </w:r>
      <w:r w:rsidR="00605A99" w:rsidRPr="00506BFB">
        <w:rPr>
          <w:rFonts w:eastAsia="Calibri"/>
          <w:color w:val="000000" w:themeColor="text1"/>
          <w:szCs w:val="22"/>
          <w:lang w:eastAsia="en-US"/>
        </w:rPr>
        <w:t xml:space="preserve">reglamentariamente </w:t>
      </w:r>
      <w:r w:rsidR="00AD1D5C" w:rsidRPr="00506BFB">
        <w:rPr>
          <w:rFonts w:eastAsia="Calibri"/>
          <w:color w:val="000000" w:themeColor="text1"/>
          <w:szCs w:val="22"/>
          <w:lang w:eastAsia="en-US"/>
        </w:rPr>
        <w:t>el procedimiento necesario para la aplicación de los incentivos</w:t>
      </w:r>
      <w:r w:rsidR="00605A99" w:rsidRPr="00506BFB">
        <w:rPr>
          <w:rFonts w:eastAsia="Calibri"/>
          <w:color w:val="000000" w:themeColor="text1"/>
          <w:szCs w:val="22"/>
          <w:lang w:eastAsia="en-US"/>
        </w:rPr>
        <w:t xml:space="preserve"> fiscales previstos para los programas de apoyo a acontecimientos de excepcional interés público.</w:t>
      </w:r>
    </w:p>
    <w:p w14:paraId="0E9C0ABE" w14:textId="77777777" w:rsidR="00605A99" w:rsidRPr="00506BFB" w:rsidRDefault="00605A99" w:rsidP="00605A99">
      <w:pPr>
        <w:autoSpaceDE w:val="0"/>
        <w:autoSpaceDN w:val="0"/>
        <w:adjustRightInd w:val="0"/>
        <w:spacing w:after="360"/>
        <w:rPr>
          <w:rFonts w:eastAsia="Calibri"/>
          <w:color w:val="000000" w:themeColor="text1"/>
          <w:szCs w:val="22"/>
          <w:lang w:eastAsia="en-US"/>
        </w:rPr>
      </w:pPr>
      <w:r w:rsidRPr="00506BFB">
        <w:rPr>
          <w:rFonts w:eastAsia="Calibri"/>
          <w:color w:val="000000" w:themeColor="text1"/>
          <w:szCs w:val="22"/>
          <w:lang w:eastAsia="en-US"/>
        </w:rPr>
        <w:t xml:space="preserve">Asimismo, el artículo 32 de la Norma Foral regula la faculta de la  Administración tributaria de comprobar  la concurrencia de las circunstancias o requisitos necesarios para la aplicación de los beneficios fiscales, practicando, en su caso, la regularización que resulte procedente y reglamentariamente se indica que anterior será de aplicación a los gastos de propaganda y </w:t>
      </w:r>
      <w:r w:rsidRPr="00506BFB">
        <w:rPr>
          <w:rFonts w:eastAsia="Calibri"/>
          <w:color w:val="000000" w:themeColor="text1"/>
          <w:szCs w:val="22"/>
          <w:lang w:eastAsia="en-US"/>
        </w:rPr>
        <w:lastRenderedPageBreak/>
        <w:t>publicidad de proyección plurianual que sirvan directamente para la promoción del respectivo acontecimiento de excepcional interés público.</w:t>
      </w:r>
    </w:p>
    <w:p w14:paraId="08149FFE" w14:textId="0E8AB5B3" w:rsidR="00605A99" w:rsidRPr="00506BFB" w:rsidRDefault="00DD45D5" w:rsidP="00104543">
      <w:pPr>
        <w:ind w:left="-5" w:right="0"/>
        <w:rPr>
          <w:rFonts w:eastAsia="Calibri"/>
          <w:color w:val="000000" w:themeColor="text1"/>
          <w:szCs w:val="22"/>
          <w:u w:val="single"/>
          <w:lang w:eastAsia="en-US"/>
        </w:rPr>
      </w:pPr>
      <w:r w:rsidRPr="00506BFB">
        <w:rPr>
          <w:rFonts w:eastAsia="Calibri"/>
          <w:color w:val="000000" w:themeColor="text1"/>
          <w:szCs w:val="22"/>
          <w:u w:val="single"/>
          <w:lang w:eastAsia="en-US"/>
        </w:rPr>
        <w:t xml:space="preserve">8. </w:t>
      </w:r>
      <w:r w:rsidR="00AE1D6F" w:rsidRPr="00506BFB">
        <w:rPr>
          <w:rFonts w:eastAsia="Calibri"/>
          <w:color w:val="000000" w:themeColor="text1"/>
          <w:szCs w:val="22"/>
          <w:u w:val="single"/>
          <w:lang w:eastAsia="en-US"/>
        </w:rPr>
        <w:t>DISPOSICIÓN ADICIONAL ÚNICA. Iglesia Católica y otras iglesias, confesiones y comunidades religiosas: aplicación del régimen fiscal especial y acreditación a efectos de la exclusión de la obligación de retener o ingresar a cuenta</w:t>
      </w:r>
      <w:r w:rsidR="00A92DAA">
        <w:rPr>
          <w:rFonts w:eastAsia="Calibri"/>
          <w:color w:val="000000" w:themeColor="text1"/>
          <w:szCs w:val="22"/>
          <w:u w:val="single"/>
          <w:lang w:eastAsia="en-US"/>
        </w:rPr>
        <w:t>.</w:t>
      </w:r>
    </w:p>
    <w:p w14:paraId="5ADB9AF4" w14:textId="5CC987A6" w:rsidR="00104543" w:rsidRPr="00506BFB" w:rsidRDefault="00AE1D6F" w:rsidP="00104543">
      <w:pPr>
        <w:ind w:left="-5" w:right="0"/>
        <w:rPr>
          <w:rFonts w:eastAsia="Calibri"/>
          <w:color w:val="000000" w:themeColor="text1"/>
          <w:szCs w:val="22"/>
          <w:lang w:eastAsia="en-US"/>
        </w:rPr>
      </w:pPr>
      <w:r w:rsidRPr="00506BFB">
        <w:rPr>
          <w:rFonts w:eastAsia="Calibri"/>
          <w:color w:val="000000" w:themeColor="text1"/>
          <w:szCs w:val="22"/>
          <w:lang w:eastAsia="en-US"/>
        </w:rPr>
        <w:t>En los artículos  35 y 36 de la Norma Foral se regula</w:t>
      </w:r>
      <w:r w:rsidR="00DD3CA5" w:rsidRPr="00506BFB">
        <w:rPr>
          <w:rFonts w:eastAsia="Calibri"/>
          <w:color w:val="000000" w:themeColor="text1"/>
          <w:szCs w:val="22"/>
          <w:lang w:eastAsia="en-US"/>
        </w:rPr>
        <w:t xml:space="preserve"> la aplicación de régimen fiscal especial y acreditación a efectos de la exclusión de la obligación de retener o ingresar a cuenta de la Iglesia Católica y de otras iglesias, confesiones y comunidades religiosas</w:t>
      </w:r>
      <w:r w:rsidR="001F38DD" w:rsidRPr="00506BFB">
        <w:rPr>
          <w:rFonts w:eastAsia="Calibri"/>
          <w:color w:val="000000" w:themeColor="text1"/>
          <w:szCs w:val="22"/>
          <w:lang w:eastAsia="en-US"/>
        </w:rPr>
        <w:t>, así como en las normas dictadas para su aplicación, para las fundaciones propias de estas entidades, que podrán optar por el régimen fiscal establecido en los artículos 7 a 28 de esta Norma Foral, siempre que en este último caso presenten la certificación de su inscripción en el Registro de Entidades Religiosas regulándose reglamentariamente los requisitos de la  opción y acreditaci</w:t>
      </w:r>
      <w:r w:rsidR="00A7264A" w:rsidRPr="00506BFB">
        <w:rPr>
          <w:rFonts w:eastAsia="Calibri"/>
          <w:color w:val="000000" w:themeColor="text1"/>
          <w:szCs w:val="22"/>
          <w:lang w:eastAsia="en-US"/>
        </w:rPr>
        <w:t>ón.</w:t>
      </w:r>
      <w:r w:rsidR="001F38DD" w:rsidRPr="00506BFB">
        <w:rPr>
          <w:rFonts w:eastAsia="Calibri"/>
          <w:color w:val="000000" w:themeColor="text1"/>
          <w:szCs w:val="22"/>
          <w:lang w:eastAsia="en-US"/>
        </w:rPr>
        <w:t xml:space="preserve"> </w:t>
      </w:r>
    </w:p>
    <w:p w14:paraId="63C9590D" w14:textId="016053E9" w:rsidR="002A28E7" w:rsidRPr="00302B8D" w:rsidRDefault="00DC261F" w:rsidP="00987684">
      <w:pPr>
        <w:ind w:left="-5" w:right="0"/>
        <w:rPr>
          <w:color w:val="000000" w:themeColor="text1"/>
          <w:sz w:val="24"/>
        </w:rPr>
      </w:pPr>
      <w:r w:rsidRPr="00302B8D">
        <w:rPr>
          <w:b/>
          <w:color w:val="000000" w:themeColor="text1"/>
          <w:sz w:val="24"/>
        </w:rPr>
        <w:t>IV.</w:t>
      </w:r>
      <w:r w:rsidR="002A28E7" w:rsidRPr="00302B8D">
        <w:rPr>
          <w:b/>
          <w:color w:val="000000" w:themeColor="text1"/>
          <w:sz w:val="24"/>
        </w:rPr>
        <w:t xml:space="preserve">CONCLUSIONES </w:t>
      </w:r>
    </w:p>
    <w:p w14:paraId="3E6A3558" w14:textId="6BE13AC4" w:rsidR="002A28E7" w:rsidRPr="00506BFB" w:rsidRDefault="002A28E7" w:rsidP="002A28E7">
      <w:pPr>
        <w:spacing w:after="312"/>
        <w:ind w:left="-5" w:right="0"/>
        <w:rPr>
          <w:color w:val="000000" w:themeColor="text1"/>
        </w:rPr>
      </w:pPr>
      <w:r w:rsidRPr="00506BFB">
        <w:rPr>
          <w:color w:val="000000" w:themeColor="text1"/>
        </w:rPr>
        <w:t xml:space="preserve">El Proyecto de </w:t>
      </w:r>
      <w:r w:rsidR="00621870" w:rsidRPr="00506BFB">
        <w:rPr>
          <w:color w:val="000000" w:themeColor="text1"/>
        </w:rPr>
        <w:t>Decreto Foral</w:t>
      </w:r>
      <w:r w:rsidRPr="00506BFB">
        <w:rPr>
          <w:color w:val="000000" w:themeColor="text1"/>
        </w:rPr>
        <w:t xml:space="preserve"> incorpora un desarrollo reglamentario ajustado y proporcional, se adecúa al ordenamiento jurídico y se dicta dentro del marco competencial y de habilitación legal establecido en la normativa</w:t>
      </w:r>
      <w:r w:rsidR="00DD45D5" w:rsidRPr="00506BFB">
        <w:rPr>
          <w:color w:val="000000" w:themeColor="text1"/>
        </w:rPr>
        <w:t>, sin perjuicio y siempre que el mismo Decreto Foral se entienda en el sentido expuesto en el apartado 2 de la anterior consideración jurídica IV sobre los requisitos que deben reunir las cooperativas de utilidad pública y las cooperativas de iniciativa social.</w:t>
      </w:r>
    </w:p>
    <w:p w14:paraId="3C6D4A2E" w14:textId="3244D28D" w:rsidR="000D495D" w:rsidRPr="00506BFB" w:rsidRDefault="000D495D" w:rsidP="002A28E7">
      <w:pPr>
        <w:ind w:left="-5" w:right="0"/>
        <w:rPr>
          <w:color w:val="000000" w:themeColor="text1"/>
        </w:rPr>
      </w:pPr>
    </w:p>
    <w:p w14:paraId="12C14D3A" w14:textId="77777777" w:rsidR="006D12E3" w:rsidRPr="00506BFB" w:rsidRDefault="006D12E3" w:rsidP="002A28E7">
      <w:pPr>
        <w:ind w:left="-5" w:right="0"/>
        <w:rPr>
          <w:color w:val="000000" w:themeColor="text1"/>
        </w:rPr>
      </w:pPr>
    </w:p>
    <w:p w14:paraId="1D559AA2" w14:textId="77777777" w:rsidR="000D495D" w:rsidRPr="00506BFB" w:rsidRDefault="000D495D" w:rsidP="000D495D">
      <w:pPr>
        <w:ind w:left="-5" w:right="0"/>
        <w:rPr>
          <w:color w:val="000000" w:themeColor="text1"/>
        </w:rPr>
      </w:pPr>
    </w:p>
    <w:p w14:paraId="38910046" w14:textId="77777777" w:rsidR="000D495D" w:rsidRPr="00506BFB" w:rsidRDefault="000D495D" w:rsidP="002A28E7">
      <w:pPr>
        <w:ind w:left="-5" w:right="0"/>
        <w:rPr>
          <w:color w:val="000000" w:themeColor="text1"/>
        </w:rPr>
      </w:pPr>
    </w:p>
    <w:p w14:paraId="44FD6A12" w14:textId="77777777" w:rsidR="002A28E7" w:rsidRPr="00506BFB" w:rsidRDefault="002A28E7" w:rsidP="002A28E7">
      <w:pPr>
        <w:spacing w:after="269" w:line="259" w:lineRule="auto"/>
        <w:ind w:left="0" w:right="0" w:firstLine="0"/>
        <w:jc w:val="left"/>
        <w:rPr>
          <w:color w:val="000000" w:themeColor="text1"/>
        </w:rPr>
      </w:pPr>
      <w:r w:rsidRPr="00506BFB">
        <w:rPr>
          <w:color w:val="000000" w:themeColor="text1"/>
        </w:rPr>
        <w:t xml:space="preserve"> </w:t>
      </w:r>
    </w:p>
    <w:p w14:paraId="48DB18F1" w14:textId="77777777" w:rsidR="002A28E7" w:rsidRPr="00506BFB" w:rsidRDefault="002A28E7" w:rsidP="002A28E7">
      <w:pPr>
        <w:spacing w:after="266" w:line="259" w:lineRule="auto"/>
        <w:ind w:left="0" w:right="0" w:firstLine="0"/>
        <w:jc w:val="left"/>
        <w:rPr>
          <w:color w:val="000000" w:themeColor="text1"/>
        </w:rPr>
      </w:pPr>
      <w:r w:rsidRPr="00506BFB">
        <w:rPr>
          <w:color w:val="000000" w:themeColor="text1"/>
        </w:rPr>
        <w:t xml:space="preserve"> </w:t>
      </w:r>
    </w:p>
    <w:p w14:paraId="6FC788E9" w14:textId="77777777" w:rsidR="002A28E7" w:rsidRPr="00506BFB" w:rsidRDefault="002A28E7">
      <w:pPr>
        <w:rPr>
          <w:color w:val="000000" w:themeColor="text1"/>
        </w:rPr>
      </w:pPr>
    </w:p>
    <w:sectPr w:rsidR="002A28E7" w:rsidRPr="00506BFB" w:rsidSect="009D15FA">
      <w:headerReference w:type="even" r:id="rId15"/>
      <w:headerReference w:type="default" r:id="rId16"/>
      <w:footerReference w:type="even" r:id="rId17"/>
      <w:footerReference w:type="default" r:id="rId18"/>
      <w:headerReference w:type="first" r:id="rId19"/>
      <w:footerReference w:type="first" r:id="rId2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293EBF" w14:textId="77777777" w:rsidR="000B058C" w:rsidRDefault="000B058C" w:rsidP="009D15FA">
      <w:pPr>
        <w:spacing w:after="0" w:line="240" w:lineRule="auto"/>
      </w:pPr>
      <w:r>
        <w:separator/>
      </w:r>
    </w:p>
  </w:endnote>
  <w:endnote w:type="continuationSeparator" w:id="0">
    <w:p w14:paraId="6F1C6A15" w14:textId="77777777" w:rsidR="000B058C" w:rsidRDefault="000B058C" w:rsidP="009D15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G Times (W1)">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CAB84" w14:textId="77777777" w:rsidR="00EB4767" w:rsidRDefault="00EB47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CC393" w14:textId="44013AEB" w:rsidR="00EB4767" w:rsidRDefault="00EB4767" w:rsidP="00EB4767">
    <w:pPr>
      <w:pStyle w:val="Piedepgina"/>
      <w:jc w:val="right"/>
    </w:pPr>
    <w:r>
      <w:fldChar w:fldCharType="begin"/>
    </w:r>
    <w:r>
      <w:instrText>PAGE   \* MERGEFORMAT</w:instrText>
    </w:r>
    <w:r>
      <w:fldChar w:fldCharType="separate"/>
    </w:r>
    <w:r>
      <w:t>2</w:t>
    </w:r>
    <w:r>
      <w:fldChar w:fldCharType="end"/>
    </w:r>
    <w:r>
      <w:t>/1</w:t>
    </w:r>
    <w:r>
      <w:t>1</w:t>
    </w:r>
  </w:p>
  <w:p w14:paraId="293B7C0E" w14:textId="77777777" w:rsidR="00EB4767" w:rsidRDefault="00EB47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880D" w14:textId="77777777" w:rsidR="00EB4767" w:rsidRDefault="00EB476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8FB6F" w14:textId="77777777" w:rsidR="000B058C" w:rsidRDefault="000B058C" w:rsidP="009D15FA">
      <w:pPr>
        <w:spacing w:after="0" w:line="240" w:lineRule="auto"/>
      </w:pPr>
      <w:r>
        <w:separator/>
      </w:r>
    </w:p>
  </w:footnote>
  <w:footnote w:type="continuationSeparator" w:id="0">
    <w:p w14:paraId="74542456" w14:textId="77777777" w:rsidR="000B058C" w:rsidRDefault="000B058C" w:rsidP="009D15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6058" w14:textId="77777777" w:rsidR="00EB4767" w:rsidRDefault="00EB476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207DE8" w14:paraId="32BEBCDD" w14:textId="77777777" w:rsidTr="00445E12">
      <w:tblPrEx>
        <w:tblCellMar>
          <w:top w:w="0" w:type="dxa"/>
          <w:bottom w:w="0" w:type="dxa"/>
        </w:tblCellMar>
      </w:tblPrEx>
      <w:trPr>
        <w:cantSplit/>
        <w:trHeight w:val="338"/>
      </w:trPr>
      <w:tc>
        <w:tcPr>
          <w:tcW w:w="3856" w:type="dxa"/>
        </w:tcPr>
        <w:p w14:paraId="1D19DA50" w14:textId="77777777" w:rsidR="00207DE8" w:rsidRDefault="00207DE8" w:rsidP="00207DE8">
          <w:pPr>
            <w:pStyle w:val="Encabezado"/>
          </w:pPr>
        </w:p>
      </w:tc>
      <w:tc>
        <w:tcPr>
          <w:tcW w:w="1361" w:type="dxa"/>
          <w:vMerge w:val="restart"/>
        </w:tcPr>
        <w:p w14:paraId="03D8F8B9" w14:textId="62434542" w:rsidR="00207DE8" w:rsidRDefault="00207DE8" w:rsidP="00207DE8">
          <w:pPr>
            <w:pStyle w:val="Encabezado"/>
            <w:jc w:val="center"/>
          </w:pPr>
          <w:r>
            <w:rPr>
              <w:noProof/>
            </w:rPr>
            <w:drawing>
              <wp:inline distT="0" distB="0" distL="0" distR="0" wp14:anchorId="7F8143FA" wp14:editId="14141A57">
                <wp:extent cx="428625" cy="428625"/>
                <wp:effectExtent l="0" t="0" r="9525" b="9525"/>
                <wp:docPr id="15750499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856" w:type="dxa"/>
        </w:tcPr>
        <w:p w14:paraId="35CA7386" w14:textId="77777777" w:rsidR="00207DE8" w:rsidRDefault="00207DE8" w:rsidP="00207DE8">
          <w:pPr>
            <w:pStyle w:val="Encabezado"/>
          </w:pPr>
        </w:p>
      </w:tc>
    </w:tr>
    <w:tr w:rsidR="00207DE8" w14:paraId="3DC17571" w14:textId="77777777" w:rsidTr="00445E12">
      <w:tblPrEx>
        <w:tblCellMar>
          <w:top w:w="0" w:type="dxa"/>
          <w:bottom w:w="0" w:type="dxa"/>
        </w:tblCellMar>
      </w:tblPrEx>
      <w:trPr>
        <w:cantSplit/>
        <w:trHeight w:val="337"/>
      </w:trPr>
      <w:tc>
        <w:tcPr>
          <w:tcW w:w="3856" w:type="dxa"/>
        </w:tcPr>
        <w:p w14:paraId="5A603450" w14:textId="77777777" w:rsidR="00207DE8" w:rsidRDefault="00207DE8" w:rsidP="00207DE8">
          <w:pPr>
            <w:pStyle w:val="Encabezado"/>
          </w:pPr>
        </w:p>
      </w:tc>
      <w:tc>
        <w:tcPr>
          <w:tcW w:w="1361" w:type="dxa"/>
          <w:vMerge/>
        </w:tcPr>
        <w:p w14:paraId="37C3CC96" w14:textId="77777777" w:rsidR="00207DE8" w:rsidRDefault="00207DE8" w:rsidP="00207DE8">
          <w:pPr>
            <w:pStyle w:val="Encabezado"/>
            <w:jc w:val="center"/>
          </w:pPr>
        </w:p>
      </w:tc>
      <w:tc>
        <w:tcPr>
          <w:tcW w:w="3856" w:type="dxa"/>
        </w:tcPr>
        <w:p w14:paraId="6D8C6311" w14:textId="77777777" w:rsidR="00207DE8" w:rsidRDefault="00207DE8" w:rsidP="00207DE8">
          <w:pPr>
            <w:pStyle w:val="Encabezado"/>
          </w:pPr>
        </w:p>
      </w:tc>
    </w:tr>
  </w:tbl>
  <w:p w14:paraId="254D17F9" w14:textId="77777777" w:rsidR="00207DE8" w:rsidRDefault="00207DE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9D15FA" w:rsidRPr="009D15FA" w14:paraId="4C13E79E" w14:textId="77777777" w:rsidTr="00081900">
      <w:tc>
        <w:tcPr>
          <w:tcW w:w="6804" w:type="dxa"/>
        </w:tcPr>
        <w:p w14:paraId="2FFE847A" w14:textId="77777777" w:rsidR="009D15FA" w:rsidRPr="009D15FA" w:rsidRDefault="009D15FA" w:rsidP="009D15FA">
          <w:pPr>
            <w:tabs>
              <w:tab w:val="center" w:pos="4819"/>
              <w:tab w:val="right" w:pos="9071"/>
            </w:tabs>
            <w:spacing w:after="1200" w:line="240" w:lineRule="auto"/>
            <w:ind w:left="74" w:right="0" w:firstLine="0"/>
            <w:jc w:val="left"/>
            <w:rPr>
              <w:noProof/>
              <w:color w:val="auto"/>
              <w:kern w:val="0"/>
              <w:sz w:val="16"/>
              <w:szCs w:val="20"/>
              <w:lang w:val="es-ES_tradnl"/>
              <w14:ligatures w14:val="none"/>
            </w:rPr>
          </w:pPr>
          <w:r w:rsidRPr="009D15FA">
            <w:rPr>
              <w:noProof/>
              <w:color w:val="auto"/>
              <w:kern w:val="0"/>
              <w:sz w:val="20"/>
              <w:szCs w:val="20"/>
              <w:lang w:val="es-ES_tradnl"/>
              <w14:ligatures w14:val="none"/>
            </w:rPr>
            <w:object w:dxaOrig="3301" w:dyaOrig="1126" w14:anchorId="2AAFA9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6.25pt" fillcolor="window">
                <v:imagedata r:id="rId1" o:title=""/>
              </v:shape>
              <o:OLEObject Type="Embed" ProgID="Word.Picture.8" ShapeID="_x0000_i1025" DrawAspect="Content" ObjectID="_1848817847" r:id="rId2"/>
            </w:object>
          </w:r>
        </w:p>
        <w:p w14:paraId="522D1B2E" w14:textId="77777777" w:rsidR="009D15FA" w:rsidRPr="009D15FA" w:rsidRDefault="009D15FA" w:rsidP="009D15FA">
          <w:pPr>
            <w:tabs>
              <w:tab w:val="center" w:pos="4819"/>
              <w:tab w:val="right" w:pos="9071"/>
            </w:tabs>
            <w:spacing w:after="0" w:line="240" w:lineRule="auto"/>
            <w:ind w:left="1064" w:right="0" w:firstLine="0"/>
            <w:jc w:val="left"/>
            <w:rPr>
              <w:noProof/>
              <w:color w:val="auto"/>
              <w:kern w:val="0"/>
              <w:sz w:val="16"/>
              <w:szCs w:val="20"/>
              <w:lang w:val="es-ES_tradnl"/>
              <w14:ligatures w14:val="none"/>
            </w:rPr>
          </w:pPr>
        </w:p>
      </w:tc>
      <w:tc>
        <w:tcPr>
          <w:tcW w:w="3402" w:type="dxa"/>
        </w:tcPr>
        <w:p w14:paraId="27788BE7" w14:textId="77777777" w:rsidR="009D15FA" w:rsidRPr="009D15FA" w:rsidRDefault="009D15FA" w:rsidP="009D15FA">
          <w:pPr>
            <w:spacing w:after="0" w:line="240" w:lineRule="auto"/>
            <w:ind w:left="0" w:right="0" w:firstLine="0"/>
            <w:jc w:val="left"/>
            <w:rPr>
              <w:i/>
              <w:color w:val="auto"/>
              <w:kern w:val="0"/>
              <w:sz w:val="14"/>
              <w:szCs w:val="20"/>
              <w:lang w:val="es-ES_tradnl"/>
              <w14:ligatures w14:val="none"/>
            </w:rPr>
          </w:pPr>
        </w:p>
        <w:p w14:paraId="569BEEBD" w14:textId="77777777" w:rsidR="009D15FA" w:rsidRPr="009D15FA" w:rsidRDefault="009D15FA" w:rsidP="009D15FA">
          <w:pPr>
            <w:spacing w:after="0" w:line="240" w:lineRule="auto"/>
            <w:ind w:left="0" w:right="0" w:firstLine="0"/>
            <w:jc w:val="left"/>
            <w:rPr>
              <w:i/>
              <w:color w:val="auto"/>
              <w:kern w:val="0"/>
              <w:sz w:val="20"/>
              <w:szCs w:val="20"/>
              <w:lang w:val="es-ES_tradnl"/>
              <w14:ligatures w14:val="none"/>
            </w:rPr>
          </w:pPr>
        </w:p>
        <w:p w14:paraId="3722AFFD" w14:textId="77777777" w:rsidR="009D15FA" w:rsidRPr="009D15FA" w:rsidRDefault="009D15FA" w:rsidP="009D15FA">
          <w:pPr>
            <w:spacing w:after="0" w:line="240" w:lineRule="auto"/>
            <w:ind w:left="0" w:right="0" w:firstLine="0"/>
            <w:rPr>
              <w:rFonts w:ascii="Arial" w:hAnsi="Arial"/>
              <w:b/>
              <w:color w:val="auto"/>
              <w:kern w:val="0"/>
              <w:sz w:val="16"/>
              <w:szCs w:val="20"/>
              <w:lang w:val="es-ES_tradnl"/>
              <w14:ligatures w14:val="none"/>
            </w:rPr>
          </w:pPr>
          <w:r w:rsidRPr="009D15FA">
            <w:rPr>
              <w:rFonts w:ascii="Arial" w:hAnsi="Arial"/>
              <w:b/>
              <w:color w:val="auto"/>
              <w:kern w:val="0"/>
              <w:sz w:val="16"/>
              <w:szCs w:val="20"/>
              <w:lang w:val="es-ES_tradnl"/>
              <w14:ligatures w14:val="none"/>
            </w:rPr>
            <w:t>Arabako Foru Administrazioko Aholku Batzordea</w:t>
          </w:r>
        </w:p>
        <w:p w14:paraId="48C642E5" w14:textId="77777777" w:rsidR="009D15FA" w:rsidRPr="009D15FA" w:rsidRDefault="009D15FA" w:rsidP="009D15FA">
          <w:pPr>
            <w:spacing w:after="0" w:line="240" w:lineRule="auto"/>
            <w:ind w:left="0" w:right="0" w:firstLine="0"/>
            <w:jc w:val="left"/>
            <w:rPr>
              <w:rFonts w:ascii="CG Times (W1)" w:hAnsi="CG Times (W1)"/>
              <w:color w:val="auto"/>
              <w:kern w:val="0"/>
              <w:sz w:val="20"/>
              <w:szCs w:val="20"/>
              <w:lang w:val="es-ES_tradnl"/>
              <w14:ligatures w14:val="none"/>
            </w:rPr>
          </w:pPr>
          <w:r w:rsidRPr="009D15FA">
            <w:rPr>
              <w:rFonts w:ascii="Arial" w:hAnsi="Arial"/>
              <w:color w:val="auto"/>
              <w:kern w:val="0"/>
              <w:sz w:val="16"/>
              <w:szCs w:val="20"/>
              <w:lang w:val="es-ES_tradnl"/>
              <w14:ligatures w14:val="none"/>
            </w:rPr>
            <w:t>Comisión Consultiva de la Administración Foral de Álava</w:t>
          </w:r>
        </w:p>
        <w:p w14:paraId="790117B1" w14:textId="77777777" w:rsidR="009D15FA" w:rsidRPr="009D15FA" w:rsidRDefault="009D15FA" w:rsidP="009D15FA">
          <w:pPr>
            <w:tabs>
              <w:tab w:val="center" w:pos="4819"/>
              <w:tab w:val="right" w:pos="9071"/>
            </w:tabs>
            <w:spacing w:after="240" w:line="240" w:lineRule="exact"/>
            <w:ind w:left="-68" w:right="0" w:firstLine="0"/>
            <w:jc w:val="left"/>
            <w:rPr>
              <w:b/>
              <w:noProof/>
              <w:color w:val="auto"/>
              <w:kern w:val="0"/>
              <w:sz w:val="18"/>
              <w:szCs w:val="20"/>
              <w:lang w:val="es-ES_tradnl"/>
              <w14:ligatures w14:val="none"/>
            </w:rPr>
          </w:pPr>
        </w:p>
        <w:p w14:paraId="39F6CC99" w14:textId="77777777" w:rsidR="009D15FA" w:rsidRPr="009D15FA" w:rsidRDefault="009D15FA" w:rsidP="009D15FA">
          <w:pPr>
            <w:tabs>
              <w:tab w:val="center" w:pos="4819"/>
              <w:tab w:val="right" w:pos="9071"/>
            </w:tabs>
            <w:spacing w:after="60" w:line="190" w:lineRule="exact"/>
            <w:ind w:left="-70" w:right="0" w:firstLine="0"/>
            <w:jc w:val="left"/>
            <w:rPr>
              <w:noProof/>
              <w:color w:val="auto"/>
              <w:kern w:val="0"/>
              <w:sz w:val="18"/>
              <w:szCs w:val="20"/>
              <w:lang w:val="es-ES_tradnl"/>
              <w14:ligatures w14:val="none"/>
            </w:rPr>
          </w:pPr>
        </w:p>
      </w:tc>
    </w:tr>
  </w:tbl>
  <w:p w14:paraId="532F7914" w14:textId="77777777" w:rsidR="009D15FA" w:rsidRDefault="009D15F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E0308"/>
    <w:multiLevelType w:val="hybridMultilevel"/>
    <w:tmpl w:val="D4622D52"/>
    <w:lvl w:ilvl="0" w:tplc="10587510">
      <w:start w:val="1"/>
      <w:numFmt w:val="decimal"/>
      <w:lvlText w:val="%1."/>
      <w:lvlJc w:val="left"/>
      <w:pPr>
        <w:ind w:left="22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FD81B20">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B3EBF2C">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C24E4D0">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2C45728">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0CA6ACC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FC62EEC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DC40265C">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F4006E88">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1630E5"/>
    <w:multiLevelType w:val="hybridMultilevel"/>
    <w:tmpl w:val="E81C1734"/>
    <w:lvl w:ilvl="0" w:tplc="6F7EB78C">
      <w:start w:val="1"/>
      <w:numFmt w:val="decimal"/>
      <w:lvlText w:val="%1."/>
      <w:lvlJc w:val="left"/>
      <w:pPr>
        <w:ind w:left="720" w:hanging="360"/>
      </w:pPr>
      <w:rPr>
        <w:rFonts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7203BF8"/>
    <w:multiLevelType w:val="hybridMultilevel"/>
    <w:tmpl w:val="FC6C7354"/>
    <w:lvl w:ilvl="0" w:tplc="B888D6C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29AA0B84"/>
    <w:multiLevelType w:val="hybridMultilevel"/>
    <w:tmpl w:val="F15E3B7E"/>
    <w:lvl w:ilvl="0" w:tplc="D56C52B4">
      <w:start w:val="1"/>
      <w:numFmt w:val="lowerLetter"/>
      <w:lvlText w:val="%1)"/>
      <w:lvlJc w:val="left"/>
      <w:pPr>
        <w:ind w:left="2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6BC1F42">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0CCFF04">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2C44904">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6F9E74BE">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323ECE8E">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1E4CD0A">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93DC0126">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69A0890">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25224DF"/>
    <w:multiLevelType w:val="hybridMultilevel"/>
    <w:tmpl w:val="7D80184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43AF4EE3"/>
    <w:multiLevelType w:val="hybridMultilevel"/>
    <w:tmpl w:val="8C60EB8A"/>
    <w:lvl w:ilvl="0" w:tplc="B3E84D8C">
      <w:start w:val="4"/>
      <w:numFmt w:val="bullet"/>
      <w:lvlText w:val="-"/>
      <w:lvlJc w:val="left"/>
      <w:pPr>
        <w:ind w:left="345" w:hanging="360"/>
      </w:pPr>
      <w:rPr>
        <w:rFonts w:ascii="Times New Roman" w:eastAsia="Calibri" w:hAnsi="Times New Roman" w:cs="Times New Roman" w:hint="default"/>
      </w:rPr>
    </w:lvl>
    <w:lvl w:ilvl="1" w:tplc="0C0A0003" w:tentative="1">
      <w:start w:val="1"/>
      <w:numFmt w:val="bullet"/>
      <w:lvlText w:val="o"/>
      <w:lvlJc w:val="left"/>
      <w:pPr>
        <w:ind w:left="1065" w:hanging="360"/>
      </w:pPr>
      <w:rPr>
        <w:rFonts w:ascii="Courier New" w:hAnsi="Courier New" w:cs="Courier New" w:hint="default"/>
      </w:rPr>
    </w:lvl>
    <w:lvl w:ilvl="2" w:tplc="0C0A0005" w:tentative="1">
      <w:start w:val="1"/>
      <w:numFmt w:val="bullet"/>
      <w:lvlText w:val=""/>
      <w:lvlJc w:val="left"/>
      <w:pPr>
        <w:ind w:left="1785" w:hanging="360"/>
      </w:pPr>
      <w:rPr>
        <w:rFonts w:ascii="Wingdings" w:hAnsi="Wingdings" w:hint="default"/>
      </w:rPr>
    </w:lvl>
    <w:lvl w:ilvl="3" w:tplc="0C0A0001" w:tentative="1">
      <w:start w:val="1"/>
      <w:numFmt w:val="bullet"/>
      <w:lvlText w:val=""/>
      <w:lvlJc w:val="left"/>
      <w:pPr>
        <w:ind w:left="2505" w:hanging="360"/>
      </w:pPr>
      <w:rPr>
        <w:rFonts w:ascii="Symbol" w:hAnsi="Symbol" w:hint="default"/>
      </w:rPr>
    </w:lvl>
    <w:lvl w:ilvl="4" w:tplc="0C0A0003" w:tentative="1">
      <w:start w:val="1"/>
      <w:numFmt w:val="bullet"/>
      <w:lvlText w:val="o"/>
      <w:lvlJc w:val="left"/>
      <w:pPr>
        <w:ind w:left="3225" w:hanging="360"/>
      </w:pPr>
      <w:rPr>
        <w:rFonts w:ascii="Courier New" w:hAnsi="Courier New" w:cs="Courier New" w:hint="default"/>
      </w:rPr>
    </w:lvl>
    <w:lvl w:ilvl="5" w:tplc="0C0A0005" w:tentative="1">
      <w:start w:val="1"/>
      <w:numFmt w:val="bullet"/>
      <w:lvlText w:val=""/>
      <w:lvlJc w:val="left"/>
      <w:pPr>
        <w:ind w:left="3945" w:hanging="360"/>
      </w:pPr>
      <w:rPr>
        <w:rFonts w:ascii="Wingdings" w:hAnsi="Wingdings" w:hint="default"/>
      </w:rPr>
    </w:lvl>
    <w:lvl w:ilvl="6" w:tplc="0C0A0001" w:tentative="1">
      <w:start w:val="1"/>
      <w:numFmt w:val="bullet"/>
      <w:lvlText w:val=""/>
      <w:lvlJc w:val="left"/>
      <w:pPr>
        <w:ind w:left="4665" w:hanging="360"/>
      </w:pPr>
      <w:rPr>
        <w:rFonts w:ascii="Symbol" w:hAnsi="Symbol" w:hint="default"/>
      </w:rPr>
    </w:lvl>
    <w:lvl w:ilvl="7" w:tplc="0C0A0003" w:tentative="1">
      <w:start w:val="1"/>
      <w:numFmt w:val="bullet"/>
      <w:lvlText w:val="o"/>
      <w:lvlJc w:val="left"/>
      <w:pPr>
        <w:ind w:left="5385" w:hanging="360"/>
      </w:pPr>
      <w:rPr>
        <w:rFonts w:ascii="Courier New" w:hAnsi="Courier New" w:cs="Courier New" w:hint="default"/>
      </w:rPr>
    </w:lvl>
    <w:lvl w:ilvl="8" w:tplc="0C0A0005" w:tentative="1">
      <w:start w:val="1"/>
      <w:numFmt w:val="bullet"/>
      <w:lvlText w:val=""/>
      <w:lvlJc w:val="left"/>
      <w:pPr>
        <w:ind w:left="6105" w:hanging="360"/>
      </w:pPr>
      <w:rPr>
        <w:rFonts w:ascii="Wingdings" w:hAnsi="Wingdings" w:hint="default"/>
      </w:rPr>
    </w:lvl>
  </w:abstractNum>
  <w:abstractNum w:abstractNumId="6" w15:restartNumberingAfterBreak="0">
    <w:nsid w:val="4E832B14"/>
    <w:multiLevelType w:val="hybridMultilevel"/>
    <w:tmpl w:val="F83CD94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7BD312B8"/>
    <w:multiLevelType w:val="hybridMultilevel"/>
    <w:tmpl w:val="53DC9C62"/>
    <w:lvl w:ilvl="0" w:tplc="946A22D4">
      <w:start w:val="1"/>
      <w:numFmt w:val="decimal"/>
      <w:lvlText w:val="%1."/>
      <w:lvlJc w:val="left"/>
      <w:pPr>
        <w:ind w:left="3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840A4C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D483D2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A9403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64AFD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A6645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CD0C2A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F0A146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4CAAC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2065905366">
    <w:abstractNumId w:val="7"/>
  </w:num>
  <w:num w:numId="2" w16cid:durableId="406148083">
    <w:abstractNumId w:val="3"/>
  </w:num>
  <w:num w:numId="3" w16cid:durableId="1543594995">
    <w:abstractNumId w:val="0"/>
  </w:num>
  <w:num w:numId="4" w16cid:durableId="57286141">
    <w:abstractNumId w:val="4"/>
  </w:num>
  <w:num w:numId="5" w16cid:durableId="1048804104">
    <w:abstractNumId w:val="1"/>
  </w:num>
  <w:num w:numId="6" w16cid:durableId="193155449">
    <w:abstractNumId w:val="5"/>
  </w:num>
  <w:num w:numId="7" w16cid:durableId="623001316">
    <w:abstractNumId w:val="6"/>
  </w:num>
  <w:num w:numId="8" w16cid:durableId="19165532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8E7"/>
    <w:rsid w:val="000017C7"/>
    <w:rsid w:val="00002ACD"/>
    <w:rsid w:val="00022C84"/>
    <w:rsid w:val="00025BBF"/>
    <w:rsid w:val="00045A1B"/>
    <w:rsid w:val="0006014F"/>
    <w:rsid w:val="000631BA"/>
    <w:rsid w:val="00064625"/>
    <w:rsid w:val="00094D7B"/>
    <w:rsid w:val="000B058C"/>
    <w:rsid w:val="000B13A1"/>
    <w:rsid w:val="000B2A92"/>
    <w:rsid w:val="000D2ECC"/>
    <w:rsid w:val="000D495D"/>
    <w:rsid w:val="00104543"/>
    <w:rsid w:val="00107CDB"/>
    <w:rsid w:val="001410B6"/>
    <w:rsid w:val="00161696"/>
    <w:rsid w:val="001658EB"/>
    <w:rsid w:val="001838F6"/>
    <w:rsid w:val="00183D1F"/>
    <w:rsid w:val="00184A64"/>
    <w:rsid w:val="001A6CF8"/>
    <w:rsid w:val="001B44E9"/>
    <w:rsid w:val="001C5EFD"/>
    <w:rsid w:val="001D2517"/>
    <w:rsid w:val="001D5B91"/>
    <w:rsid w:val="001E05BE"/>
    <w:rsid w:val="001F38DD"/>
    <w:rsid w:val="00207DE8"/>
    <w:rsid w:val="002336C1"/>
    <w:rsid w:val="0025264D"/>
    <w:rsid w:val="002604D4"/>
    <w:rsid w:val="00276D14"/>
    <w:rsid w:val="00281290"/>
    <w:rsid w:val="002834D4"/>
    <w:rsid w:val="00287D74"/>
    <w:rsid w:val="00291F1A"/>
    <w:rsid w:val="00297675"/>
    <w:rsid w:val="002A28E7"/>
    <w:rsid w:val="002A29D7"/>
    <w:rsid w:val="002A2FBF"/>
    <w:rsid w:val="002A537F"/>
    <w:rsid w:val="002C0124"/>
    <w:rsid w:val="002C3537"/>
    <w:rsid w:val="002C42FA"/>
    <w:rsid w:val="002C7086"/>
    <w:rsid w:val="002E1F75"/>
    <w:rsid w:val="00300E63"/>
    <w:rsid w:val="00302B8D"/>
    <w:rsid w:val="003054AA"/>
    <w:rsid w:val="0031240C"/>
    <w:rsid w:val="00324504"/>
    <w:rsid w:val="0032690A"/>
    <w:rsid w:val="00336887"/>
    <w:rsid w:val="00360A50"/>
    <w:rsid w:val="00364D8D"/>
    <w:rsid w:val="00377CCB"/>
    <w:rsid w:val="00384733"/>
    <w:rsid w:val="003A6963"/>
    <w:rsid w:val="003B75FD"/>
    <w:rsid w:val="003B7C98"/>
    <w:rsid w:val="003C1C0A"/>
    <w:rsid w:val="003C6524"/>
    <w:rsid w:val="003E6552"/>
    <w:rsid w:val="003F4763"/>
    <w:rsid w:val="00430A4E"/>
    <w:rsid w:val="0043240B"/>
    <w:rsid w:val="0043792B"/>
    <w:rsid w:val="00437EFC"/>
    <w:rsid w:val="00452B3D"/>
    <w:rsid w:val="004912BE"/>
    <w:rsid w:val="00491BAE"/>
    <w:rsid w:val="004C29E6"/>
    <w:rsid w:val="004C4889"/>
    <w:rsid w:val="004D117A"/>
    <w:rsid w:val="004F00C3"/>
    <w:rsid w:val="00506BFB"/>
    <w:rsid w:val="00525149"/>
    <w:rsid w:val="005260CE"/>
    <w:rsid w:val="005548A8"/>
    <w:rsid w:val="00567FDA"/>
    <w:rsid w:val="00574A58"/>
    <w:rsid w:val="005934BA"/>
    <w:rsid w:val="005A4F35"/>
    <w:rsid w:val="005A6576"/>
    <w:rsid w:val="005A7B01"/>
    <w:rsid w:val="005C214E"/>
    <w:rsid w:val="005D0328"/>
    <w:rsid w:val="005F1224"/>
    <w:rsid w:val="00605A99"/>
    <w:rsid w:val="00621870"/>
    <w:rsid w:val="00633810"/>
    <w:rsid w:val="00633D8B"/>
    <w:rsid w:val="00640E0E"/>
    <w:rsid w:val="00641792"/>
    <w:rsid w:val="00651815"/>
    <w:rsid w:val="00657643"/>
    <w:rsid w:val="00667F67"/>
    <w:rsid w:val="00673A1F"/>
    <w:rsid w:val="006769FB"/>
    <w:rsid w:val="00683C7E"/>
    <w:rsid w:val="006850E4"/>
    <w:rsid w:val="006A4B97"/>
    <w:rsid w:val="006A69B9"/>
    <w:rsid w:val="006D12E3"/>
    <w:rsid w:val="006D17BD"/>
    <w:rsid w:val="006D3A24"/>
    <w:rsid w:val="006E1768"/>
    <w:rsid w:val="00723824"/>
    <w:rsid w:val="00734CC9"/>
    <w:rsid w:val="00736EBF"/>
    <w:rsid w:val="00773A66"/>
    <w:rsid w:val="007A6FD8"/>
    <w:rsid w:val="007B1EF3"/>
    <w:rsid w:val="007B5E0F"/>
    <w:rsid w:val="007C50A5"/>
    <w:rsid w:val="007C5984"/>
    <w:rsid w:val="007D1AA1"/>
    <w:rsid w:val="007D1E91"/>
    <w:rsid w:val="007D66B1"/>
    <w:rsid w:val="007E7B78"/>
    <w:rsid w:val="007F32FB"/>
    <w:rsid w:val="008006A7"/>
    <w:rsid w:val="00800819"/>
    <w:rsid w:val="0080784D"/>
    <w:rsid w:val="0081352E"/>
    <w:rsid w:val="00821D42"/>
    <w:rsid w:val="00837076"/>
    <w:rsid w:val="00840695"/>
    <w:rsid w:val="00843486"/>
    <w:rsid w:val="008602A7"/>
    <w:rsid w:val="0087142A"/>
    <w:rsid w:val="00873B24"/>
    <w:rsid w:val="0088223F"/>
    <w:rsid w:val="00884A82"/>
    <w:rsid w:val="008A218B"/>
    <w:rsid w:val="008A671A"/>
    <w:rsid w:val="008C2247"/>
    <w:rsid w:val="008C422D"/>
    <w:rsid w:val="008D25AB"/>
    <w:rsid w:val="008E2A7B"/>
    <w:rsid w:val="008E4C6F"/>
    <w:rsid w:val="008F5CA6"/>
    <w:rsid w:val="008F7C45"/>
    <w:rsid w:val="00913ADB"/>
    <w:rsid w:val="009207AA"/>
    <w:rsid w:val="00921C2B"/>
    <w:rsid w:val="009302D3"/>
    <w:rsid w:val="009362FA"/>
    <w:rsid w:val="00961758"/>
    <w:rsid w:val="009618FB"/>
    <w:rsid w:val="00965FCD"/>
    <w:rsid w:val="00974D81"/>
    <w:rsid w:val="00987684"/>
    <w:rsid w:val="00992627"/>
    <w:rsid w:val="009B21C2"/>
    <w:rsid w:val="009B2E69"/>
    <w:rsid w:val="009B731A"/>
    <w:rsid w:val="009C17BC"/>
    <w:rsid w:val="009C5E17"/>
    <w:rsid w:val="009D15FA"/>
    <w:rsid w:val="009D256F"/>
    <w:rsid w:val="00A027F9"/>
    <w:rsid w:val="00A04E94"/>
    <w:rsid w:val="00A057A4"/>
    <w:rsid w:val="00A23038"/>
    <w:rsid w:val="00A302A2"/>
    <w:rsid w:val="00A3217F"/>
    <w:rsid w:val="00A416C4"/>
    <w:rsid w:val="00A63AA7"/>
    <w:rsid w:val="00A7264A"/>
    <w:rsid w:val="00A81EF7"/>
    <w:rsid w:val="00A8785C"/>
    <w:rsid w:val="00A910EC"/>
    <w:rsid w:val="00A92DAA"/>
    <w:rsid w:val="00AB036B"/>
    <w:rsid w:val="00AB3F07"/>
    <w:rsid w:val="00AB4FEC"/>
    <w:rsid w:val="00AD0757"/>
    <w:rsid w:val="00AD1D5C"/>
    <w:rsid w:val="00AD531B"/>
    <w:rsid w:val="00AE0080"/>
    <w:rsid w:val="00AE1D6F"/>
    <w:rsid w:val="00B00AAC"/>
    <w:rsid w:val="00B01262"/>
    <w:rsid w:val="00B2264B"/>
    <w:rsid w:val="00B24EE3"/>
    <w:rsid w:val="00B33A75"/>
    <w:rsid w:val="00B3656E"/>
    <w:rsid w:val="00B400F3"/>
    <w:rsid w:val="00B47F5C"/>
    <w:rsid w:val="00B55464"/>
    <w:rsid w:val="00B55855"/>
    <w:rsid w:val="00B87671"/>
    <w:rsid w:val="00BD0258"/>
    <w:rsid w:val="00BD72CE"/>
    <w:rsid w:val="00BE442D"/>
    <w:rsid w:val="00BE4BA4"/>
    <w:rsid w:val="00BF1F73"/>
    <w:rsid w:val="00C07948"/>
    <w:rsid w:val="00C106FC"/>
    <w:rsid w:val="00C12B7D"/>
    <w:rsid w:val="00C252A2"/>
    <w:rsid w:val="00C42B87"/>
    <w:rsid w:val="00C45796"/>
    <w:rsid w:val="00C5644C"/>
    <w:rsid w:val="00C627B2"/>
    <w:rsid w:val="00C67605"/>
    <w:rsid w:val="00CA172A"/>
    <w:rsid w:val="00CA30AE"/>
    <w:rsid w:val="00CB2672"/>
    <w:rsid w:val="00CD3780"/>
    <w:rsid w:val="00D03C9B"/>
    <w:rsid w:val="00D05E42"/>
    <w:rsid w:val="00D100E4"/>
    <w:rsid w:val="00D337D0"/>
    <w:rsid w:val="00D42422"/>
    <w:rsid w:val="00D523D1"/>
    <w:rsid w:val="00D529E4"/>
    <w:rsid w:val="00D5378C"/>
    <w:rsid w:val="00D573FB"/>
    <w:rsid w:val="00D631C5"/>
    <w:rsid w:val="00D81C4F"/>
    <w:rsid w:val="00D8521D"/>
    <w:rsid w:val="00D91679"/>
    <w:rsid w:val="00DB081F"/>
    <w:rsid w:val="00DC1866"/>
    <w:rsid w:val="00DC261F"/>
    <w:rsid w:val="00DD3CA5"/>
    <w:rsid w:val="00DD45D5"/>
    <w:rsid w:val="00DF6F50"/>
    <w:rsid w:val="00E176A9"/>
    <w:rsid w:val="00E26AE0"/>
    <w:rsid w:val="00E31254"/>
    <w:rsid w:val="00E31FB4"/>
    <w:rsid w:val="00E339DB"/>
    <w:rsid w:val="00E35AC8"/>
    <w:rsid w:val="00E51DC9"/>
    <w:rsid w:val="00E55CD5"/>
    <w:rsid w:val="00E747CA"/>
    <w:rsid w:val="00E93916"/>
    <w:rsid w:val="00E943B1"/>
    <w:rsid w:val="00EA190F"/>
    <w:rsid w:val="00EA58A3"/>
    <w:rsid w:val="00EB142D"/>
    <w:rsid w:val="00EB4767"/>
    <w:rsid w:val="00EE773B"/>
    <w:rsid w:val="00EF5DCF"/>
    <w:rsid w:val="00F0667F"/>
    <w:rsid w:val="00F071E9"/>
    <w:rsid w:val="00F14E8C"/>
    <w:rsid w:val="00F248FD"/>
    <w:rsid w:val="00F27ACA"/>
    <w:rsid w:val="00F31FDE"/>
    <w:rsid w:val="00F36440"/>
    <w:rsid w:val="00F5430F"/>
    <w:rsid w:val="00F55CA2"/>
    <w:rsid w:val="00F62DE4"/>
    <w:rsid w:val="00F635D2"/>
    <w:rsid w:val="00F7163F"/>
    <w:rsid w:val="00F72F78"/>
    <w:rsid w:val="00F76300"/>
    <w:rsid w:val="00FA5B2A"/>
    <w:rsid w:val="00FA70A6"/>
    <w:rsid w:val="00FB56A5"/>
    <w:rsid w:val="00FB5FE8"/>
    <w:rsid w:val="00FB649E"/>
    <w:rsid w:val="00FB68C7"/>
    <w:rsid w:val="00FC0FE6"/>
    <w:rsid w:val="00FD5D44"/>
    <w:rsid w:val="00FD7C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DDF15"/>
  <w15:chartTrackingRefBased/>
  <w15:docId w15:val="{D7A0FB5C-13A6-4387-9191-D0440C77E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8E7"/>
    <w:pPr>
      <w:spacing w:after="265" w:line="257" w:lineRule="auto"/>
      <w:ind w:left="10" w:right="6" w:hanging="10"/>
      <w:jc w:val="both"/>
    </w:pPr>
    <w:rPr>
      <w:rFonts w:ascii="Times New Roman" w:eastAsia="Times New Roman" w:hAnsi="Times New Roman" w:cs="Times New Roman"/>
      <w:color w:val="000000"/>
      <w:sz w:val="22"/>
      <w:lang w:eastAsia="es-ES"/>
    </w:rPr>
  </w:style>
  <w:style w:type="paragraph" w:styleId="Ttulo1">
    <w:name w:val="heading 1"/>
    <w:basedOn w:val="Normal"/>
    <w:next w:val="Normal"/>
    <w:link w:val="Ttulo1Car"/>
    <w:uiPriority w:val="9"/>
    <w:qFormat/>
    <w:rsid w:val="002A28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A28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A28E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A28E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A28E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A28E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A28E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A28E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A28E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28E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A28E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A28E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A28E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A28E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A28E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A28E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A28E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A28E7"/>
    <w:rPr>
      <w:rFonts w:eastAsiaTheme="majorEastAsia" w:cstheme="majorBidi"/>
      <w:color w:val="272727" w:themeColor="text1" w:themeTint="D8"/>
    </w:rPr>
  </w:style>
  <w:style w:type="paragraph" w:styleId="Ttulo">
    <w:name w:val="Title"/>
    <w:basedOn w:val="Normal"/>
    <w:next w:val="Normal"/>
    <w:link w:val="TtuloCar"/>
    <w:uiPriority w:val="10"/>
    <w:qFormat/>
    <w:rsid w:val="002A28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A28E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A28E7"/>
    <w:pPr>
      <w:numPr>
        <w:ilvl w:val="1"/>
      </w:numPr>
      <w:ind w:left="10" w:hanging="1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A28E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A28E7"/>
    <w:pPr>
      <w:spacing w:before="160"/>
      <w:jc w:val="center"/>
    </w:pPr>
    <w:rPr>
      <w:i/>
      <w:iCs/>
      <w:color w:val="404040" w:themeColor="text1" w:themeTint="BF"/>
    </w:rPr>
  </w:style>
  <w:style w:type="character" w:customStyle="1" w:styleId="CitaCar">
    <w:name w:val="Cita Car"/>
    <w:basedOn w:val="Fuentedeprrafopredeter"/>
    <w:link w:val="Cita"/>
    <w:uiPriority w:val="29"/>
    <w:rsid w:val="002A28E7"/>
    <w:rPr>
      <w:i/>
      <w:iCs/>
      <w:color w:val="404040" w:themeColor="text1" w:themeTint="BF"/>
    </w:rPr>
  </w:style>
  <w:style w:type="paragraph" w:styleId="Prrafodelista">
    <w:name w:val="List Paragraph"/>
    <w:basedOn w:val="Normal"/>
    <w:uiPriority w:val="34"/>
    <w:qFormat/>
    <w:rsid w:val="002A28E7"/>
    <w:pPr>
      <w:ind w:left="720"/>
      <w:contextualSpacing/>
    </w:pPr>
  </w:style>
  <w:style w:type="character" w:styleId="nfasisintenso">
    <w:name w:val="Intense Emphasis"/>
    <w:basedOn w:val="Fuentedeprrafopredeter"/>
    <w:uiPriority w:val="21"/>
    <w:qFormat/>
    <w:rsid w:val="002A28E7"/>
    <w:rPr>
      <w:i/>
      <w:iCs/>
      <w:color w:val="0F4761" w:themeColor="accent1" w:themeShade="BF"/>
    </w:rPr>
  </w:style>
  <w:style w:type="paragraph" w:styleId="Citadestacada">
    <w:name w:val="Intense Quote"/>
    <w:basedOn w:val="Normal"/>
    <w:next w:val="Normal"/>
    <w:link w:val="CitadestacadaCar"/>
    <w:uiPriority w:val="30"/>
    <w:qFormat/>
    <w:rsid w:val="002A28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A28E7"/>
    <w:rPr>
      <w:i/>
      <w:iCs/>
      <w:color w:val="0F4761" w:themeColor="accent1" w:themeShade="BF"/>
    </w:rPr>
  </w:style>
  <w:style w:type="character" w:styleId="Referenciaintensa">
    <w:name w:val="Intense Reference"/>
    <w:basedOn w:val="Fuentedeprrafopredeter"/>
    <w:uiPriority w:val="32"/>
    <w:qFormat/>
    <w:rsid w:val="002A28E7"/>
    <w:rPr>
      <w:b/>
      <w:bCs/>
      <w:smallCaps/>
      <w:color w:val="0F4761" w:themeColor="accent1" w:themeShade="BF"/>
      <w:spacing w:val="5"/>
    </w:rPr>
  </w:style>
  <w:style w:type="paragraph" w:styleId="Encabezado">
    <w:name w:val="header"/>
    <w:aliases w:val="Encabezado CJA"/>
    <w:basedOn w:val="Normal"/>
    <w:link w:val="EncabezadoCar"/>
    <w:uiPriority w:val="99"/>
    <w:unhideWhenUsed/>
    <w:rsid w:val="009D15F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D15FA"/>
    <w:rPr>
      <w:rFonts w:ascii="Times New Roman" w:eastAsia="Times New Roman" w:hAnsi="Times New Roman" w:cs="Times New Roman"/>
      <w:color w:val="000000"/>
      <w:sz w:val="22"/>
      <w:lang w:eastAsia="es-ES"/>
    </w:rPr>
  </w:style>
  <w:style w:type="paragraph" w:styleId="Piedepgina">
    <w:name w:val="footer"/>
    <w:basedOn w:val="Normal"/>
    <w:link w:val="PiedepginaCar"/>
    <w:uiPriority w:val="99"/>
    <w:unhideWhenUsed/>
    <w:rsid w:val="009D15F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D15FA"/>
    <w:rPr>
      <w:rFonts w:ascii="Times New Roman" w:eastAsia="Times New Roman" w:hAnsi="Times New Roman" w:cs="Times New Roman"/>
      <w:color w:val="000000"/>
      <w:sz w:val="2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398887">
      <w:bodyDiv w:val="1"/>
      <w:marLeft w:val="0"/>
      <w:marRight w:val="0"/>
      <w:marTop w:val="0"/>
      <w:marBottom w:val="0"/>
      <w:divBdr>
        <w:top w:val="none" w:sz="0" w:space="0" w:color="auto"/>
        <w:left w:val="none" w:sz="0" w:space="0" w:color="auto"/>
        <w:bottom w:val="none" w:sz="0" w:space="0" w:color="auto"/>
        <w:right w:val="none" w:sz="0" w:space="0" w:color="auto"/>
      </w:divBdr>
    </w:div>
    <w:div w:id="1639451052">
      <w:bodyDiv w:val="1"/>
      <w:marLeft w:val="0"/>
      <w:marRight w:val="0"/>
      <w:marTop w:val="0"/>
      <w:marBottom w:val="0"/>
      <w:divBdr>
        <w:top w:val="none" w:sz="0" w:space="0" w:color="auto"/>
        <w:left w:val="none" w:sz="0" w:space="0" w:color="auto"/>
        <w:bottom w:val="none" w:sz="0" w:space="0" w:color="auto"/>
        <w:right w:val="none" w:sz="0" w:space="0" w:color="auto"/>
      </w:divBdr>
    </w:div>
    <w:div w:id="190421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EAA4A6-4910-4A13-BCA4-6AD406A85F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11</Pages>
  <Words>5174</Words>
  <Characters>28460</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Garitaonandia Tutor, Gorka</dc:creator>
  <cp:keywords/>
  <dc:description/>
  <cp:lastModifiedBy>Lopez de Heredia Lopez de Vicuña, Elena</cp:lastModifiedBy>
  <cp:revision>40</cp:revision>
  <cp:lastPrinted>2026-08-21T08:51:00Z</cp:lastPrinted>
  <dcterms:created xsi:type="dcterms:W3CDTF">2026-01-23T15:41:00Z</dcterms:created>
  <dcterms:modified xsi:type="dcterms:W3CDTF">2026-08-21T09:44:00Z</dcterms:modified>
</cp:coreProperties>
</file>