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1064" w:type="dxa"/>
        <w:tblLayout w:type="fixed"/>
        <w:tblCellMar>
          <w:left w:w="70" w:type="dxa"/>
          <w:right w:w="70" w:type="dxa"/>
        </w:tblCellMar>
        <w:tblLook w:val="0000" w:firstRow="0" w:lastRow="0" w:firstColumn="0" w:lastColumn="0" w:noHBand="0" w:noVBand="0"/>
      </w:tblPr>
      <w:tblGrid>
        <w:gridCol w:w="6804"/>
        <w:gridCol w:w="3402"/>
      </w:tblGrid>
      <w:tr w:rsidR="009F6045" w:rsidRPr="00461A03" w14:paraId="51908869" w14:textId="77777777" w:rsidTr="009F6045">
        <w:tc>
          <w:tcPr>
            <w:tcW w:w="6804" w:type="dxa"/>
          </w:tcPr>
          <w:p w14:paraId="47560B42" w14:textId="77777777" w:rsidR="009F6045" w:rsidRPr="00461A03" w:rsidRDefault="009F6045" w:rsidP="00F84F48">
            <w:pPr>
              <w:pStyle w:val="Encabezado"/>
              <w:tabs>
                <w:tab w:val="clear" w:pos="4252"/>
                <w:tab w:val="clear" w:pos="8504"/>
              </w:tabs>
              <w:spacing w:after="1200"/>
              <w:ind w:left="74"/>
              <w:rPr>
                <w:rFonts w:cs="Times New Roman"/>
                <w:noProof/>
                <w:sz w:val="22"/>
                <w:szCs w:val="22"/>
              </w:rPr>
            </w:pPr>
            <w:r w:rsidRPr="00461A03">
              <w:rPr>
                <w:rFonts w:cs="Times New Roman"/>
                <w:noProof/>
                <w:sz w:val="22"/>
                <w:szCs w:val="22"/>
              </w:rPr>
              <w:object w:dxaOrig="3301" w:dyaOrig="1126" w14:anchorId="46B92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o:ole="" fillcolor="window">
                  <v:imagedata r:id="rId6" o:title=""/>
                </v:shape>
                <o:OLEObject Type="Embed" ProgID="Word.Picture.8" ShapeID="_x0000_i1025" DrawAspect="Content" ObjectID="_1842767528" r:id="rId7"/>
              </w:object>
            </w:r>
          </w:p>
          <w:p w14:paraId="4AFABE3D" w14:textId="77777777" w:rsidR="009F6045" w:rsidRPr="00461A03" w:rsidRDefault="009F6045" w:rsidP="00F84F48">
            <w:pPr>
              <w:pStyle w:val="Encabezado"/>
              <w:ind w:left="1064"/>
              <w:rPr>
                <w:rFonts w:cs="Times New Roman"/>
                <w:noProof/>
                <w:sz w:val="22"/>
                <w:szCs w:val="22"/>
              </w:rPr>
            </w:pPr>
          </w:p>
        </w:tc>
        <w:tc>
          <w:tcPr>
            <w:tcW w:w="3402" w:type="dxa"/>
          </w:tcPr>
          <w:p w14:paraId="10610D25" w14:textId="77777777" w:rsidR="009F6045" w:rsidRPr="00461A03" w:rsidRDefault="009F6045" w:rsidP="00F84F48">
            <w:pPr>
              <w:pStyle w:val="Encabezado"/>
              <w:tabs>
                <w:tab w:val="clear" w:pos="4252"/>
              </w:tabs>
              <w:spacing w:after="40" w:line="240" w:lineRule="exact"/>
              <w:ind w:left="-68"/>
              <w:rPr>
                <w:rFonts w:cs="Times New Roman"/>
                <w:b/>
                <w:noProof/>
                <w:sz w:val="22"/>
                <w:szCs w:val="22"/>
              </w:rPr>
            </w:pPr>
            <w:r w:rsidRPr="00461A03">
              <w:rPr>
                <w:rFonts w:cs="Times New Roman"/>
                <w:b/>
                <w:noProof/>
                <w:sz w:val="22"/>
                <w:szCs w:val="22"/>
              </w:rPr>
              <w:t>Foru Gobernu Kontseilua</w:t>
            </w:r>
          </w:p>
          <w:p w14:paraId="7641F5E4" w14:textId="77777777" w:rsidR="009F6045" w:rsidRPr="00461A03" w:rsidRDefault="009F6045" w:rsidP="00F84F48">
            <w:pPr>
              <w:pStyle w:val="Encabezado"/>
              <w:tabs>
                <w:tab w:val="clear" w:pos="4252"/>
              </w:tabs>
              <w:spacing w:after="240" w:line="240" w:lineRule="exact"/>
              <w:ind w:left="-68"/>
              <w:rPr>
                <w:rFonts w:cs="Times New Roman"/>
                <w:b/>
                <w:noProof/>
                <w:sz w:val="22"/>
                <w:szCs w:val="22"/>
              </w:rPr>
            </w:pPr>
            <w:r w:rsidRPr="00461A03">
              <w:rPr>
                <w:rFonts w:cs="Times New Roman"/>
                <w:b/>
                <w:noProof/>
                <w:sz w:val="22"/>
                <w:szCs w:val="22"/>
              </w:rPr>
              <w:t>Consejo de Gobierno Foral</w:t>
            </w:r>
          </w:p>
          <w:p w14:paraId="5B832789" w14:textId="77777777" w:rsidR="009F6045" w:rsidRPr="00461A03" w:rsidRDefault="009F6045" w:rsidP="00F84F48">
            <w:pPr>
              <w:pStyle w:val="Encabezado"/>
              <w:tabs>
                <w:tab w:val="clear" w:pos="4252"/>
              </w:tabs>
              <w:spacing w:after="240" w:line="240" w:lineRule="exact"/>
              <w:ind w:left="-68"/>
              <w:rPr>
                <w:rFonts w:cs="Times New Roman"/>
                <w:noProof/>
                <w:sz w:val="22"/>
                <w:szCs w:val="22"/>
              </w:rPr>
            </w:pPr>
          </w:p>
        </w:tc>
      </w:tr>
    </w:tbl>
    <w:p w14:paraId="06E0494A" w14:textId="0E1B9731" w:rsidR="009F6045" w:rsidRPr="00461A03" w:rsidRDefault="009F6045" w:rsidP="009F6045">
      <w:pPr>
        <w:widowControl w:val="0"/>
        <w:shd w:val="clear" w:color="auto" w:fill="FFFFFF" w:themeFill="background1"/>
        <w:spacing w:before="240" w:after="240"/>
        <w:rPr>
          <w:rFonts w:cs="Times New Roman"/>
          <w:b/>
          <w:sz w:val="22"/>
          <w:szCs w:val="22"/>
        </w:rPr>
      </w:pPr>
      <w:r w:rsidRPr="00461A03">
        <w:rPr>
          <w:rFonts w:cs="Times New Roman"/>
          <w:b/>
          <w:sz w:val="22"/>
          <w:szCs w:val="22"/>
        </w:rPr>
        <w:t>DECRETO</w:t>
      </w:r>
      <w:r w:rsidR="001D26E7" w:rsidRPr="00461A03">
        <w:rPr>
          <w:rFonts w:cs="Times New Roman"/>
          <w:b/>
          <w:sz w:val="22"/>
          <w:szCs w:val="22"/>
        </w:rPr>
        <w:t xml:space="preserve"> FORAL</w:t>
      </w:r>
      <w:r w:rsidRPr="00461A03">
        <w:rPr>
          <w:rFonts w:cs="Times New Roman"/>
          <w:b/>
          <w:sz w:val="22"/>
          <w:szCs w:val="22"/>
        </w:rPr>
        <w:tab/>
      </w:r>
    </w:p>
    <w:p w14:paraId="65685DBE" w14:textId="519A1D6A" w:rsidR="009F6045" w:rsidRPr="00461A03" w:rsidRDefault="009F6045" w:rsidP="009F6045">
      <w:pPr>
        <w:widowControl w:val="0"/>
        <w:shd w:val="clear" w:color="auto" w:fill="FFFFFF" w:themeFill="background1"/>
        <w:tabs>
          <w:tab w:val="right" w:pos="8789"/>
        </w:tabs>
        <w:spacing w:after="480"/>
        <w:rPr>
          <w:rFonts w:cs="Times New Roman"/>
          <w:sz w:val="22"/>
          <w:szCs w:val="22"/>
        </w:rPr>
      </w:pPr>
      <w:r w:rsidRPr="00461A03">
        <w:rPr>
          <w:rFonts w:cs="Times New Roman"/>
          <w:sz w:val="22"/>
          <w:szCs w:val="22"/>
        </w:rPr>
        <w:t>Departamento de Movilidad Sostenible e Infraestructuras Viarias</w:t>
      </w:r>
      <w:r w:rsidRPr="00461A03">
        <w:rPr>
          <w:rFonts w:cs="Times New Roman"/>
          <w:sz w:val="22"/>
          <w:szCs w:val="22"/>
        </w:rPr>
        <w:br/>
        <w:t>Negociado de Infraestructuras Viarias y Movilidad</w:t>
      </w:r>
      <w:r w:rsidRPr="00461A03">
        <w:rPr>
          <w:rFonts w:cs="Times New Roman"/>
          <w:sz w:val="22"/>
          <w:szCs w:val="22"/>
        </w:rPr>
        <w:br/>
        <w:t xml:space="preserve">N.º </w:t>
      </w:r>
      <w:proofErr w:type="spellStart"/>
      <w:r w:rsidRPr="00461A03">
        <w:rPr>
          <w:rFonts w:cs="Times New Roman"/>
          <w:sz w:val="22"/>
          <w:szCs w:val="22"/>
        </w:rPr>
        <w:t>Expte</w:t>
      </w:r>
      <w:proofErr w:type="spellEnd"/>
      <w:r w:rsidRPr="00461A03">
        <w:rPr>
          <w:rFonts w:cs="Times New Roman"/>
          <w:sz w:val="22"/>
          <w:szCs w:val="22"/>
        </w:rPr>
        <w:t xml:space="preserve">: </w:t>
      </w:r>
      <w:r w:rsidR="006F5861" w:rsidRPr="00461A03">
        <w:rPr>
          <w:rFonts w:cs="Times New Roman"/>
          <w:sz w:val="22"/>
          <w:szCs w:val="22"/>
        </w:rPr>
        <w:t>26/G-20</w:t>
      </w:r>
    </w:p>
    <w:p w14:paraId="10AEEE42" w14:textId="77777777" w:rsidR="00905E42" w:rsidRPr="00461A03" w:rsidRDefault="00905E42" w:rsidP="00905E42">
      <w:pPr>
        <w:pStyle w:val="Ttulo1"/>
        <w:jc w:val="both"/>
        <w:rPr>
          <w:rFonts w:ascii="Times New Roman" w:hAnsi="Times New Roman" w:cs="Times New Roman"/>
          <w:b/>
          <w:bCs/>
          <w:color w:val="auto"/>
          <w:sz w:val="22"/>
          <w:szCs w:val="22"/>
        </w:rPr>
      </w:pPr>
      <w:r w:rsidRPr="00461A03">
        <w:rPr>
          <w:rFonts w:ascii="Times New Roman" w:hAnsi="Times New Roman" w:cs="Times New Roman"/>
          <w:b/>
          <w:bCs/>
          <w:color w:val="auto"/>
          <w:sz w:val="22"/>
          <w:szCs w:val="22"/>
        </w:rPr>
        <w:t>Aprobar las bases reguladoras generales para la concesión de las subvenciones que se otorguen en el ámbito de las competencias de la Dirección de Movilidad y Transportes en materia de movilidad sostenible.</w:t>
      </w:r>
    </w:p>
    <w:p w14:paraId="21F71014" w14:textId="77777777" w:rsidR="00905E42" w:rsidRPr="00461A03" w:rsidRDefault="00905E42" w:rsidP="00905E42">
      <w:pPr>
        <w:jc w:val="both"/>
        <w:rPr>
          <w:rFonts w:cs="Times New Roman"/>
          <w:sz w:val="22"/>
          <w:szCs w:val="22"/>
        </w:rPr>
      </w:pPr>
    </w:p>
    <w:p w14:paraId="7C8E15F6" w14:textId="2FB91A34" w:rsidR="00905E42" w:rsidRPr="00461A03" w:rsidRDefault="00905E42" w:rsidP="00905E42">
      <w:pPr>
        <w:jc w:val="both"/>
        <w:rPr>
          <w:rFonts w:cs="Times New Roman"/>
          <w:sz w:val="22"/>
          <w:szCs w:val="22"/>
        </w:rPr>
      </w:pPr>
      <w:r w:rsidRPr="00461A03">
        <w:rPr>
          <w:rFonts w:cs="Times New Roman"/>
          <w:sz w:val="22"/>
          <w:szCs w:val="22"/>
        </w:rPr>
        <w:t>La movilidad constituye un elemento esencial para la cohesión social, económica y territorial del Territorio Histórico de Álava, caracterizado por una elevada dispersión de los asentamientos, un peso significativo de las áreas rurales y una fuerte concentración de actividad económica y de empleo en determinados núcleos urbanos y polígonos industriales.</w:t>
      </w:r>
      <w:r w:rsidR="00F214C5" w:rsidRPr="00461A03">
        <w:rPr>
          <w:rFonts w:cs="Times New Roman"/>
          <w:sz w:val="22"/>
          <w:szCs w:val="22"/>
        </w:rPr>
        <w:t xml:space="preserve"> </w:t>
      </w:r>
      <w:r w:rsidRPr="00461A03">
        <w:rPr>
          <w:rFonts w:cs="Times New Roman"/>
          <w:sz w:val="22"/>
          <w:szCs w:val="22"/>
        </w:rPr>
        <w:t>La Diputación Foral de Álava, en el ejercicio de sus competencias en materia de movilidad y transportes, viene desarrollando desde hace años una política activa orientada a favorecer una movilidad más sostenible, eficiente, accesible y segura, alineada con los objetivos de reducción de emisiones, mejora de la calidad del aire y garantía del derecho a la movilidad en condiciones de equidad territorial.</w:t>
      </w:r>
      <w:r w:rsidR="00F214C5" w:rsidRPr="00461A03">
        <w:rPr>
          <w:rFonts w:cs="Times New Roman"/>
          <w:sz w:val="22"/>
          <w:szCs w:val="22"/>
        </w:rPr>
        <w:t xml:space="preserve"> </w:t>
      </w:r>
      <w:r w:rsidRPr="00461A03">
        <w:rPr>
          <w:rFonts w:cs="Times New Roman"/>
          <w:sz w:val="22"/>
          <w:szCs w:val="22"/>
        </w:rPr>
        <w:t>En este marco se ha aprobado el Plan de Movilidad Sostenible de Álava 2025‑2034, que establece como líneas estratégicas prioritarias, entre otras, la potenciación de la movilidad sostenible en los núcleos urbanos, la implantación y desarrollo de planes de movilidad sostenible en municipios y cuadrillas, el impulso de planes de transporte al trabajo en grandes centros generadores de empleo y el fomento de soluciones colaborativas de movilidad sostenible en polígonos industriales.</w:t>
      </w:r>
    </w:p>
    <w:p w14:paraId="4FF08DE0" w14:textId="77777777" w:rsidR="00F214C5" w:rsidRPr="00461A03" w:rsidRDefault="00F214C5" w:rsidP="00905E42">
      <w:pPr>
        <w:jc w:val="both"/>
        <w:rPr>
          <w:rFonts w:cs="Times New Roman"/>
          <w:sz w:val="22"/>
          <w:szCs w:val="22"/>
        </w:rPr>
      </w:pPr>
    </w:p>
    <w:p w14:paraId="71ED6850" w14:textId="77777777" w:rsidR="00905E42" w:rsidRPr="00461A03" w:rsidRDefault="00905E42" w:rsidP="00905E42">
      <w:pPr>
        <w:jc w:val="both"/>
        <w:rPr>
          <w:rFonts w:cs="Times New Roman"/>
          <w:sz w:val="22"/>
          <w:szCs w:val="22"/>
        </w:rPr>
      </w:pPr>
      <w:r w:rsidRPr="00461A03">
        <w:rPr>
          <w:rFonts w:cs="Times New Roman"/>
          <w:sz w:val="22"/>
          <w:szCs w:val="22"/>
        </w:rPr>
        <w:t>En particular, el citado Plan prevé expresamente, entre otras, medidas para:</w:t>
      </w:r>
    </w:p>
    <w:p w14:paraId="3BC7BF45" w14:textId="77777777" w:rsidR="00905E42" w:rsidRPr="00461A03" w:rsidRDefault="00905E42" w:rsidP="00905E42">
      <w:pPr>
        <w:jc w:val="both"/>
        <w:rPr>
          <w:rFonts w:cs="Times New Roman"/>
          <w:sz w:val="22"/>
          <w:szCs w:val="22"/>
        </w:rPr>
      </w:pPr>
      <w:r w:rsidRPr="00461A03">
        <w:rPr>
          <w:rFonts w:cs="Times New Roman"/>
          <w:sz w:val="22"/>
          <w:szCs w:val="22"/>
        </w:rPr>
        <w:t>- Incentivar la realización y aplicación de Planes de Movilidad Urbana Sostenible (PMUS) en los municipios y cuadrillas de Álava.</w:t>
      </w:r>
    </w:p>
    <w:p w14:paraId="79019DCB" w14:textId="77777777" w:rsidR="00905E42" w:rsidRPr="00461A03" w:rsidRDefault="00905E42" w:rsidP="00905E42">
      <w:pPr>
        <w:jc w:val="both"/>
        <w:rPr>
          <w:rFonts w:cs="Times New Roman"/>
          <w:sz w:val="22"/>
          <w:szCs w:val="22"/>
        </w:rPr>
      </w:pPr>
      <w:r w:rsidRPr="00461A03">
        <w:rPr>
          <w:rFonts w:cs="Times New Roman"/>
          <w:sz w:val="22"/>
          <w:szCs w:val="22"/>
        </w:rPr>
        <w:t>- Incentivar la elaboración de planes de transporte al trabajo en grandes centros generadores de empleo, como herramienta clave para reducir la dependencia del vehículo privado.</w:t>
      </w:r>
    </w:p>
    <w:p w14:paraId="4E0F6BE2" w14:textId="77777777" w:rsidR="00905E42" w:rsidRPr="00461A03" w:rsidRDefault="00905E42" w:rsidP="00905E42">
      <w:pPr>
        <w:jc w:val="both"/>
        <w:rPr>
          <w:rFonts w:cs="Times New Roman"/>
          <w:sz w:val="22"/>
          <w:szCs w:val="22"/>
        </w:rPr>
      </w:pPr>
      <w:r w:rsidRPr="00461A03">
        <w:rPr>
          <w:rFonts w:cs="Times New Roman"/>
          <w:sz w:val="22"/>
          <w:szCs w:val="22"/>
        </w:rPr>
        <w:t>- Fomentar la movilidad sostenible en los polígonos industriales mediante la colaboración entre administraciones públicas, entidades urbanísticas y empresas.</w:t>
      </w:r>
    </w:p>
    <w:p w14:paraId="40AA8FBF" w14:textId="77777777" w:rsidR="00905E42" w:rsidRPr="00461A03" w:rsidRDefault="00905E42" w:rsidP="00905E42">
      <w:pPr>
        <w:jc w:val="both"/>
        <w:rPr>
          <w:rFonts w:cs="Times New Roman"/>
          <w:sz w:val="22"/>
          <w:szCs w:val="22"/>
        </w:rPr>
      </w:pPr>
      <w:r w:rsidRPr="00461A03">
        <w:rPr>
          <w:rFonts w:cs="Times New Roman"/>
          <w:sz w:val="22"/>
          <w:szCs w:val="22"/>
        </w:rPr>
        <w:t>A fin de dar cumplimiento a estos objetivos estratégicos, resulta necesario establecer un marco estable de apoyo financiero que facilite tanto la elaboración de los distintos instrumentos de planificación de la movilidad, como la implantación de las medidas contempladas en los mismos, teniendo en cuenta la diversidad de situaciones existentes en el territorio alavés.</w:t>
      </w:r>
    </w:p>
    <w:p w14:paraId="6CA390F8" w14:textId="77777777" w:rsidR="00F214C5" w:rsidRPr="00461A03" w:rsidRDefault="00F214C5" w:rsidP="00905E42">
      <w:pPr>
        <w:jc w:val="both"/>
        <w:rPr>
          <w:rFonts w:cs="Times New Roman"/>
          <w:sz w:val="22"/>
          <w:szCs w:val="22"/>
        </w:rPr>
      </w:pPr>
    </w:p>
    <w:p w14:paraId="577362D7" w14:textId="1599DD53" w:rsidR="00905E42" w:rsidRPr="00461A03" w:rsidRDefault="00905E42" w:rsidP="00905E42">
      <w:pPr>
        <w:jc w:val="both"/>
        <w:rPr>
          <w:rFonts w:cs="Times New Roman"/>
          <w:sz w:val="22"/>
          <w:szCs w:val="22"/>
        </w:rPr>
      </w:pPr>
      <w:r w:rsidRPr="00461A03">
        <w:rPr>
          <w:rFonts w:cs="Times New Roman"/>
          <w:sz w:val="22"/>
          <w:szCs w:val="22"/>
        </w:rPr>
        <w:t>De conformidad con los principios de publicidad, concurrencia, objetividad, transparencia, igualdad y no discriminación, y en aplicación de lo dispuesto en la Norma Foral 11/2016, de Subvenciones del Territorio Histórico de Álava, y en la Ley 38/2003, de 17 de noviembre, General de Subvenciones, se aprueban mediante el presente decreto foral las bases reguladoras generales de las subvenciones que se otorguen en el ámbito de las competencias de la Dirección de Movilidad y Transportes y el Desarrollo del Plan de Movilidad de Álava 2025-2034.</w:t>
      </w:r>
      <w:r w:rsidR="00F214C5" w:rsidRPr="00461A03">
        <w:rPr>
          <w:rFonts w:cs="Times New Roman"/>
          <w:sz w:val="22"/>
          <w:szCs w:val="22"/>
        </w:rPr>
        <w:t xml:space="preserve"> </w:t>
      </w:r>
      <w:r w:rsidRPr="00461A03">
        <w:rPr>
          <w:rFonts w:cs="Times New Roman"/>
          <w:sz w:val="22"/>
          <w:szCs w:val="22"/>
        </w:rPr>
        <w:t xml:space="preserve">Para su </w:t>
      </w:r>
      <w:r w:rsidRPr="00461A03">
        <w:rPr>
          <w:rFonts w:cs="Times New Roman"/>
          <w:sz w:val="22"/>
          <w:szCs w:val="22"/>
        </w:rPr>
        <w:lastRenderedPageBreak/>
        <w:t>redacción se ha tenido en cuenta el marco normativo establecido por la Ley Orgánica 3/2007, de 22 de marzo, para la igualdad efectiva de mujeres y hombres y el Decreto Legislativo 1/2023, de 16 de marzo, por el que se aprueba el texto refundido de la Ley para la Igualdad de Mujeres y Hombres y Vidas Libres de Violencia Machista contra las Mujeres.</w:t>
      </w:r>
      <w:r w:rsidR="00F214C5" w:rsidRPr="00461A03">
        <w:rPr>
          <w:rFonts w:cs="Times New Roman"/>
          <w:sz w:val="22"/>
          <w:szCs w:val="22"/>
        </w:rPr>
        <w:t xml:space="preserve"> </w:t>
      </w:r>
      <w:r w:rsidRPr="00461A03">
        <w:rPr>
          <w:rFonts w:cs="Times New Roman"/>
          <w:sz w:val="22"/>
          <w:szCs w:val="22"/>
        </w:rPr>
        <w:t>Del mismo modo, según lo establecido en el artículo 7.3 de la Norma Foral 11/2016 de Subvenciones del Territorio Histórico de Álava, se ha tenido en cuenta el factor del uso del euskera en el marco de la política de normalización lingüística aprobada por la Diputación Foral de Álava, y con arreglo a la Ley 10/1982, de 24 de noviembre, básica de normalización y uso del euskera.</w:t>
      </w:r>
    </w:p>
    <w:p w14:paraId="4B186E3A" w14:textId="77777777" w:rsidR="00F214C5" w:rsidRPr="00461A03" w:rsidRDefault="00F214C5" w:rsidP="00905E42">
      <w:pPr>
        <w:jc w:val="both"/>
        <w:rPr>
          <w:rFonts w:cs="Times New Roman"/>
          <w:sz w:val="22"/>
          <w:szCs w:val="22"/>
        </w:rPr>
      </w:pPr>
    </w:p>
    <w:p w14:paraId="00A3BD08" w14:textId="77777777" w:rsidR="00905E42" w:rsidRPr="00461A03" w:rsidRDefault="00905E42" w:rsidP="00905E42">
      <w:pPr>
        <w:jc w:val="both"/>
        <w:rPr>
          <w:rFonts w:cs="Times New Roman"/>
          <w:sz w:val="22"/>
          <w:szCs w:val="22"/>
        </w:rPr>
      </w:pPr>
      <w:r w:rsidRPr="00461A03">
        <w:rPr>
          <w:rFonts w:cs="Times New Roman"/>
          <w:sz w:val="22"/>
          <w:szCs w:val="22"/>
        </w:rPr>
        <w:t>Asimismo, se han tenido en cuenta los principios de calidad normativa y buena regulación, de conformidad con el art. 3.2 del Decreto Foral 6/2023, de 28 de febrero, que aprueba el procedimiento de elaboración de disposiciones de carácter general de la Diputación Foral de Álava.</w:t>
      </w:r>
    </w:p>
    <w:p w14:paraId="37D765D1" w14:textId="77777777" w:rsidR="00F214C5" w:rsidRPr="00461A03" w:rsidRDefault="00F214C5" w:rsidP="00905E42">
      <w:pPr>
        <w:jc w:val="both"/>
        <w:rPr>
          <w:rFonts w:cs="Times New Roman"/>
          <w:sz w:val="22"/>
          <w:szCs w:val="22"/>
        </w:rPr>
      </w:pPr>
    </w:p>
    <w:p w14:paraId="2497971A" w14:textId="77777777" w:rsidR="00905E42" w:rsidRPr="00461A03" w:rsidRDefault="00905E42" w:rsidP="00905E42">
      <w:pPr>
        <w:jc w:val="both"/>
        <w:rPr>
          <w:rFonts w:cs="Times New Roman"/>
          <w:sz w:val="22"/>
          <w:szCs w:val="22"/>
        </w:rPr>
      </w:pPr>
      <w:r w:rsidRPr="00461A03">
        <w:rPr>
          <w:rFonts w:cs="Times New Roman"/>
          <w:sz w:val="22"/>
          <w:szCs w:val="22"/>
        </w:rPr>
        <w:t>A la vista de lo dispuesto en el artículo 24.5 de la Norma Foral 10/2023, de 15 de marzo, de Gobierno, Organización y Régimen Jurídico de la Diputación Foral de Álava, es atribución de los diputados forales proponer al Consejo de Gobierno Foral la aprobación decretos forales relativos a las materias atribuidas a su departamento.</w:t>
      </w:r>
    </w:p>
    <w:p w14:paraId="3D3C6270" w14:textId="77777777" w:rsidR="00F214C5" w:rsidRPr="00461A03" w:rsidRDefault="00F214C5" w:rsidP="00905E42">
      <w:pPr>
        <w:jc w:val="both"/>
        <w:rPr>
          <w:rFonts w:cs="Times New Roman"/>
          <w:sz w:val="22"/>
          <w:szCs w:val="22"/>
        </w:rPr>
      </w:pPr>
    </w:p>
    <w:p w14:paraId="668C86F4" w14:textId="77777777" w:rsidR="00905E42" w:rsidRPr="00461A03" w:rsidRDefault="00905E42" w:rsidP="00905E42">
      <w:pPr>
        <w:jc w:val="both"/>
        <w:rPr>
          <w:rFonts w:cs="Times New Roman"/>
          <w:sz w:val="22"/>
          <w:szCs w:val="22"/>
        </w:rPr>
      </w:pPr>
      <w:r w:rsidRPr="00461A03">
        <w:rPr>
          <w:rFonts w:cs="Times New Roman"/>
          <w:sz w:val="22"/>
          <w:szCs w:val="22"/>
        </w:rPr>
        <w:t>En su virtud, a propuesta del Diputado Foral de Movilidad Sostenible e Infraestructuras Viarias, y previa deliberación del Consejo de Gobierno Foral,</w:t>
      </w:r>
    </w:p>
    <w:p w14:paraId="3822210F" w14:textId="77777777" w:rsidR="00905E42" w:rsidRPr="00461A03" w:rsidRDefault="00905E42" w:rsidP="00905E42">
      <w:pPr>
        <w:jc w:val="both"/>
        <w:rPr>
          <w:rFonts w:cs="Times New Roman"/>
          <w:sz w:val="22"/>
          <w:szCs w:val="22"/>
        </w:rPr>
      </w:pPr>
    </w:p>
    <w:p w14:paraId="105B1983" w14:textId="77777777" w:rsidR="00905E42" w:rsidRPr="00461A03" w:rsidRDefault="00905E42" w:rsidP="00905E42">
      <w:pPr>
        <w:pStyle w:val="Ttulo2"/>
        <w:jc w:val="center"/>
        <w:rPr>
          <w:rFonts w:ascii="Times New Roman" w:hAnsi="Times New Roman" w:cs="Times New Roman"/>
          <w:b/>
          <w:bCs/>
          <w:color w:val="auto"/>
          <w:sz w:val="22"/>
          <w:szCs w:val="22"/>
        </w:rPr>
      </w:pPr>
      <w:r w:rsidRPr="00461A03">
        <w:rPr>
          <w:rFonts w:ascii="Times New Roman" w:hAnsi="Times New Roman" w:cs="Times New Roman"/>
          <w:b/>
          <w:bCs/>
          <w:color w:val="auto"/>
          <w:sz w:val="22"/>
          <w:szCs w:val="22"/>
        </w:rPr>
        <w:t>DISPONGO</w:t>
      </w:r>
    </w:p>
    <w:p w14:paraId="11EE80FF" w14:textId="77777777" w:rsidR="00905E42" w:rsidRPr="00461A03" w:rsidRDefault="00905E42" w:rsidP="00905E42">
      <w:pPr>
        <w:rPr>
          <w:rFonts w:cs="Times New Roman"/>
          <w:sz w:val="22"/>
          <w:szCs w:val="22"/>
        </w:rPr>
      </w:pPr>
    </w:p>
    <w:p w14:paraId="05D77847" w14:textId="77777777" w:rsidR="00905E42" w:rsidRPr="00461A03" w:rsidRDefault="00905E42" w:rsidP="00905E42">
      <w:pPr>
        <w:jc w:val="both"/>
        <w:rPr>
          <w:rFonts w:cs="Times New Roman"/>
          <w:sz w:val="22"/>
          <w:szCs w:val="22"/>
        </w:rPr>
      </w:pPr>
      <w:r w:rsidRPr="00461A03">
        <w:rPr>
          <w:rFonts w:cs="Times New Roman"/>
          <w:b/>
          <w:bCs/>
          <w:sz w:val="22"/>
          <w:szCs w:val="22"/>
        </w:rPr>
        <w:t>Primero.</w:t>
      </w:r>
      <w:r w:rsidRPr="00461A03">
        <w:rPr>
          <w:rFonts w:cs="Times New Roman"/>
          <w:sz w:val="22"/>
          <w:szCs w:val="22"/>
        </w:rPr>
        <w:t xml:space="preserve"> Aprobar las bases reguladoras generales de las subvenciones en materia de movilidad sostenible en el ámbito de las competencias de la Dirección de Movilidad y Transportes y el Desarrollo del Plan de Movilidad de Álava 2025-2034, que figuran como anexo al presente decreto foral.</w:t>
      </w:r>
    </w:p>
    <w:p w14:paraId="1E63DEDE" w14:textId="77777777" w:rsidR="00F214C5" w:rsidRPr="00461A03" w:rsidRDefault="00F214C5" w:rsidP="00905E42">
      <w:pPr>
        <w:jc w:val="both"/>
        <w:rPr>
          <w:rFonts w:cs="Times New Roman"/>
          <w:sz w:val="22"/>
          <w:szCs w:val="22"/>
        </w:rPr>
      </w:pPr>
    </w:p>
    <w:p w14:paraId="362DF3C4" w14:textId="77777777" w:rsidR="00905E42" w:rsidRPr="00461A03" w:rsidRDefault="00905E42" w:rsidP="00905E42">
      <w:pPr>
        <w:jc w:val="both"/>
        <w:rPr>
          <w:rFonts w:cs="Times New Roman"/>
          <w:sz w:val="22"/>
          <w:szCs w:val="22"/>
        </w:rPr>
      </w:pPr>
      <w:r w:rsidRPr="00461A03">
        <w:rPr>
          <w:rFonts w:cs="Times New Roman"/>
          <w:b/>
          <w:bCs/>
          <w:sz w:val="22"/>
          <w:szCs w:val="22"/>
        </w:rPr>
        <w:t>Segundo.</w:t>
      </w:r>
      <w:r w:rsidRPr="00461A03">
        <w:rPr>
          <w:rFonts w:cs="Times New Roman"/>
          <w:sz w:val="22"/>
          <w:szCs w:val="22"/>
        </w:rPr>
        <w:t xml:space="preserve"> Que el presente decreto foral sea publicado en el BOTHA.</w:t>
      </w:r>
    </w:p>
    <w:p w14:paraId="0AC9766D" w14:textId="77777777" w:rsidR="00F214C5" w:rsidRPr="00461A03" w:rsidRDefault="00F214C5" w:rsidP="00905E42">
      <w:pPr>
        <w:jc w:val="both"/>
        <w:rPr>
          <w:rFonts w:cs="Times New Roman"/>
          <w:sz w:val="22"/>
          <w:szCs w:val="22"/>
        </w:rPr>
      </w:pPr>
    </w:p>
    <w:p w14:paraId="1BED73FB" w14:textId="77777777" w:rsidR="00905E42" w:rsidRPr="00461A03" w:rsidRDefault="00905E42" w:rsidP="00905E42">
      <w:pPr>
        <w:jc w:val="both"/>
        <w:rPr>
          <w:rFonts w:cs="Times New Roman"/>
          <w:sz w:val="22"/>
          <w:szCs w:val="22"/>
        </w:rPr>
      </w:pPr>
      <w:r w:rsidRPr="00461A03">
        <w:rPr>
          <w:rFonts w:cs="Times New Roman"/>
          <w:b/>
          <w:bCs/>
          <w:sz w:val="22"/>
          <w:szCs w:val="22"/>
        </w:rPr>
        <w:t xml:space="preserve">Disposición final. </w:t>
      </w:r>
      <w:r w:rsidRPr="00461A03">
        <w:rPr>
          <w:rFonts w:cs="Times New Roman"/>
          <w:sz w:val="22"/>
          <w:szCs w:val="22"/>
        </w:rPr>
        <w:t>El presente decreto foral entrará en vigor el día siguiente al de su publicación en el BOTHA.</w:t>
      </w:r>
    </w:p>
    <w:p w14:paraId="0099E876" w14:textId="77777777" w:rsidR="00F214C5" w:rsidRPr="00461A03" w:rsidRDefault="00F214C5" w:rsidP="00905E42">
      <w:pPr>
        <w:jc w:val="both"/>
        <w:rPr>
          <w:rFonts w:cs="Times New Roman"/>
          <w:sz w:val="22"/>
          <w:szCs w:val="22"/>
        </w:rPr>
      </w:pPr>
    </w:p>
    <w:p w14:paraId="137C95D8" w14:textId="62A5CFE3" w:rsidR="00727E82" w:rsidRPr="00461A03" w:rsidRDefault="00727E82" w:rsidP="00935AD5">
      <w:pPr>
        <w:shd w:val="clear" w:color="auto" w:fill="FFFFFF" w:themeFill="background1"/>
        <w:spacing w:after="240"/>
        <w:jc w:val="both"/>
        <w:rPr>
          <w:rFonts w:cs="Times New Roman"/>
          <w:bCs/>
          <w:snapToGrid w:val="0"/>
          <w:sz w:val="22"/>
          <w:szCs w:val="22"/>
          <w:lang w:val="es-ES"/>
        </w:rPr>
      </w:pPr>
      <w:r w:rsidRPr="00461A03">
        <w:rPr>
          <w:rFonts w:cs="Times New Roman"/>
          <w:b/>
          <w:bCs/>
          <w:snapToGrid w:val="0"/>
          <w:sz w:val="22"/>
          <w:szCs w:val="22"/>
          <w:lang w:val="es-ES"/>
        </w:rPr>
        <w:t xml:space="preserve">Disposición final </w:t>
      </w:r>
      <w:proofErr w:type="gramStart"/>
      <w:r w:rsidRPr="00461A03">
        <w:rPr>
          <w:rFonts w:cs="Times New Roman"/>
          <w:b/>
          <w:bCs/>
          <w:snapToGrid w:val="0"/>
          <w:sz w:val="22"/>
          <w:szCs w:val="22"/>
          <w:lang w:val="es-ES"/>
        </w:rPr>
        <w:t>única</w:t>
      </w:r>
      <w:r w:rsidR="00A228FF" w:rsidRPr="00461A03">
        <w:rPr>
          <w:rFonts w:cs="Times New Roman"/>
          <w:b/>
          <w:bCs/>
          <w:snapToGrid w:val="0"/>
          <w:sz w:val="22"/>
          <w:szCs w:val="22"/>
          <w:lang w:val="es-ES"/>
        </w:rPr>
        <w:t>.-</w:t>
      </w:r>
      <w:proofErr w:type="gramEnd"/>
      <w:r w:rsidRPr="00461A03">
        <w:rPr>
          <w:rFonts w:cs="Times New Roman"/>
          <w:b/>
          <w:snapToGrid w:val="0"/>
          <w:sz w:val="22"/>
          <w:szCs w:val="22"/>
          <w:lang w:val="es-ES"/>
        </w:rPr>
        <w:t xml:space="preserve"> </w:t>
      </w:r>
      <w:r w:rsidRPr="00461A03">
        <w:rPr>
          <w:rFonts w:cs="Times New Roman"/>
          <w:bCs/>
          <w:snapToGrid w:val="0"/>
          <w:sz w:val="22"/>
          <w:szCs w:val="22"/>
          <w:lang w:val="es-ES"/>
        </w:rPr>
        <w:t>El presente decreto entrará en vigor el día siguiente al de su publicación en el Boletín Oficial de</w:t>
      </w:r>
      <w:r w:rsidR="00A228FF" w:rsidRPr="00461A03">
        <w:rPr>
          <w:rFonts w:cs="Times New Roman"/>
          <w:bCs/>
          <w:snapToGrid w:val="0"/>
          <w:sz w:val="22"/>
          <w:szCs w:val="22"/>
          <w:lang w:val="es-ES"/>
        </w:rPr>
        <w:t>l Territorio Histórico de Álava.</w:t>
      </w:r>
    </w:p>
    <w:p w14:paraId="13080B12" w14:textId="48F6CAB4" w:rsidR="00FA3335" w:rsidRPr="00461A03" w:rsidRDefault="00FA3335" w:rsidP="00A228FF">
      <w:pPr>
        <w:shd w:val="clear" w:color="auto" w:fill="FFFFFF" w:themeFill="background1"/>
        <w:spacing w:after="240"/>
        <w:rPr>
          <w:rFonts w:cs="Times New Roman"/>
          <w:bCs/>
          <w:snapToGrid w:val="0"/>
          <w:sz w:val="22"/>
          <w:szCs w:val="22"/>
          <w:lang w:val="es-ES"/>
        </w:rPr>
      </w:pPr>
      <w:r w:rsidRPr="00461A03">
        <w:rPr>
          <w:rFonts w:cs="Times New Roman"/>
          <w:bCs/>
          <w:snapToGrid w:val="0"/>
          <w:sz w:val="22"/>
          <w:szCs w:val="22"/>
          <w:lang w:val="es-ES"/>
        </w:rPr>
        <w:t>Vitoria-Gasteiz</w:t>
      </w:r>
    </w:p>
    <w:tbl>
      <w:tblPr>
        <w:tblW w:w="9210" w:type="dxa"/>
        <w:tblBorders>
          <w:bottom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4605"/>
        <w:gridCol w:w="4605"/>
      </w:tblGrid>
      <w:tr w:rsidR="009F6045" w:rsidRPr="00461A03" w14:paraId="747EED73" w14:textId="77777777" w:rsidTr="00A228FF">
        <w:trPr>
          <w:trHeight w:val="834"/>
        </w:trPr>
        <w:tc>
          <w:tcPr>
            <w:tcW w:w="4605" w:type="dxa"/>
            <w:tcBorders>
              <w:bottom w:val="nil"/>
            </w:tcBorders>
            <w:shd w:val="clear" w:color="auto" w:fill="FFFFFF" w:themeFill="background1"/>
          </w:tcPr>
          <w:p w14:paraId="654D8542" w14:textId="77777777" w:rsidR="009F6045" w:rsidRPr="00461A03" w:rsidRDefault="009F6045" w:rsidP="00A228FF">
            <w:pPr>
              <w:widowControl w:val="0"/>
              <w:shd w:val="clear" w:color="auto" w:fill="FFFFFF" w:themeFill="background1"/>
              <w:rPr>
                <w:rFonts w:cs="Times New Roman"/>
                <w:sz w:val="22"/>
                <w:szCs w:val="22"/>
              </w:rPr>
            </w:pPr>
            <w:bookmarkStart w:id="0" w:name="E10"/>
            <w:bookmarkStart w:id="1" w:name="E9"/>
            <w:bookmarkStart w:id="2" w:name="I11"/>
            <w:bookmarkEnd w:id="0"/>
            <w:bookmarkEnd w:id="1"/>
            <w:bookmarkEnd w:id="2"/>
          </w:p>
          <w:p w14:paraId="69FE2AD6" w14:textId="77777777" w:rsidR="009F6045" w:rsidRPr="00461A03" w:rsidRDefault="009F6045" w:rsidP="00A228FF">
            <w:pPr>
              <w:widowControl w:val="0"/>
              <w:shd w:val="clear" w:color="auto" w:fill="FFFFFF" w:themeFill="background1"/>
              <w:rPr>
                <w:rFonts w:cs="Times New Roman"/>
                <w:sz w:val="22"/>
                <w:szCs w:val="22"/>
              </w:rPr>
            </w:pPr>
          </w:p>
          <w:p w14:paraId="56BE493B" w14:textId="77777777" w:rsidR="009F6045" w:rsidRPr="00461A03" w:rsidRDefault="009F6045" w:rsidP="00A228FF">
            <w:pPr>
              <w:widowControl w:val="0"/>
              <w:shd w:val="clear" w:color="auto" w:fill="FFFFFF" w:themeFill="background1"/>
              <w:rPr>
                <w:rFonts w:cs="Times New Roman"/>
                <w:sz w:val="22"/>
                <w:szCs w:val="22"/>
              </w:rPr>
            </w:pPr>
          </w:p>
          <w:p w14:paraId="5D0C2F14" w14:textId="77777777" w:rsidR="009F6045" w:rsidRPr="00461A03" w:rsidRDefault="009F6045" w:rsidP="00A228FF">
            <w:pPr>
              <w:widowControl w:val="0"/>
              <w:shd w:val="clear" w:color="auto" w:fill="FFFFFF" w:themeFill="background1"/>
              <w:rPr>
                <w:rFonts w:cs="Times New Roman"/>
                <w:b/>
                <w:bCs/>
                <w:sz w:val="22"/>
                <w:szCs w:val="22"/>
              </w:rPr>
            </w:pPr>
            <w:r w:rsidRPr="00461A03">
              <w:rPr>
                <w:rFonts w:cs="Times New Roman"/>
                <w:b/>
                <w:bCs/>
                <w:sz w:val="22"/>
                <w:szCs w:val="22"/>
              </w:rPr>
              <w:t>Ramiro González Vicente</w:t>
            </w:r>
          </w:p>
          <w:p w14:paraId="3776F985" w14:textId="77777777" w:rsidR="009F6045" w:rsidRPr="00461A03" w:rsidRDefault="009F6045" w:rsidP="00A228FF">
            <w:pPr>
              <w:widowControl w:val="0"/>
              <w:shd w:val="clear" w:color="auto" w:fill="FFFFFF" w:themeFill="background1"/>
              <w:rPr>
                <w:rFonts w:cs="Times New Roman"/>
                <w:sz w:val="22"/>
                <w:szCs w:val="22"/>
              </w:rPr>
            </w:pPr>
            <w:proofErr w:type="spellStart"/>
            <w:r w:rsidRPr="00461A03">
              <w:rPr>
                <w:rFonts w:cs="Times New Roman"/>
                <w:sz w:val="22"/>
                <w:szCs w:val="22"/>
              </w:rPr>
              <w:t>Diputatu</w:t>
            </w:r>
            <w:proofErr w:type="spellEnd"/>
            <w:r w:rsidRPr="00461A03">
              <w:rPr>
                <w:rFonts w:cs="Times New Roman"/>
                <w:sz w:val="22"/>
                <w:szCs w:val="22"/>
              </w:rPr>
              <w:t xml:space="preserve"> </w:t>
            </w:r>
            <w:proofErr w:type="spellStart"/>
            <w:r w:rsidRPr="00461A03">
              <w:rPr>
                <w:rFonts w:cs="Times New Roman"/>
                <w:sz w:val="22"/>
                <w:szCs w:val="22"/>
              </w:rPr>
              <w:t>nagusia</w:t>
            </w:r>
            <w:proofErr w:type="spellEnd"/>
          </w:p>
          <w:p w14:paraId="6A4F2254" w14:textId="77777777" w:rsidR="009F6045" w:rsidRPr="00461A03" w:rsidRDefault="009F6045" w:rsidP="00A228FF">
            <w:pPr>
              <w:widowControl w:val="0"/>
              <w:shd w:val="clear" w:color="auto" w:fill="FFFFFF" w:themeFill="background1"/>
              <w:rPr>
                <w:rFonts w:cs="Times New Roman"/>
                <w:sz w:val="22"/>
                <w:szCs w:val="22"/>
              </w:rPr>
            </w:pPr>
            <w:r w:rsidRPr="00461A03">
              <w:rPr>
                <w:rFonts w:cs="Times New Roman"/>
                <w:sz w:val="22"/>
                <w:szCs w:val="22"/>
              </w:rPr>
              <w:t>Diputado General</w:t>
            </w:r>
          </w:p>
        </w:tc>
        <w:tc>
          <w:tcPr>
            <w:tcW w:w="4605" w:type="dxa"/>
            <w:shd w:val="clear" w:color="auto" w:fill="FFFFFF" w:themeFill="background1"/>
          </w:tcPr>
          <w:p w14:paraId="0092046D" w14:textId="77777777" w:rsidR="009F6045" w:rsidRPr="00461A03" w:rsidRDefault="009F6045" w:rsidP="00A228FF">
            <w:pPr>
              <w:widowControl w:val="0"/>
              <w:shd w:val="clear" w:color="auto" w:fill="FFFFFF" w:themeFill="background1"/>
              <w:rPr>
                <w:rFonts w:cs="Times New Roman"/>
                <w:sz w:val="22"/>
                <w:szCs w:val="22"/>
              </w:rPr>
            </w:pPr>
          </w:p>
          <w:p w14:paraId="7CC084DD" w14:textId="77777777" w:rsidR="009F6045" w:rsidRPr="00461A03" w:rsidRDefault="009F6045" w:rsidP="00A228FF">
            <w:pPr>
              <w:widowControl w:val="0"/>
              <w:shd w:val="clear" w:color="auto" w:fill="FFFFFF" w:themeFill="background1"/>
              <w:rPr>
                <w:rFonts w:cs="Times New Roman"/>
                <w:sz w:val="22"/>
                <w:szCs w:val="22"/>
              </w:rPr>
            </w:pPr>
          </w:p>
          <w:p w14:paraId="00B60621" w14:textId="77777777" w:rsidR="009F6045" w:rsidRPr="00461A03" w:rsidRDefault="009F6045" w:rsidP="00A228FF">
            <w:pPr>
              <w:widowControl w:val="0"/>
              <w:shd w:val="clear" w:color="auto" w:fill="FFFFFF" w:themeFill="background1"/>
              <w:rPr>
                <w:rFonts w:cs="Times New Roman"/>
                <w:sz w:val="22"/>
                <w:szCs w:val="22"/>
              </w:rPr>
            </w:pPr>
          </w:p>
          <w:p w14:paraId="6215D7F5" w14:textId="77777777" w:rsidR="009F6045" w:rsidRPr="00461A03" w:rsidRDefault="009F6045" w:rsidP="00A228FF">
            <w:pPr>
              <w:widowControl w:val="0"/>
              <w:shd w:val="clear" w:color="auto" w:fill="FFFFFF" w:themeFill="background1"/>
              <w:rPr>
                <w:rFonts w:cs="Times New Roman"/>
                <w:b/>
                <w:bCs/>
                <w:sz w:val="22"/>
                <w:szCs w:val="22"/>
              </w:rPr>
            </w:pPr>
            <w:r w:rsidRPr="00461A03">
              <w:rPr>
                <w:rFonts w:cs="Times New Roman"/>
                <w:b/>
                <w:bCs/>
                <w:sz w:val="22"/>
                <w:szCs w:val="22"/>
              </w:rPr>
              <w:t>Jon Nogales Prieto</w:t>
            </w:r>
          </w:p>
          <w:p w14:paraId="7B0AC624" w14:textId="77777777" w:rsidR="009F6045" w:rsidRPr="00461A03" w:rsidRDefault="009F6045" w:rsidP="00A228FF">
            <w:pPr>
              <w:widowControl w:val="0"/>
              <w:shd w:val="clear" w:color="auto" w:fill="FFFFFF" w:themeFill="background1"/>
              <w:rPr>
                <w:rFonts w:cs="Times New Roman"/>
                <w:sz w:val="22"/>
                <w:szCs w:val="22"/>
              </w:rPr>
            </w:pPr>
            <w:proofErr w:type="spellStart"/>
            <w:r w:rsidRPr="00461A03">
              <w:rPr>
                <w:rFonts w:cs="Times New Roman"/>
                <w:sz w:val="22"/>
                <w:szCs w:val="22"/>
              </w:rPr>
              <w:t>Mugikortasun</w:t>
            </w:r>
            <w:proofErr w:type="spellEnd"/>
            <w:r w:rsidRPr="00461A03">
              <w:rPr>
                <w:rFonts w:cs="Times New Roman"/>
                <w:sz w:val="22"/>
                <w:szCs w:val="22"/>
              </w:rPr>
              <w:t xml:space="preserve"> </w:t>
            </w:r>
            <w:proofErr w:type="spellStart"/>
            <w:r w:rsidRPr="00461A03">
              <w:rPr>
                <w:rFonts w:cs="Times New Roman"/>
                <w:sz w:val="22"/>
                <w:szCs w:val="22"/>
              </w:rPr>
              <w:t>Jasangarriaren</w:t>
            </w:r>
            <w:proofErr w:type="spellEnd"/>
            <w:r w:rsidRPr="00461A03">
              <w:rPr>
                <w:rFonts w:cs="Times New Roman"/>
                <w:sz w:val="22"/>
                <w:szCs w:val="22"/>
              </w:rPr>
              <w:t xml:space="preserve"> eta </w:t>
            </w:r>
            <w:proofErr w:type="spellStart"/>
            <w:r w:rsidRPr="00461A03">
              <w:rPr>
                <w:rFonts w:cs="Times New Roman"/>
                <w:sz w:val="22"/>
                <w:szCs w:val="22"/>
              </w:rPr>
              <w:t>Bide</w:t>
            </w:r>
            <w:proofErr w:type="spellEnd"/>
            <w:r w:rsidRPr="00461A03">
              <w:rPr>
                <w:rFonts w:cs="Times New Roman"/>
                <w:sz w:val="22"/>
                <w:szCs w:val="22"/>
              </w:rPr>
              <w:t xml:space="preserve"> </w:t>
            </w:r>
            <w:proofErr w:type="spellStart"/>
            <w:r w:rsidRPr="00461A03">
              <w:rPr>
                <w:rFonts w:cs="Times New Roman"/>
                <w:sz w:val="22"/>
                <w:szCs w:val="22"/>
              </w:rPr>
              <w:t>Azpiegituren</w:t>
            </w:r>
            <w:proofErr w:type="spellEnd"/>
            <w:r w:rsidRPr="00461A03">
              <w:rPr>
                <w:rFonts w:cs="Times New Roman"/>
                <w:sz w:val="22"/>
                <w:szCs w:val="22"/>
              </w:rPr>
              <w:t xml:space="preserve"> </w:t>
            </w:r>
            <w:proofErr w:type="spellStart"/>
            <w:r w:rsidRPr="00461A03">
              <w:rPr>
                <w:rFonts w:cs="Times New Roman"/>
                <w:sz w:val="22"/>
                <w:szCs w:val="22"/>
              </w:rPr>
              <w:t>Saileko</w:t>
            </w:r>
            <w:proofErr w:type="spellEnd"/>
            <w:r w:rsidRPr="00461A03">
              <w:rPr>
                <w:rFonts w:cs="Times New Roman"/>
                <w:sz w:val="22"/>
                <w:szCs w:val="22"/>
              </w:rPr>
              <w:t xml:space="preserve"> </w:t>
            </w:r>
            <w:proofErr w:type="spellStart"/>
            <w:r w:rsidRPr="00461A03">
              <w:rPr>
                <w:rFonts w:cs="Times New Roman"/>
                <w:sz w:val="22"/>
                <w:szCs w:val="22"/>
              </w:rPr>
              <w:t>foru</w:t>
            </w:r>
            <w:proofErr w:type="spellEnd"/>
            <w:r w:rsidRPr="00461A03">
              <w:rPr>
                <w:rFonts w:cs="Times New Roman"/>
                <w:sz w:val="22"/>
                <w:szCs w:val="22"/>
              </w:rPr>
              <w:t xml:space="preserve"> </w:t>
            </w:r>
            <w:proofErr w:type="spellStart"/>
            <w:r w:rsidRPr="00461A03">
              <w:rPr>
                <w:rFonts w:cs="Times New Roman"/>
                <w:sz w:val="22"/>
                <w:szCs w:val="22"/>
              </w:rPr>
              <w:t>diputatua</w:t>
            </w:r>
            <w:proofErr w:type="spellEnd"/>
          </w:p>
          <w:p w14:paraId="67604D36" w14:textId="77777777" w:rsidR="009F6045" w:rsidRPr="00461A03" w:rsidRDefault="009F6045" w:rsidP="00A228FF">
            <w:pPr>
              <w:widowControl w:val="0"/>
              <w:shd w:val="clear" w:color="auto" w:fill="FFFFFF" w:themeFill="background1"/>
              <w:rPr>
                <w:rFonts w:cs="Times New Roman"/>
                <w:sz w:val="22"/>
                <w:szCs w:val="22"/>
              </w:rPr>
            </w:pPr>
            <w:r w:rsidRPr="00461A03">
              <w:rPr>
                <w:rFonts w:cs="Times New Roman"/>
                <w:sz w:val="22"/>
                <w:szCs w:val="22"/>
              </w:rPr>
              <w:t>Diputado Foral de Movilidad Sostenible e Infraestructuras Viarias</w:t>
            </w:r>
          </w:p>
        </w:tc>
      </w:tr>
      <w:tr w:rsidR="009B1BD9" w:rsidRPr="00461A03" w14:paraId="18DB48BB" w14:textId="77777777" w:rsidTr="00A228FF">
        <w:trPr>
          <w:gridAfter w:val="1"/>
          <w:wAfter w:w="4605" w:type="dxa"/>
          <w:trHeight w:val="80"/>
        </w:trPr>
        <w:tc>
          <w:tcPr>
            <w:tcW w:w="4605" w:type="dxa"/>
            <w:tcBorders>
              <w:bottom w:val="nil"/>
            </w:tcBorders>
            <w:shd w:val="clear" w:color="auto" w:fill="FFFFFF" w:themeFill="background1"/>
          </w:tcPr>
          <w:p w14:paraId="44685701" w14:textId="77777777" w:rsidR="009B1BD9" w:rsidRPr="00461A03" w:rsidRDefault="009B1BD9" w:rsidP="00A228FF">
            <w:pPr>
              <w:widowControl w:val="0"/>
              <w:shd w:val="clear" w:color="auto" w:fill="FFFFFF" w:themeFill="background1"/>
              <w:rPr>
                <w:rFonts w:cs="Times New Roman"/>
                <w:bCs/>
                <w:sz w:val="22"/>
                <w:szCs w:val="22"/>
              </w:rPr>
            </w:pPr>
          </w:p>
          <w:p w14:paraId="71DE8F83" w14:textId="77777777" w:rsidR="009B1BD9" w:rsidRPr="00461A03" w:rsidRDefault="009B1BD9" w:rsidP="00A228FF">
            <w:pPr>
              <w:widowControl w:val="0"/>
              <w:shd w:val="clear" w:color="auto" w:fill="FFFFFF" w:themeFill="background1"/>
              <w:rPr>
                <w:rFonts w:cs="Times New Roman"/>
                <w:bCs/>
                <w:sz w:val="22"/>
                <w:szCs w:val="22"/>
              </w:rPr>
            </w:pPr>
          </w:p>
          <w:p w14:paraId="02347FBE" w14:textId="77777777" w:rsidR="009B1BD9" w:rsidRPr="00461A03" w:rsidRDefault="009B1BD9" w:rsidP="00A228FF">
            <w:pPr>
              <w:widowControl w:val="0"/>
              <w:shd w:val="clear" w:color="auto" w:fill="FFFFFF" w:themeFill="background1"/>
              <w:rPr>
                <w:rFonts w:cs="Times New Roman"/>
                <w:b/>
                <w:sz w:val="22"/>
                <w:szCs w:val="22"/>
              </w:rPr>
            </w:pPr>
            <w:r w:rsidRPr="00461A03">
              <w:rPr>
                <w:rFonts w:cs="Times New Roman"/>
                <w:b/>
                <w:sz w:val="22"/>
                <w:szCs w:val="22"/>
              </w:rPr>
              <w:t>Mª Ángeles Gutiérrez Ondarza</w:t>
            </w:r>
          </w:p>
          <w:p w14:paraId="331545E9" w14:textId="77777777" w:rsidR="009B1BD9" w:rsidRPr="00461A03" w:rsidRDefault="009B1BD9" w:rsidP="00A228FF">
            <w:pPr>
              <w:widowControl w:val="0"/>
              <w:shd w:val="clear" w:color="auto" w:fill="FFFFFF" w:themeFill="background1"/>
              <w:rPr>
                <w:rFonts w:cs="Times New Roman"/>
                <w:bCs/>
                <w:sz w:val="22"/>
                <w:szCs w:val="22"/>
              </w:rPr>
            </w:pPr>
            <w:proofErr w:type="spellStart"/>
            <w:r w:rsidRPr="00461A03">
              <w:rPr>
                <w:rFonts w:cs="Times New Roman"/>
                <w:bCs/>
                <w:sz w:val="22"/>
                <w:szCs w:val="22"/>
              </w:rPr>
              <w:t>Bide</w:t>
            </w:r>
            <w:proofErr w:type="spellEnd"/>
            <w:r w:rsidRPr="00461A03">
              <w:rPr>
                <w:rFonts w:cs="Times New Roman"/>
                <w:bCs/>
                <w:sz w:val="22"/>
                <w:szCs w:val="22"/>
              </w:rPr>
              <w:t xml:space="preserve"> </w:t>
            </w:r>
            <w:proofErr w:type="spellStart"/>
            <w:r w:rsidRPr="00461A03">
              <w:rPr>
                <w:rFonts w:cs="Times New Roman"/>
                <w:bCs/>
                <w:sz w:val="22"/>
                <w:szCs w:val="22"/>
              </w:rPr>
              <w:t>Azpiegituren</w:t>
            </w:r>
            <w:proofErr w:type="spellEnd"/>
            <w:r w:rsidRPr="00461A03">
              <w:rPr>
                <w:rFonts w:cs="Times New Roman"/>
                <w:bCs/>
                <w:sz w:val="22"/>
                <w:szCs w:val="22"/>
              </w:rPr>
              <w:t xml:space="preserve"> </w:t>
            </w:r>
            <w:proofErr w:type="spellStart"/>
            <w:r w:rsidRPr="00461A03">
              <w:rPr>
                <w:rFonts w:cs="Times New Roman"/>
                <w:bCs/>
                <w:sz w:val="22"/>
                <w:szCs w:val="22"/>
              </w:rPr>
              <w:t>zuzendaria</w:t>
            </w:r>
            <w:proofErr w:type="spellEnd"/>
          </w:p>
          <w:p w14:paraId="5227C3BA" w14:textId="77777777" w:rsidR="009B1BD9" w:rsidRPr="00461A03" w:rsidRDefault="009B1BD9" w:rsidP="00A228FF">
            <w:pPr>
              <w:widowControl w:val="0"/>
              <w:shd w:val="clear" w:color="auto" w:fill="FFFFFF" w:themeFill="background1"/>
              <w:rPr>
                <w:rFonts w:cs="Times New Roman"/>
                <w:bCs/>
                <w:sz w:val="22"/>
                <w:szCs w:val="22"/>
              </w:rPr>
            </w:pPr>
            <w:r w:rsidRPr="00461A03">
              <w:rPr>
                <w:rFonts w:cs="Times New Roman"/>
                <w:bCs/>
                <w:sz w:val="22"/>
                <w:szCs w:val="22"/>
              </w:rPr>
              <w:t xml:space="preserve">Directora de Infraestructuras Viarias </w:t>
            </w:r>
          </w:p>
          <w:p w14:paraId="5A8C9D5F" w14:textId="77777777" w:rsidR="009B1BD9" w:rsidRPr="00461A03" w:rsidRDefault="009B1BD9" w:rsidP="00A228FF">
            <w:pPr>
              <w:widowControl w:val="0"/>
              <w:shd w:val="clear" w:color="auto" w:fill="FFFFFF" w:themeFill="background1"/>
              <w:rPr>
                <w:rFonts w:cs="Times New Roman"/>
                <w:bCs/>
                <w:sz w:val="22"/>
                <w:szCs w:val="22"/>
              </w:rPr>
            </w:pPr>
          </w:p>
          <w:p w14:paraId="5F7E2771" w14:textId="77777777" w:rsidR="009B1BD9" w:rsidRPr="00461A03" w:rsidRDefault="009B1BD9" w:rsidP="00A228FF">
            <w:pPr>
              <w:widowControl w:val="0"/>
              <w:shd w:val="clear" w:color="auto" w:fill="FFFFFF" w:themeFill="background1"/>
              <w:rPr>
                <w:rFonts w:cs="Times New Roman"/>
                <w:bCs/>
                <w:sz w:val="22"/>
                <w:szCs w:val="22"/>
              </w:rPr>
            </w:pPr>
          </w:p>
        </w:tc>
      </w:tr>
    </w:tbl>
    <w:p w14:paraId="37E217D7" w14:textId="77777777" w:rsidR="006F107A" w:rsidRPr="00461A03" w:rsidRDefault="006F107A" w:rsidP="00F214C5">
      <w:pPr>
        <w:rPr>
          <w:rFonts w:cs="Times New Roman"/>
          <w:sz w:val="22"/>
          <w:szCs w:val="22"/>
        </w:rPr>
      </w:pPr>
    </w:p>
    <w:p w14:paraId="6B8F38D1" w14:textId="77777777" w:rsidR="00461A03" w:rsidRPr="00461A03" w:rsidRDefault="00461A03" w:rsidP="00461A03">
      <w:pPr>
        <w:jc w:val="center"/>
        <w:rPr>
          <w:rFonts w:cs="Times New Roman"/>
          <w:b/>
          <w:bCs/>
          <w:snapToGrid w:val="0"/>
          <w:sz w:val="22"/>
          <w:szCs w:val="22"/>
        </w:rPr>
      </w:pPr>
    </w:p>
    <w:p w14:paraId="70838C9B" w14:textId="77777777" w:rsidR="00461A03" w:rsidRPr="00461A03" w:rsidRDefault="00461A03" w:rsidP="00461A03">
      <w:pPr>
        <w:pStyle w:val="Ttulo2"/>
        <w:spacing w:before="0"/>
        <w:jc w:val="center"/>
        <w:rPr>
          <w:rFonts w:ascii="Times New Roman" w:hAnsi="Times New Roman" w:cs="Times New Roman"/>
          <w:b/>
          <w:bCs/>
          <w:color w:val="auto"/>
          <w:sz w:val="22"/>
          <w:szCs w:val="22"/>
        </w:rPr>
      </w:pPr>
      <w:proofErr w:type="gramStart"/>
      <w:r w:rsidRPr="00461A03">
        <w:rPr>
          <w:rFonts w:ascii="Times New Roman" w:hAnsi="Times New Roman" w:cs="Times New Roman"/>
          <w:b/>
          <w:bCs/>
          <w:color w:val="auto"/>
          <w:sz w:val="22"/>
          <w:szCs w:val="22"/>
        </w:rPr>
        <w:t>ANEXO.-</w:t>
      </w:r>
      <w:proofErr w:type="gramEnd"/>
      <w:r w:rsidRPr="00461A03">
        <w:rPr>
          <w:rFonts w:ascii="Times New Roman" w:hAnsi="Times New Roman" w:cs="Times New Roman"/>
          <w:b/>
          <w:bCs/>
          <w:color w:val="auto"/>
          <w:sz w:val="22"/>
          <w:szCs w:val="22"/>
        </w:rPr>
        <w:br/>
        <w:t>Bases reguladoras generales de las subvenciones en materia de movilidad sostenible</w:t>
      </w:r>
    </w:p>
    <w:p w14:paraId="01B5F8B2"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1. Objeto</w:t>
      </w:r>
    </w:p>
    <w:p w14:paraId="3D1264CF" w14:textId="77777777" w:rsidR="00461A03" w:rsidRPr="00461A03" w:rsidRDefault="00461A03" w:rsidP="00461A03">
      <w:pPr>
        <w:jc w:val="both"/>
        <w:rPr>
          <w:rFonts w:cs="Times New Roman"/>
          <w:sz w:val="22"/>
          <w:szCs w:val="22"/>
        </w:rPr>
      </w:pPr>
    </w:p>
    <w:p w14:paraId="05B2301F" w14:textId="77777777" w:rsidR="00461A03" w:rsidRPr="00461A03" w:rsidRDefault="00461A03" w:rsidP="00461A03">
      <w:pPr>
        <w:jc w:val="both"/>
        <w:rPr>
          <w:rFonts w:cs="Times New Roman"/>
          <w:sz w:val="22"/>
          <w:szCs w:val="22"/>
        </w:rPr>
      </w:pPr>
      <w:r w:rsidRPr="00461A03">
        <w:rPr>
          <w:rFonts w:cs="Times New Roman"/>
          <w:sz w:val="22"/>
          <w:szCs w:val="22"/>
        </w:rPr>
        <w:t>1.-Las presentes bases tienen por objeto regular la concesión de subvenciones destinadas a impulsar la planificación, el desarrollo y la implantación de actuaciones de movilidad sostenible en el Territorio Histórico de Álava, en coherencia con el Plan de Movilidad Sostenible de Álava 2025‑2034.</w:t>
      </w:r>
    </w:p>
    <w:p w14:paraId="1FECD45B" w14:textId="77777777" w:rsidR="00461A03" w:rsidRPr="00461A03" w:rsidRDefault="00461A03" w:rsidP="00461A03">
      <w:pPr>
        <w:jc w:val="both"/>
        <w:rPr>
          <w:rFonts w:cs="Times New Roman"/>
          <w:sz w:val="22"/>
          <w:szCs w:val="22"/>
        </w:rPr>
      </w:pPr>
      <w:r w:rsidRPr="00461A03">
        <w:rPr>
          <w:rFonts w:cs="Times New Roman"/>
          <w:sz w:val="22"/>
          <w:szCs w:val="22"/>
        </w:rPr>
        <w:t xml:space="preserve">2.-Las subvenciones podrán destinarse, entre otras finalidades, a: </w:t>
      </w:r>
    </w:p>
    <w:p w14:paraId="5B9B5849" w14:textId="77777777" w:rsidR="00461A03" w:rsidRPr="00461A03" w:rsidRDefault="00461A03" w:rsidP="00461A03">
      <w:pPr>
        <w:jc w:val="both"/>
        <w:rPr>
          <w:rFonts w:cs="Times New Roman"/>
          <w:sz w:val="22"/>
          <w:szCs w:val="22"/>
        </w:rPr>
      </w:pPr>
      <w:r w:rsidRPr="00461A03">
        <w:rPr>
          <w:rFonts w:cs="Times New Roman"/>
          <w:sz w:val="22"/>
          <w:szCs w:val="22"/>
        </w:rPr>
        <w:t>-La elaboración de Planes de Movilidad Urbana Sostenible (PMUS) de ámbito municipal o comarcal.</w:t>
      </w:r>
    </w:p>
    <w:p w14:paraId="7196CF52" w14:textId="77777777" w:rsidR="00461A03" w:rsidRPr="00461A03" w:rsidRDefault="00461A03" w:rsidP="00461A03">
      <w:pPr>
        <w:jc w:val="both"/>
        <w:rPr>
          <w:rFonts w:cs="Times New Roman"/>
          <w:sz w:val="22"/>
          <w:szCs w:val="22"/>
        </w:rPr>
      </w:pPr>
      <w:r w:rsidRPr="00461A03">
        <w:rPr>
          <w:rFonts w:cs="Times New Roman"/>
          <w:sz w:val="22"/>
          <w:szCs w:val="22"/>
        </w:rPr>
        <w:t>-La implantación y desarrollo de medidas contenidas en Planes de Movilidad Urbana o Comarcal previamente aprobados y alineados con las líneas estratégicas recogidas en el Plan de Movilidad de Álava 2025-2034.</w:t>
      </w:r>
    </w:p>
    <w:p w14:paraId="419C5EB8" w14:textId="77777777" w:rsidR="00461A03" w:rsidRPr="00461A03" w:rsidRDefault="00461A03" w:rsidP="00461A03">
      <w:pPr>
        <w:jc w:val="both"/>
        <w:rPr>
          <w:rFonts w:cs="Times New Roman"/>
          <w:sz w:val="22"/>
          <w:szCs w:val="22"/>
        </w:rPr>
      </w:pPr>
      <w:r w:rsidRPr="00461A03">
        <w:rPr>
          <w:rFonts w:cs="Times New Roman"/>
          <w:sz w:val="22"/>
          <w:szCs w:val="22"/>
        </w:rPr>
        <w:t>-La elaboración de Planes de Movilidad al Trabajo en empresas privadas y grandes centros generadores de Empleo y alineados con las líneas estratégicas recogidas en el Plan de Movilidad de Álava 2025-2034.</w:t>
      </w:r>
    </w:p>
    <w:p w14:paraId="26EAA245" w14:textId="77777777" w:rsidR="00461A03" w:rsidRPr="00461A03" w:rsidRDefault="00461A03" w:rsidP="00461A03">
      <w:pPr>
        <w:jc w:val="both"/>
        <w:rPr>
          <w:rFonts w:cs="Times New Roman"/>
          <w:sz w:val="22"/>
          <w:szCs w:val="22"/>
        </w:rPr>
      </w:pPr>
      <w:r w:rsidRPr="00461A03">
        <w:rPr>
          <w:rFonts w:cs="Times New Roman"/>
          <w:sz w:val="22"/>
          <w:szCs w:val="22"/>
        </w:rPr>
        <w:t>-La implantación y desarrollo de medidas contenidas en Planes de movilidad al Trabajo previamente aprobados y alineados con las líneas estratégicas recogidas en el Plan de Movilidad de Álava 2025-2034.</w:t>
      </w:r>
    </w:p>
    <w:p w14:paraId="125FFA59" w14:textId="77777777" w:rsidR="00461A03" w:rsidRPr="00461A03" w:rsidRDefault="00461A03" w:rsidP="00461A03">
      <w:pPr>
        <w:jc w:val="both"/>
        <w:rPr>
          <w:rFonts w:cs="Times New Roman"/>
          <w:sz w:val="22"/>
          <w:szCs w:val="22"/>
        </w:rPr>
      </w:pPr>
      <w:r w:rsidRPr="00461A03">
        <w:rPr>
          <w:rFonts w:cs="Times New Roman"/>
          <w:sz w:val="22"/>
          <w:szCs w:val="22"/>
        </w:rPr>
        <w:t>-Actuaciones de fomento de la movilidad sostenible en polígonos industriales, basadas en la colaboración entre administraciones, entidades urbanísticas y empresas y alineados con las líneas estratégicas recogidas en el Plan de Movilidad de Álava 2025-2034.</w:t>
      </w:r>
    </w:p>
    <w:p w14:paraId="0713F48A" w14:textId="77777777" w:rsidR="00461A03" w:rsidRPr="00461A03" w:rsidRDefault="00461A03" w:rsidP="00461A03">
      <w:pPr>
        <w:jc w:val="both"/>
        <w:rPr>
          <w:rFonts w:cs="Times New Roman"/>
          <w:sz w:val="22"/>
          <w:szCs w:val="22"/>
        </w:rPr>
      </w:pPr>
      <w:r w:rsidRPr="00461A03">
        <w:rPr>
          <w:rFonts w:cs="Times New Roman"/>
          <w:sz w:val="22"/>
          <w:szCs w:val="22"/>
        </w:rPr>
        <w:t xml:space="preserve">-Actuaciones recogidas en el Plan de Movilidad de Álava 2025-2034 en las que las entidades locales y Cuadrillas de Álava son agentes implicados en el desarrollo de </w:t>
      </w:r>
      <w:proofErr w:type="gramStart"/>
      <w:r w:rsidRPr="00461A03">
        <w:rPr>
          <w:rFonts w:cs="Times New Roman"/>
          <w:sz w:val="22"/>
          <w:szCs w:val="22"/>
        </w:rPr>
        <w:t>las mismas</w:t>
      </w:r>
      <w:proofErr w:type="gramEnd"/>
      <w:r w:rsidRPr="00461A03">
        <w:rPr>
          <w:rFonts w:cs="Times New Roman"/>
          <w:sz w:val="22"/>
          <w:szCs w:val="22"/>
        </w:rPr>
        <w:t>.</w:t>
      </w:r>
    </w:p>
    <w:p w14:paraId="2398FB32" w14:textId="77777777" w:rsidR="00461A03" w:rsidRPr="00461A03" w:rsidRDefault="00461A03" w:rsidP="00461A03">
      <w:pPr>
        <w:jc w:val="both"/>
        <w:rPr>
          <w:rFonts w:cs="Times New Roman"/>
          <w:sz w:val="22"/>
          <w:szCs w:val="22"/>
        </w:rPr>
      </w:pPr>
    </w:p>
    <w:p w14:paraId="3EE97552"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2. Líneas de subvención</w:t>
      </w:r>
    </w:p>
    <w:p w14:paraId="1D46A18F" w14:textId="77777777" w:rsidR="00461A03" w:rsidRPr="00461A03" w:rsidRDefault="00461A03" w:rsidP="00461A03">
      <w:pPr>
        <w:jc w:val="both"/>
        <w:rPr>
          <w:rFonts w:cs="Times New Roman"/>
          <w:sz w:val="22"/>
          <w:szCs w:val="22"/>
        </w:rPr>
      </w:pPr>
    </w:p>
    <w:p w14:paraId="39B0AB77" w14:textId="77777777" w:rsidR="00461A03" w:rsidRPr="00461A03" w:rsidRDefault="00461A03" w:rsidP="00461A03">
      <w:pPr>
        <w:jc w:val="both"/>
        <w:rPr>
          <w:rFonts w:cs="Times New Roman"/>
          <w:sz w:val="22"/>
          <w:szCs w:val="22"/>
        </w:rPr>
      </w:pPr>
      <w:r w:rsidRPr="00461A03">
        <w:rPr>
          <w:rFonts w:cs="Times New Roman"/>
          <w:sz w:val="22"/>
          <w:szCs w:val="22"/>
        </w:rPr>
        <w:t>El programa podrá estructurarse, en función de la convocatoria, en las siguientes líneas:</w:t>
      </w:r>
    </w:p>
    <w:p w14:paraId="49AEB6C4" w14:textId="77777777" w:rsidR="00461A03" w:rsidRPr="00461A03" w:rsidRDefault="00461A03" w:rsidP="00461A03">
      <w:pPr>
        <w:jc w:val="both"/>
        <w:rPr>
          <w:rFonts w:cs="Times New Roman"/>
          <w:sz w:val="22"/>
          <w:szCs w:val="22"/>
        </w:rPr>
      </w:pPr>
      <w:r w:rsidRPr="00461A03">
        <w:rPr>
          <w:rFonts w:cs="Times New Roman"/>
          <w:sz w:val="22"/>
          <w:szCs w:val="22"/>
        </w:rPr>
        <w:t>a) Elaboración de Planes de Movilidad Urbana Sostenible (PMUS) de ámbito municipal o comarcal, promovidos por entidades locales y cuadrillas de Álava.</w:t>
      </w:r>
    </w:p>
    <w:p w14:paraId="4EA6626E" w14:textId="77777777" w:rsidR="00461A03" w:rsidRPr="00461A03" w:rsidRDefault="00461A03" w:rsidP="00461A03">
      <w:pPr>
        <w:jc w:val="both"/>
        <w:rPr>
          <w:rFonts w:cs="Times New Roman"/>
          <w:sz w:val="22"/>
          <w:szCs w:val="22"/>
        </w:rPr>
      </w:pPr>
      <w:r w:rsidRPr="00461A03">
        <w:rPr>
          <w:rFonts w:cs="Times New Roman"/>
          <w:sz w:val="22"/>
          <w:szCs w:val="22"/>
        </w:rPr>
        <w:t>b) Desarrollo e implantación de medidas de movilidad sostenible incluidas en planes de movilidad urbana o comarcal previamente redactados y aprobados por parte de las entidades locales y cuadrillas de Álava.</w:t>
      </w:r>
    </w:p>
    <w:p w14:paraId="601AFF02" w14:textId="77777777" w:rsidR="00461A03" w:rsidRPr="00461A03" w:rsidRDefault="00461A03" w:rsidP="00461A03">
      <w:pPr>
        <w:jc w:val="both"/>
        <w:rPr>
          <w:rFonts w:cs="Times New Roman"/>
          <w:sz w:val="22"/>
          <w:szCs w:val="22"/>
        </w:rPr>
      </w:pPr>
      <w:r w:rsidRPr="00461A03">
        <w:rPr>
          <w:rFonts w:cs="Times New Roman"/>
          <w:sz w:val="22"/>
          <w:szCs w:val="22"/>
        </w:rPr>
        <w:t>c) Elaboración de Planes de Movilidad Sostenible al Trabajo, dirigidos a empresas privadas y grandes centros generadores de empleo ubicados en el Territorio Histórico de Álava.</w:t>
      </w:r>
    </w:p>
    <w:p w14:paraId="06B5E2E5" w14:textId="77777777" w:rsidR="00461A03" w:rsidRPr="00461A03" w:rsidRDefault="00461A03" w:rsidP="00461A03">
      <w:pPr>
        <w:jc w:val="both"/>
        <w:rPr>
          <w:rFonts w:cs="Times New Roman"/>
          <w:sz w:val="22"/>
          <w:szCs w:val="22"/>
        </w:rPr>
      </w:pPr>
      <w:r w:rsidRPr="00461A03">
        <w:rPr>
          <w:rFonts w:cs="Times New Roman"/>
          <w:sz w:val="22"/>
          <w:szCs w:val="22"/>
        </w:rPr>
        <w:t xml:space="preserve">d) Desarrollo e implantación de medidas de movilidad sostenible incluidas en planes de movilidad al trabajo previamente redactados y aprobados por parte de las empresas privadas y entidades urbanísticas. </w:t>
      </w:r>
    </w:p>
    <w:p w14:paraId="0ACE25A4" w14:textId="77777777" w:rsidR="00461A03" w:rsidRPr="00461A03" w:rsidRDefault="00461A03" w:rsidP="00461A03">
      <w:pPr>
        <w:jc w:val="both"/>
        <w:rPr>
          <w:rFonts w:cs="Times New Roman"/>
          <w:sz w:val="22"/>
          <w:szCs w:val="22"/>
        </w:rPr>
      </w:pPr>
      <w:r w:rsidRPr="00461A03">
        <w:rPr>
          <w:rFonts w:cs="Times New Roman"/>
          <w:sz w:val="22"/>
          <w:szCs w:val="22"/>
        </w:rPr>
        <w:t>e) Actuaciones específicas de movilidad sostenible en polígonos industriales, que impulsen soluciones compartidas de transporte, intermodalidad, movilidad activa y reducción del uso del vehículo privado.</w:t>
      </w:r>
    </w:p>
    <w:p w14:paraId="2186ABC5" w14:textId="77777777" w:rsidR="00461A03" w:rsidRPr="00461A03" w:rsidRDefault="00461A03" w:rsidP="00461A03">
      <w:pPr>
        <w:jc w:val="both"/>
        <w:rPr>
          <w:rFonts w:cs="Times New Roman"/>
          <w:sz w:val="22"/>
          <w:szCs w:val="22"/>
        </w:rPr>
      </w:pPr>
      <w:r w:rsidRPr="00461A03">
        <w:rPr>
          <w:rFonts w:cs="Times New Roman"/>
          <w:sz w:val="22"/>
          <w:szCs w:val="22"/>
        </w:rPr>
        <w:t>f) Cualquier otra línea de subvenciones en el ámbito competencial de la Dirección de Movilidad y Transportes y contemplada en las medidas de las diferentes líneas estratégicas del Plan de Movilidad Sostenible de Álava 2025-2034.</w:t>
      </w:r>
    </w:p>
    <w:p w14:paraId="467857F8" w14:textId="77777777" w:rsidR="00461A03" w:rsidRPr="00461A03" w:rsidRDefault="00461A03" w:rsidP="00461A03">
      <w:pPr>
        <w:jc w:val="both"/>
        <w:rPr>
          <w:rFonts w:cs="Times New Roman"/>
          <w:sz w:val="22"/>
          <w:szCs w:val="22"/>
        </w:rPr>
      </w:pPr>
      <w:r w:rsidRPr="00461A03">
        <w:rPr>
          <w:rFonts w:cs="Times New Roman"/>
          <w:sz w:val="22"/>
          <w:szCs w:val="22"/>
        </w:rPr>
        <w:t>Las convocatorias podrán incluir una o varias líneas, de forma conjunta o separada.</w:t>
      </w:r>
    </w:p>
    <w:p w14:paraId="11D38FCD" w14:textId="77777777" w:rsidR="00461A03" w:rsidRPr="00461A03" w:rsidRDefault="00461A03" w:rsidP="00461A03">
      <w:pPr>
        <w:jc w:val="both"/>
        <w:rPr>
          <w:rFonts w:cs="Times New Roman"/>
          <w:sz w:val="22"/>
          <w:szCs w:val="22"/>
        </w:rPr>
      </w:pPr>
    </w:p>
    <w:p w14:paraId="7C40629E" w14:textId="77777777" w:rsidR="00461A03" w:rsidRPr="00461A03" w:rsidRDefault="00461A03" w:rsidP="00461A03">
      <w:pPr>
        <w:jc w:val="both"/>
        <w:rPr>
          <w:rFonts w:cs="Times New Roman"/>
          <w:b/>
          <w:bCs/>
          <w:sz w:val="22"/>
          <w:szCs w:val="22"/>
        </w:rPr>
      </w:pPr>
      <w:r w:rsidRPr="00461A03">
        <w:rPr>
          <w:rFonts w:cs="Times New Roman"/>
          <w:b/>
          <w:bCs/>
          <w:sz w:val="22"/>
          <w:szCs w:val="22"/>
        </w:rPr>
        <w:t>3. Contenido convocatoria:</w:t>
      </w:r>
    </w:p>
    <w:p w14:paraId="4D143B9D" w14:textId="77777777" w:rsidR="00461A03" w:rsidRPr="00461A03" w:rsidRDefault="00461A03" w:rsidP="00461A03">
      <w:pPr>
        <w:jc w:val="both"/>
        <w:rPr>
          <w:rFonts w:cs="Times New Roman"/>
          <w:sz w:val="22"/>
          <w:szCs w:val="22"/>
        </w:rPr>
      </w:pPr>
      <w:r w:rsidRPr="00461A03">
        <w:rPr>
          <w:rFonts w:cs="Times New Roman"/>
          <w:sz w:val="22"/>
          <w:szCs w:val="22"/>
        </w:rPr>
        <w:t>a.</w:t>
      </w:r>
      <w:r w:rsidRPr="00461A03">
        <w:rPr>
          <w:rFonts w:cs="Times New Roman"/>
          <w:sz w:val="22"/>
          <w:szCs w:val="22"/>
        </w:rPr>
        <w:tab/>
        <w:t>Indicación de la disposición que establezca, en su caso, las bases reguladoras y BOTHA en que está publicada.</w:t>
      </w:r>
    </w:p>
    <w:p w14:paraId="1C3FC563" w14:textId="77777777" w:rsidR="00461A03" w:rsidRPr="00461A03" w:rsidRDefault="00461A03" w:rsidP="00461A03">
      <w:pPr>
        <w:jc w:val="both"/>
        <w:rPr>
          <w:rFonts w:cs="Times New Roman"/>
          <w:sz w:val="22"/>
          <w:szCs w:val="22"/>
        </w:rPr>
      </w:pPr>
      <w:r w:rsidRPr="00461A03">
        <w:rPr>
          <w:rFonts w:cs="Times New Roman"/>
          <w:sz w:val="22"/>
          <w:szCs w:val="22"/>
        </w:rPr>
        <w:lastRenderedPageBreak/>
        <w:t>b.</w:t>
      </w:r>
      <w:r w:rsidRPr="00461A03">
        <w:rPr>
          <w:rFonts w:cs="Times New Roman"/>
          <w:sz w:val="22"/>
          <w:szCs w:val="22"/>
        </w:rPr>
        <w:tab/>
        <w:t>Créditos presupuestarios a los que se imputa la subvención, cuantía individualizada o, en su defecto, criterios para su determinación, cuantía total máxima de las subvenciones convocadas dentro de los créditos disponibles y, en su caso, cuantía adicional.</w:t>
      </w:r>
    </w:p>
    <w:p w14:paraId="55842827" w14:textId="77777777" w:rsidR="00461A03" w:rsidRPr="00461A03" w:rsidRDefault="00461A03" w:rsidP="00461A03">
      <w:pPr>
        <w:jc w:val="both"/>
        <w:rPr>
          <w:rFonts w:cs="Times New Roman"/>
          <w:sz w:val="22"/>
          <w:szCs w:val="22"/>
        </w:rPr>
      </w:pPr>
      <w:r w:rsidRPr="00461A03">
        <w:rPr>
          <w:rFonts w:cs="Times New Roman"/>
          <w:sz w:val="22"/>
          <w:szCs w:val="22"/>
        </w:rPr>
        <w:t>c.</w:t>
      </w:r>
      <w:r w:rsidRPr="00461A03">
        <w:rPr>
          <w:rFonts w:cs="Times New Roman"/>
          <w:sz w:val="22"/>
          <w:szCs w:val="22"/>
        </w:rPr>
        <w:tab/>
        <w:t>Posibilidad de efectuar pagos anticipados y abonos a cuenta, así como el régimen de garantías que, en su caso, deban aportar las personas beneficiarias.</w:t>
      </w:r>
    </w:p>
    <w:p w14:paraId="4A053B0E" w14:textId="77777777" w:rsidR="00461A03" w:rsidRPr="00461A03" w:rsidRDefault="00461A03" w:rsidP="00461A03">
      <w:pPr>
        <w:jc w:val="both"/>
        <w:rPr>
          <w:rFonts w:cs="Times New Roman"/>
          <w:sz w:val="22"/>
          <w:szCs w:val="22"/>
        </w:rPr>
      </w:pPr>
      <w:r w:rsidRPr="00461A03">
        <w:rPr>
          <w:rFonts w:cs="Times New Roman"/>
          <w:sz w:val="22"/>
          <w:szCs w:val="22"/>
        </w:rPr>
        <w:t>d.</w:t>
      </w:r>
      <w:r w:rsidRPr="00461A03">
        <w:rPr>
          <w:rFonts w:cs="Times New Roman"/>
          <w:sz w:val="22"/>
          <w:szCs w:val="22"/>
        </w:rPr>
        <w:tab/>
        <w:t>Objeto, finalidad, condiciones y obligaciones de las entidades beneficiarias. La convocatoria especificará, en su caso, las obligaciones lingüísticas a cumplir por las entidades beneficiarias para garantizar el tratamiento adecuado a ambas lenguas oficiales. En todo caso, si la actividad o el evento subvencionado está dirigido a la infancia o la juventud, las personas beneficiarias garantizarán a aquellas la posibilidad de relacionarse con ellas tanto en euskera como en castellano.</w:t>
      </w:r>
    </w:p>
    <w:p w14:paraId="45B76E96" w14:textId="77777777" w:rsidR="00461A03" w:rsidRPr="00461A03" w:rsidRDefault="00461A03" w:rsidP="00461A03">
      <w:pPr>
        <w:jc w:val="both"/>
        <w:rPr>
          <w:rFonts w:cs="Times New Roman"/>
          <w:sz w:val="22"/>
          <w:szCs w:val="22"/>
        </w:rPr>
      </w:pPr>
      <w:r w:rsidRPr="00461A03">
        <w:rPr>
          <w:rFonts w:cs="Times New Roman"/>
          <w:sz w:val="22"/>
          <w:szCs w:val="22"/>
        </w:rPr>
        <w:t>De acuerdo con lo previsto en el artículo 3.1.c</w:t>
      </w:r>
      <w:proofErr w:type="gramStart"/>
      <w:r w:rsidRPr="00461A03">
        <w:rPr>
          <w:rFonts w:cs="Times New Roman"/>
          <w:sz w:val="22"/>
          <w:szCs w:val="22"/>
        </w:rPr>
        <w:t>)  de</w:t>
      </w:r>
      <w:proofErr w:type="gramEnd"/>
      <w:r w:rsidRPr="00461A03">
        <w:rPr>
          <w:rFonts w:cs="Times New Roman"/>
          <w:sz w:val="22"/>
          <w:szCs w:val="22"/>
        </w:rPr>
        <w:t xml:space="preserve"> la Ley 4/2005, de 18 de febrero, para la Igualdad de Mujeres y Hombres (en adelante, Ley para la Igualdad de Mujeres y Hombres), no se subvencionará ninguna actividad que sea discriminatoria por razón de sexo. Asimismo, de conformidad con dicho texto legal, las entidades solicitantes deberán integrar la perspectiva de género en el proyecto subvencionable, entendiéndose por tal “la consideración sistemática de las diferentes situaciones, condiciones, aspiraciones y necesidades de mujeres y hombres, incorporando objetivos y actuaciones específicas dirigidas a eliminar las desigualdades y promover la igualdad en todas las políticas y acciones, a todos los niveles y en todas sus fases de planificación, ejecución y evaluación”. En cada convocatoria se especificarán los términos concretos en los que las entidades beneficiarias deberán dar cumplimiento a este artículo.</w:t>
      </w:r>
    </w:p>
    <w:p w14:paraId="291A5CEA" w14:textId="77777777" w:rsidR="00461A03" w:rsidRPr="00461A03" w:rsidRDefault="00461A03" w:rsidP="00461A03">
      <w:pPr>
        <w:jc w:val="both"/>
        <w:rPr>
          <w:rFonts w:cs="Times New Roman"/>
          <w:sz w:val="22"/>
          <w:szCs w:val="22"/>
        </w:rPr>
      </w:pPr>
      <w:r w:rsidRPr="00461A03">
        <w:rPr>
          <w:rFonts w:cs="Times New Roman"/>
          <w:sz w:val="22"/>
          <w:szCs w:val="22"/>
        </w:rPr>
        <w:t>En todo caso, la entidad beneficiaria de la subvención garantizará el uso no sexista del lenguaje en la totalidad de los documentos emitidos. Al amparo de la citada ley, en las imágenes que pudieran publicarse, no se exhibirá a las personas como inferiores o superiores en dignidad humana en función de su sexo, o como meros objetos sexuales, se evitarán los estereotipos sexistas y se potenciará la diversificación sexual, de roles y de identidades de género.</w:t>
      </w:r>
    </w:p>
    <w:p w14:paraId="736B507A" w14:textId="77777777" w:rsidR="00461A03" w:rsidRPr="00461A03" w:rsidRDefault="00461A03" w:rsidP="00461A03">
      <w:pPr>
        <w:jc w:val="both"/>
        <w:rPr>
          <w:rFonts w:cs="Times New Roman"/>
          <w:sz w:val="22"/>
          <w:szCs w:val="22"/>
        </w:rPr>
      </w:pPr>
      <w:r w:rsidRPr="00461A03">
        <w:rPr>
          <w:rFonts w:cs="Times New Roman"/>
          <w:sz w:val="22"/>
          <w:szCs w:val="22"/>
        </w:rPr>
        <w:t>e.</w:t>
      </w:r>
      <w:r w:rsidRPr="00461A03">
        <w:rPr>
          <w:rFonts w:cs="Times New Roman"/>
          <w:sz w:val="22"/>
          <w:szCs w:val="22"/>
        </w:rPr>
        <w:tab/>
        <w:t>Expresión de que la concesión se efectúa mediante un régimen de concurrencia competitiva o, en su caso, justificación de la excepcionalidad para la aplicación de un régimen de libre concurrencia.</w:t>
      </w:r>
    </w:p>
    <w:p w14:paraId="76FB3F7E" w14:textId="77777777" w:rsidR="00461A03" w:rsidRPr="00461A03" w:rsidRDefault="00461A03" w:rsidP="00461A03">
      <w:pPr>
        <w:jc w:val="both"/>
        <w:rPr>
          <w:rFonts w:cs="Times New Roman"/>
          <w:sz w:val="22"/>
          <w:szCs w:val="22"/>
        </w:rPr>
      </w:pPr>
      <w:r w:rsidRPr="00461A03">
        <w:rPr>
          <w:rFonts w:cs="Times New Roman"/>
          <w:sz w:val="22"/>
          <w:szCs w:val="22"/>
        </w:rPr>
        <w:t>f.</w:t>
      </w:r>
      <w:r w:rsidRPr="00461A03">
        <w:rPr>
          <w:rFonts w:cs="Times New Roman"/>
          <w:sz w:val="22"/>
          <w:szCs w:val="22"/>
        </w:rPr>
        <w:tab/>
        <w:t>Requisitos para solicitar la subvención y forma de acreditarlos.</w:t>
      </w:r>
    </w:p>
    <w:p w14:paraId="1FBFC9A0" w14:textId="77777777" w:rsidR="00461A03" w:rsidRPr="00461A03" w:rsidRDefault="00461A03" w:rsidP="00461A03">
      <w:pPr>
        <w:jc w:val="both"/>
        <w:rPr>
          <w:rFonts w:cs="Times New Roman"/>
          <w:sz w:val="22"/>
          <w:szCs w:val="22"/>
        </w:rPr>
      </w:pPr>
      <w:r w:rsidRPr="00461A03">
        <w:rPr>
          <w:rFonts w:cs="Times New Roman"/>
          <w:sz w:val="22"/>
          <w:szCs w:val="22"/>
        </w:rPr>
        <w:t xml:space="preserve">De acuerdo con el artículo 20 de la Ley 4/2005, de 18 de febrero, del Parlamento Vasco, para la Igualdad de Mujeres y Hombre, en los casos en que proceda, entre los requisitos que deban reunir los beneficiarios de subvenciones, se podrán incluir aquellos que valoren la trayectoria de </w:t>
      </w:r>
      <w:proofErr w:type="gramStart"/>
      <w:r w:rsidRPr="00461A03">
        <w:rPr>
          <w:rFonts w:cs="Times New Roman"/>
          <w:sz w:val="22"/>
          <w:szCs w:val="22"/>
        </w:rPr>
        <w:t>los mismos</w:t>
      </w:r>
      <w:proofErr w:type="gramEnd"/>
      <w:r w:rsidRPr="00461A03">
        <w:rPr>
          <w:rFonts w:cs="Times New Roman"/>
          <w:sz w:val="22"/>
          <w:szCs w:val="22"/>
        </w:rPr>
        <w:t xml:space="preserve"> en el desarrollo de políticas o actuaciones dirigidas a la igualdad de mujeres y hombres.</w:t>
      </w:r>
    </w:p>
    <w:p w14:paraId="1BA6B48D" w14:textId="77777777" w:rsidR="00461A03" w:rsidRPr="00461A03" w:rsidRDefault="00461A03" w:rsidP="00461A03">
      <w:pPr>
        <w:jc w:val="both"/>
        <w:rPr>
          <w:rFonts w:cs="Times New Roman"/>
          <w:sz w:val="22"/>
          <w:szCs w:val="22"/>
        </w:rPr>
      </w:pPr>
      <w:r w:rsidRPr="00461A03">
        <w:rPr>
          <w:rFonts w:cs="Times New Roman"/>
          <w:sz w:val="22"/>
          <w:szCs w:val="22"/>
        </w:rPr>
        <w:t>g.</w:t>
      </w:r>
      <w:r w:rsidRPr="00461A03">
        <w:rPr>
          <w:rFonts w:cs="Times New Roman"/>
          <w:sz w:val="22"/>
          <w:szCs w:val="22"/>
        </w:rPr>
        <w:tab/>
        <w:t>Indicación de los órganos competentes para la instrucción y resolución del procedimiento.</w:t>
      </w:r>
    </w:p>
    <w:p w14:paraId="65694C41" w14:textId="77777777" w:rsidR="00461A03" w:rsidRPr="00461A03" w:rsidRDefault="00461A03" w:rsidP="00461A03">
      <w:pPr>
        <w:jc w:val="both"/>
        <w:rPr>
          <w:rFonts w:cs="Times New Roman"/>
          <w:sz w:val="22"/>
          <w:szCs w:val="22"/>
        </w:rPr>
      </w:pPr>
      <w:r w:rsidRPr="00461A03">
        <w:rPr>
          <w:rFonts w:cs="Times New Roman"/>
          <w:sz w:val="22"/>
          <w:szCs w:val="22"/>
        </w:rPr>
        <w:t>h.</w:t>
      </w:r>
      <w:r w:rsidRPr="00461A03">
        <w:rPr>
          <w:rFonts w:cs="Times New Roman"/>
          <w:sz w:val="22"/>
          <w:szCs w:val="22"/>
        </w:rPr>
        <w:tab/>
        <w:t>Plazo de presentación de solicitudes.</w:t>
      </w:r>
    </w:p>
    <w:p w14:paraId="139F3AF3" w14:textId="77777777" w:rsidR="00461A03" w:rsidRPr="00461A03" w:rsidRDefault="00461A03" w:rsidP="00461A03">
      <w:pPr>
        <w:jc w:val="both"/>
        <w:rPr>
          <w:rFonts w:cs="Times New Roman"/>
          <w:sz w:val="22"/>
          <w:szCs w:val="22"/>
        </w:rPr>
      </w:pPr>
      <w:r w:rsidRPr="00461A03">
        <w:rPr>
          <w:rFonts w:cs="Times New Roman"/>
          <w:sz w:val="22"/>
          <w:szCs w:val="22"/>
        </w:rPr>
        <w:t>i.</w:t>
      </w:r>
      <w:r w:rsidRPr="00461A03">
        <w:rPr>
          <w:rFonts w:cs="Times New Roman"/>
          <w:sz w:val="22"/>
          <w:szCs w:val="22"/>
        </w:rPr>
        <w:tab/>
        <w:t>Plazo de resolución y notificación.</w:t>
      </w:r>
    </w:p>
    <w:p w14:paraId="5EA52DE1" w14:textId="77777777" w:rsidR="00461A03" w:rsidRPr="00461A03" w:rsidRDefault="00461A03" w:rsidP="00461A03">
      <w:pPr>
        <w:jc w:val="both"/>
        <w:rPr>
          <w:rFonts w:cs="Times New Roman"/>
          <w:sz w:val="22"/>
          <w:szCs w:val="22"/>
        </w:rPr>
      </w:pPr>
      <w:r w:rsidRPr="00461A03">
        <w:rPr>
          <w:rFonts w:cs="Times New Roman"/>
          <w:sz w:val="22"/>
          <w:szCs w:val="22"/>
        </w:rPr>
        <w:t>j.</w:t>
      </w:r>
      <w:r w:rsidRPr="00461A03">
        <w:rPr>
          <w:rFonts w:cs="Times New Roman"/>
          <w:sz w:val="22"/>
          <w:szCs w:val="22"/>
        </w:rPr>
        <w:tab/>
        <w:t>Documentos e informaciones que deben acompañarse a la petición.</w:t>
      </w:r>
    </w:p>
    <w:p w14:paraId="01DDF406" w14:textId="77777777" w:rsidR="00461A03" w:rsidRPr="00461A03" w:rsidRDefault="00461A03" w:rsidP="00461A03">
      <w:pPr>
        <w:jc w:val="both"/>
        <w:rPr>
          <w:rFonts w:cs="Times New Roman"/>
          <w:sz w:val="22"/>
          <w:szCs w:val="22"/>
        </w:rPr>
      </w:pPr>
      <w:r w:rsidRPr="00461A03">
        <w:rPr>
          <w:rFonts w:cs="Times New Roman"/>
          <w:sz w:val="22"/>
          <w:szCs w:val="22"/>
        </w:rPr>
        <w:t>k.</w:t>
      </w:r>
      <w:r w:rsidRPr="00461A03">
        <w:rPr>
          <w:rFonts w:cs="Times New Roman"/>
          <w:sz w:val="22"/>
          <w:szCs w:val="22"/>
        </w:rPr>
        <w:tab/>
        <w:t>En su caso, posibilidad de reformulación de solicitudes de conformidad con lo dispuesto en el artículo 25 de la Norma Foral 11/2016, de 19 de octubre, de Subvenciones del Territorio Histórico de Álava (en adelante, Norma Foral de Subvenciones del Territorio Histórico de Álava).</w:t>
      </w:r>
    </w:p>
    <w:p w14:paraId="3AE73125" w14:textId="77777777" w:rsidR="00461A03" w:rsidRPr="00461A03" w:rsidRDefault="00461A03" w:rsidP="00461A03">
      <w:pPr>
        <w:jc w:val="both"/>
        <w:rPr>
          <w:rFonts w:cs="Times New Roman"/>
          <w:sz w:val="22"/>
          <w:szCs w:val="22"/>
        </w:rPr>
      </w:pPr>
      <w:r w:rsidRPr="00461A03">
        <w:rPr>
          <w:rFonts w:cs="Times New Roman"/>
          <w:sz w:val="22"/>
          <w:szCs w:val="22"/>
        </w:rPr>
        <w:t>l.</w:t>
      </w:r>
      <w:r w:rsidRPr="00461A03">
        <w:rPr>
          <w:rFonts w:cs="Times New Roman"/>
          <w:sz w:val="22"/>
          <w:szCs w:val="22"/>
        </w:rPr>
        <w:tab/>
        <w:t>Indicación de si la resolución pone fin a la vía administrativa y, en caso contrario, órgano ante el que se ha de interponerse recurso de alzada.</w:t>
      </w:r>
    </w:p>
    <w:p w14:paraId="52551D4D" w14:textId="77777777" w:rsidR="00461A03" w:rsidRPr="00461A03" w:rsidRDefault="00461A03" w:rsidP="00461A03">
      <w:pPr>
        <w:jc w:val="both"/>
        <w:rPr>
          <w:rFonts w:cs="Times New Roman"/>
          <w:sz w:val="22"/>
          <w:szCs w:val="22"/>
        </w:rPr>
      </w:pPr>
      <w:r w:rsidRPr="00461A03">
        <w:rPr>
          <w:rFonts w:cs="Times New Roman"/>
          <w:sz w:val="22"/>
          <w:szCs w:val="22"/>
        </w:rPr>
        <w:t>m.</w:t>
      </w:r>
      <w:r w:rsidRPr="00461A03">
        <w:rPr>
          <w:rFonts w:cs="Times New Roman"/>
          <w:sz w:val="22"/>
          <w:szCs w:val="22"/>
        </w:rPr>
        <w:tab/>
        <w:t xml:space="preserve">Criterios de valoración de la solicitud. Estos criterios deberán garantizar la objetividad, igualdad, transparencia, publicidad y no discriminación en la concesión de las subvenciones, y en su ponderación se atenderá a la adecuación de la actividad proyectada al logro de la finalidad de la subvención, teniendo en cuenta aspectos como la calidad del proyecto presentado o actividad realizada, la experiencia o trayectoria, la innovación, las condiciones de viabilidad o, en general, cualquier extremo establecido en la convocatoria que se considere adecuado al objeto de la subvención. Además, de acuerdo con el artículo 20 de la Ley para la Igualdad de Mujeres y Hombres, en los casos en que corresponda, se incluirían entre los criterios de adjudicación aquellos que permitan medir el impacto de la integración de la perspectiva de género en el proyecto o actividad subvencionada. </w:t>
      </w:r>
    </w:p>
    <w:p w14:paraId="2652010B" w14:textId="77777777" w:rsidR="00461A03" w:rsidRPr="00461A03" w:rsidRDefault="00461A03" w:rsidP="00461A03">
      <w:pPr>
        <w:jc w:val="both"/>
        <w:rPr>
          <w:rFonts w:cs="Times New Roman"/>
          <w:sz w:val="22"/>
          <w:szCs w:val="22"/>
        </w:rPr>
      </w:pPr>
      <w:r w:rsidRPr="00461A03">
        <w:rPr>
          <w:rFonts w:cs="Times New Roman"/>
          <w:sz w:val="22"/>
          <w:szCs w:val="22"/>
        </w:rPr>
        <w:t xml:space="preserve">Asimismo, en la determinación de los criterios de valoración se tendrá en cuenta si el factor de uso de las lenguas es significativo en la actividad subvencionada organizada por las personas </w:t>
      </w:r>
      <w:r w:rsidRPr="00461A03">
        <w:rPr>
          <w:rFonts w:cs="Times New Roman"/>
          <w:sz w:val="22"/>
          <w:szCs w:val="22"/>
        </w:rPr>
        <w:lastRenderedPageBreak/>
        <w:t xml:space="preserve">beneficiarias, así como a quién va dirigida y, en consecuencia, en los casos en que corresponda se valorará el tratamiento lingüístico en los proyectos presentados. </w:t>
      </w:r>
    </w:p>
    <w:p w14:paraId="32FED651" w14:textId="77777777" w:rsidR="00461A03" w:rsidRPr="00461A03" w:rsidRDefault="00461A03" w:rsidP="00461A03">
      <w:pPr>
        <w:jc w:val="both"/>
        <w:rPr>
          <w:rFonts w:cs="Times New Roman"/>
          <w:sz w:val="22"/>
          <w:szCs w:val="22"/>
        </w:rPr>
      </w:pPr>
      <w:r w:rsidRPr="00461A03">
        <w:rPr>
          <w:rFonts w:cs="Times New Roman"/>
          <w:sz w:val="22"/>
          <w:szCs w:val="22"/>
        </w:rPr>
        <w:t>Lo dispuesto en esta letra no será aplicable en los supuestos de concesión mediante libre concurrencia.</w:t>
      </w:r>
    </w:p>
    <w:p w14:paraId="7570BAAA" w14:textId="77777777" w:rsidR="00461A03" w:rsidRPr="00461A03" w:rsidRDefault="00461A03" w:rsidP="00461A03">
      <w:pPr>
        <w:jc w:val="both"/>
        <w:rPr>
          <w:rFonts w:cs="Times New Roman"/>
          <w:sz w:val="22"/>
          <w:szCs w:val="22"/>
        </w:rPr>
      </w:pPr>
      <w:r w:rsidRPr="00461A03">
        <w:rPr>
          <w:rFonts w:cs="Times New Roman"/>
          <w:sz w:val="22"/>
          <w:szCs w:val="22"/>
        </w:rPr>
        <w:t>n.</w:t>
      </w:r>
      <w:r w:rsidRPr="00461A03">
        <w:rPr>
          <w:rFonts w:cs="Times New Roman"/>
          <w:sz w:val="22"/>
          <w:szCs w:val="22"/>
        </w:rPr>
        <w:tab/>
        <w:t>Plazo y forma de justificación del cumplimiento de la finalidad para la que se concedió la subvención y de la aplicación de los fondos recibidos.</w:t>
      </w:r>
    </w:p>
    <w:p w14:paraId="00B5F26A" w14:textId="77777777" w:rsidR="00461A03" w:rsidRPr="00461A03" w:rsidRDefault="00461A03" w:rsidP="00461A03">
      <w:pPr>
        <w:jc w:val="both"/>
        <w:rPr>
          <w:rFonts w:cs="Times New Roman"/>
          <w:sz w:val="22"/>
          <w:szCs w:val="22"/>
        </w:rPr>
      </w:pPr>
      <w:r w:rsidRPr="00461A03">
        <w:rPr>
          <w:rFonts w:cs="Times New Roman"/>
          <w:sz w:val="22"/>
          <w:szCs w:val="22"/>
        </w:rPr>
        <w:t xml:space="preserve">ñ. Compatibilidad o incompatibilidad con otras subvenciones y ayudas para la misma finalidad, procedentes de cualesquiera Administraciones o entes públicos o privados, nacionales, de la Unión Europea o de organismos internacionales. </w:t>
      </w:r>
    </w:p>
    <w:p w14:paraId="5F217A4A" w14:textId="77777777" w:rsidR="00461A03" w:rsidRPr="00461A03" w:rsidRDefault="00461A03" w:rsidP="00461A03">
      <w:pPr>
        <w:jc w:val="both"/>
        <w:rPr>
          <w:rFonts w:cs="Times New Roman"/>
          <w:sz w:val="22"/>
          <w:szCs w:val="22"/>
        </w:rPr>
      </w:pPr>
      <w:r w:rsidRPr="00461A03">
        <w:rPr>
          <w:rFonts w:cs="Times New Roman"/>
          <w:sz w:val="22"/>
          <w:szCs w:val="22"/>
        </w:rPr>
        <w:t>Asimismo, en la convocatoria se concretará la compatibilidad o incompatibilidad con otras subvenciones de otros Departamentos de la Diputación Foral de Álava o del propio Departamento de Movilidad Sostenible e Infraestructuras Viarias.</w:t>
      </w:r>
    </w:p>
    <w:p w14:paraId="225D420D" w14:textId="77777777" w:rsidR="00461A03" w:rsidRPr="00461A03" w:rsidRDefault="00461A03" w:rsidP="00461A03">
      <w:pPr>
        <w:jc w:val="both"/>
        <w:rPr>
          <w:rFonts w:cs="Times New Roman"/>
          <w:sz w:val="22"/>
          <w:szCs w:val="22"/>
        </w:rPr>
      </w:pPr>
      <w:r w:rsidRPr="00461A03">
        <w:rPr>
          <w:rFonts w:cs="Times New Roman"/>
          <w:sz w:val="22"/>
          <w:szCs w:val="22"/>
        </w:rPr>
        <w:t>o.</w:t>
      </w:r>
      <w:r w:rsidRPr="00461A03">
        <w:rPr>
          <w:rFonts w:cs="Times New Roman"/>
          <w:sz w:val="22"/>
          <w:szCs w:val="22"/>
        </w:rPr>
        <w:tab/>
        <w:t xml:space="preserve">Circunstancias que, como consecuencia de la alteración de las condiciones tenidas en cuenta para la concesión de la subvención, podrán dar lugar a la modificación de la resolución. </w:t>
      </w:r>
    </w:p>
    <w:p w14:paraId="6EBBB181" w14:textId="77777777" w:rsidR="00461A03" w:rsidRPr="00461A03" w:rsidRDefault="00461A03" w:rsidP="00461A03">
      <w:pPr>
        <w:jc w:val="both"/>
        <w:rPr>
          <w:rFonts w:cs="Times New Roman"/>
          <w:sz w:val="22"/>
          <w:szCs w:val="22"/>
        </w:rPr>
      </w:pPr>
      <w:r w:rsidRPr="00461A03">
        <w:rPr>
          <w:rFonts w:cs="Times New Roman"/>
          <w:sz w:val="22"/>
          <w:szCs w:val="22"/>
        </w:rPr>
        <w:t>p.</w:t>
      </w:r>
      <w:r w:rsidRPr="00461A03">
        <w:rPr>
          <w:rFonts w:cs="Times New Roman"/>
          <w:sz w:val="22"/>
          <w:szCs w:val="22"/>
        </w:rPr>
        <w:tab/>
        <w:t>Criterios de graduación de los posibles incumplimientos de condiciones impuestas con motivo de la concesión de las subvenciones. Estos criterios resultarán de aplicación para determinar la cantidad que finalmente haya de percibir la persona beneficiaria o, en su caso, el importe a reintegrar, y deberán responder al principio de proporcionalidad.</w:t>
      </w:r>
    </w:p>
    <w:p w14:paraId="31959853" w14:textId="77777777" w:rsidR="00461A03" w:rsidRPr="00461A03" w:rsidRDefault="00461A03" w:rsidP="00461A03">
      <w:pPr>
        <w:jc w:val="both"/>
        <w:rPr>
          <w:rFonts w:cs="Times New Roman"/>
          <w:sz w:val="22"/>
          <w:szCs w:val="22"/>
        </w:rPr>
      </w:pPr>
      <w:r w:rsidRPr="00461A03">
        <w:rPr>
          <w:rFonts w:cs="Times New Roman"/>
          <w:sz w:val="22"/>
          <w:szCs w:val="22"/>
        </w:rPr>
        <w:t>q.</w:t>
      </w:r>
      <w:r w:rsidRPr="00461A03">
        <w:rPr>
          <w:rFonts w:cs="Times New Roman"/>
          <w:sz w:val="22"/>
          <w:szCs w:val="22"/>
        </w:rPr>
        <w:tab/>
        <w:t>En su caso, compromiso por parte de las personas solicitantes de no incurrir en deslocalización empresarial, así como el período durante el cual la persona beneficiaria deberá mantener su domicilio fiscal en el Territorio Histórico de Álava a fin de no incurrir en la misma.</w:t>
      </w:r>
    </w:p>
    <w:p w14:paraId="530188BC" w14:textId="77777777" w:rsidR="00461A03" w:rsidRPr="00461A03" w:rsidRDefault="00461A03" w:rsidP="00461A03">
      <w:pPr>
        <w:jc w:val="both"/>
        <w:rPr>
          <w:rFonts w:cs="Times New Roman"/>
          <w:sz w:val="22"/>
          <w:szCs w:val="22"/>
        </w:rPr>
      </w:pPr>
      <w:r w:rsidRPr="00461A03">
        <w:rPr>
          <w:rFonts w:cs="Times New Roman"/>
          <w:sz w:val="22"/>
          <w:szCs w:val="22"/>
        </w:rPr>
        <w:t>r.</w:t>
      </w:r>
      <w:r w:rsidRPr="00461A03">
        <w:rPr>
          <w:rFonts w:cs="Times New Roman"/>
          <w:sz w:val="22"/>
          <w:szCs w:val="22"/>
        </w:rPr>
        <w:tab/>
        <w:t>Medio de notificación o publicación, de conformidad, con lo previsto en el artículo 41 y siguientes de la Ley 39/2015, de 1 de octubre, del Procedimiento Administrativo Común de las Administraciones Públicas (en adelante, LPACAP).</w:t>
      </w:r>
    </w:p>
    <w:p w14:paraId="7CE7734D" w14:textId="77777777" w:rsidR="00461A03" w:rsidRPr="00461A03" w:rsidRDefault="00461A03" w:rsidP="00461A03">
      <w:pPr>
        <w:jc w:val="both"/>
        <w:rPr>
          <w:rFonts w:cs="Times New Roman"/>
          <w:sz w:val="22"/>
          <w:szCs w:val="22"/>
        </w:rPr>
      </w:pPr>
      <w:r w:rsidRPr="00461A03">
        <w:rPr>
          <w:rFonts w:cs="Times New Roman"/>
          <w:sz w:val="22"/>
          <w:szCs w:val="22"/>
        </w:rPr>
        <w:t>5.</w:t>
      </w:r>
      <w:r w:rsidRPr="00461A03">
        <w:rPr>
          <w:rFonts w:cs="Times New Roman"/>
          <w:sz w:val="22"/>
          <w:szCs w:val="22"/>
        </w:rPr>
        <w:tab/>
        <w:t xml:space="preserve">De acuerdo con lo previsto en el Decreto Foral 57/2019, del Consejo de Gobierno Foral de 27 de diciembre, de aprobación de los criterios sobre el uso de las lenguas oficiales en la Administración General de la Diputación Foral de Álava (BOTHA </w:t>
      </w:r>
      <w:proofErr w:type="spellStart"/>
      <w:r w:rsidRPr="00461A03">
        <w:rPr>
          <w:rFonts w:cs="Times New Roman"/>
          <w:sz w:val="22"/>
          <w:szCs w:val="22"/>
        </w:rPr>
        <w:t>nº</w:t>
      </w:r>
      <w:proofErr w:type="spellEnd"/>
      <w:r w:rsidRPr="00461A03">
        <w:rPr>
          <w:rFonts w:cs="Times New Roman"/>
          <w:sz w:val="22"/>
          <w:szCs w:val="22"/>
        </w:rPr>
        <w:t xml:space="preserve"> 8, de 22 de enero de 2020), en las bases de la convocatoria se tendrá en cuenta si el factor de uso de las lenguas es significativo en la actividad subvencionada organizada por las personas beneficiarias, así como a quién va dirigida, y, en consecuencia, en las bases de convocatoria se establecerán los criterios lingüísticos necesarios para garantizar que se dará el tratamiento adecuado a ambas lenguas oficiales.</w:t>
      </w:r>
    </w:p>
    <w:p w14:paraId="563F5D76" w14:textId="77777777" w:rsidR="00461A03" w:rsidRPr="00461A03" w:rsidRDefault="00461A03" w:rsidP="00461A03">
      <w:pPr>
        <w:jc w:val="both"/>
        <w:rPr>
          <w:rFonts w:cs="Times New Roman"/>
          <w:sz w:val="22"/>
          <w:szCs w:val="22"/>
        </w:rPr>
      </w:pPr>
      <w:r w:rsidRPr="00461A03">
        <w:rPr>
          <w:rFonts w:cs="Times New Roman"/>
          <w:sz w:val="22"/>
          <w:szCs w:val="22"/>
        </w:rPr>
        <w:t>6.</w:t>
      </w:r>
      <w:r w:rsidRPr="00461A03">
        <w:rPr>
          <w:rFonts w:cs="Times New Roman"/>
          <w:sz w:val="22"/>
          <w:szCs w:val="22"/>
        </w:rPr>
        <w:tab/>
        <w:t xml:space="preserve">De conformidad con el artículo 24 de la Ley para la Igualdad de Mujeres y Hombres, la administración pública deberá promover </w:t>
      </w:r>
      <w:proofErr w:type="gramStart"/>
      <w:r w:rsidRPr="00461A03">
        <w:rPr>
          <w:rFonts w:cs="Times New Roman"/>
          <w:sz w:val="22"/>
          <w:szCs w:val="22"/>
        </w:rPr>
        <w:t>que</w:t>
      </w:r>
      <w:proofErr w:type="gramEnd"/>
      <w:r w:rsidRPr="00461A03">
        <w:rPr>
          <w:rFonts w:cs="Times New Roman"/>
          <w:sz w:val="22"/>
          <w:szCs w:val="22"/>
        </w:rPr>
        <w:t xml:space="preserve"> en los órganos de dirección de las asociaciones y organizaciones profesionales, empresariales, de economía social, sindicales, políticas, culturales o de otra índole exista una presencia equilibrada de mujeres y hombres. A tal fin, entre otras actuaciones, las convocatorias podrán adecuar las subvenciones en función de la adopción de medidas que posibiliten un incremento de la presencia de mujeres en aquellos órganos de dirección en los que estén infrarrepresentadas. Asimismo, no se podrá dar ningún tipo de ayuda a las asociaciones y organizaciones que discriminen por razón de sexo en su proceso de admisión o en su funcionamiento.</w:t>
      </w:r>
    </w:p>
    <w:p w14:paraId="57F167E2" w14:textId="77777777" w:rsidR="00461A03" w:rsidRPr="00461A03" w:rsidRDefault="00461A03" w:rsidP="00461A03">
      <w:pPr>
        <w:jc w:val="both"/>
        <w:rPr>
          <w:rFonts w:cs="Times New Roman"/>
          <w:sz w:val="22"/>
          <w:szCs w:val="22"/>
        </w:rPr>
      </w:pPr>
    </w:p>
    <w:p w14:paraId="632B3825" w14:textId="77777777" w:rsidR="00461A03" w:rsidRPr="00461A03" w:rsidRDefault="00461A03" w:rsidP="00461A03">
      <w:pPr>
        <w:jc w:val="both"/>
        <w:rPr>
          <w:rFonts w:cs="Times New Roman"/>
          <w:b/>
          <w:bCs/>
          <w:sz w:val="22"/>
          <w:szCs w:val="22"/>
        </w:rPr>
      </w:pPr>
      <w:r w:rsidRPr="00461A03">
        <w:rPr>
          <w:rFonts w:cs="Times New Roman"/>
          <w:b/>
          <w:bCs/>
          <w:sz w:val="22"/>
          <w:szCs w:val="22"/>
        </w:rPr>
        <w:t>4.  Principios generales.</w:t>
      </w:r>
    </w:p>
    <w:p w14:paraId="0C15C4A0" w14:textId="77777777" w:rsidR="00461A03" w:rsidRPr="00461A03" w:rsidRDefault="00461A03" w:rsidP="00461A03">
      <w:pPr>
        <w:jc w:val="both"/>
        <w:rPr>
          <w:rFonts w:cs="Times New Roman"/>
          <w:sz w:val="22"/>
          <w:szCs w:val="22"/>
        </w:rPr>
      </w:pPr>
      <w:r w:rsidRPr="00461A03">
        <w:rPr>
          <w:rFonts w:cs="Times New Roman"/>
          <w:sz w:val="22"/>
          <w:szCs w:val="22"/>
        </w:rPr>
        <w:t>Las subvenciones que se concedan se gestionarán con los siguientes principios:</w:t>
      </w:r>
    </w:p>
    <w:p w14:paraId="3A24F828" w14:textId="77777777" w:rsidR="00461A03" w:rsidRPr="00461A03" w:rsidRDefault="00461A03" w:rsidP="00461A03">
      <w:pPr>
        <w:jc w:val="both"/>
        <w:rPr>
          <w:rFonts w:cs="Times New Roman"/>
          <w:sz w:val="22"/>
          <w:szCs w:val="22"/>
        </w:rPr>
      </w:pPr>
      <w:r w:rsidRPr="00461A03">
        <w:rPr>
          <w:rFonts w:cs="Times New Roman"/>
          <w:sz w:val="22"/>
          <w:szCs w:val="22"/>
        </w:rPr>
        <w:t>— Publicidad, transparencia, concurrencia, objetividad, igualdad y no discriminación.</w:t>
      </w:r>
    </w:p>
    <w:p w14:paraId="3750DBB1" w14:textId="77777777" w:rsidR="00461A03" w:rsidRPr="00461A03" w:rsidRDefault="00461A03" w:rsidP="00461A03">
      <w:pPr>
        <w:jc w:val="both"/>
        <w:rPr>
          <w:rFonts w:cs="Times New Roman"/>
          <w:sz w:val="22"/>
          <w:szCs w:val="22"/>
        </w:rPr>
      </w:pPr>
      <w:r w:rsidRPr="00461A03">
        <w:rPr>
          <w:rFonts w:cs="Times New Roman"/>
          <w:sz w:val="22"/>
          <w:szCs w:val="22"/>
        </w:rPr>
        <w:t>— Eficacia en el cumplimiento de los objetivos fijados.</w:t>
      </w:r>
    </w:p>
    <w:p w14:paraId="3408E1E1" w14:textId="77777777" w:rsidR="00461A03" w:rsidRPr="00461A03" w:rsidRDefault="00461A03" w:rsidP="00461A03">
      <w:pPr>
        <w:jc w:val="both"/>
        <w:rPr>
          <w:rFonts w:cs="Times New Roman"/>
          <w:sz w:val="22"/>
          <w:szCs w:val="22"/>
        </w:rPr>
      </w:pPr>
      <w:r w:rsidRPr="00461A03">
        <w:rPr>
          <w:rFonts w:cs="Times New Roman"/>
          <w:sz w:val="22"/>
          <w:szCs w:val="22"/>
        </w:rPr>
        <w:t>— Eficiencia en la asignación y utilización de los recursos de la Dirección de Movilidad y Transportes</w:t>
      </w:r>
    </w:p>
    <w:p w14:paraId="53CE40A4" w14:textId="77777777" w:rsidR="00461A03" w:rsidRPr="00461A03" w:rsidRDefault="00461A03" w:rsidP="00461A03">
      <w:pPr>
        <w:jc w:val="both"/>
        <w:rPr>
          <w:rFonts w:cs="Times New Roman"/>
          <w:sz w:val="22"/>
          <w:szCs w:val="22"/>
        </w:rPr>
      </w:pPr>
    </w:p>
    <w:p w14:paraId="2A92AD7E"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5.  Actuaciones subvencionables</w:t>
      </w:r>
    </w:p>
    <w:p w14:paraId="5816936A" w14:textId="77777777" w:rsidR="00461A03" w:rsidRPr="00461A03" w:rsidRDefault="00461A03" w:rsidP="00461A03">
      <w:pPr>
        <w:rPr>
          <w:rFonts w:cs="Times New Roman"/>
          <w:sz w:val="22"/>
          <w:szCs w:val="22"/>
        </w:rPr>
      </w:pPr>
    </w:p>
    <w:p w14:paraId="75221EC6" w14:textId="77777777" w:rsidR="00461A03" w:rsidRPr="00461A03" w:rsidRDefault="00461A03" w:rsidP="00461A03">
      <w:pPr>
        <w:jc w:val="both"/>
        <w:rPr>
          <w:rFonts w:cs="Times New Roman"/>
          <w:sz w:val="22"/>
          <w:szCs w:val="22"/>
        </w:rPr>
      </w:pPr>
      <w:r w:rsidRPr="00461A03">
        <w:rPr>
          <w:rFonts w:cs="Times New Roman"/>
          <w:sz w:val="22"/>
          <w:szCs w:val="22"/>
        </w:rPr>
        <w:t>Serán subvencionables los gastos derivados de trabajos técnicos, estudios, procesos participativos, consultorías especializadas, acciones piloto y actuaciones de implantación directamente vinculadas a las líneas de subvención definidas en la base anterior, siempre que resulten necesarios para la consecución de los objetivos de movilidad sostenible.</w:t>
      </w:r>
    </w:p>
    <w:p w14:paraId="390386E5" w14:textId="77777777" w:rsidR="00461A03" w:rsidRPr="00461A03" w:rsidRDefault="00461A03" w:rsidP="00461A03">
      <w:pPr>
        <w:jc w:val="both"/>
        <w:rPr>
          <w:rFonts w:cs="Times New Roman"/>
          <w:sz w:val="22"/>
          <w:szCs w:val="22"/>
        </w:rPr>
      </w:pPr>
      <w:r w:rsidRPr="00461A03">
        <w:rPr>
          <w:rFonts w:cs="Times New Roman"/>
          <w:sz w:val="22"/>
          <w:szCs w:val="22"/>
        </w:rPr>
        <w:lastRenderedPageBreak/>
        <w:t>1.-Tendrán la consideración de actuaciones subvencionables, entre otras:</w:t>
      </w:r>
    </w:p>
    <w:p w14:paraId="575AC77F" w14:textId="77777777" w:rsidR="00461A03" w:rsidRPr="00461A03" w:rsidRDefault="00461A03" w:rsidP="00461A03">
      <w:pPr>
        <w:jc w:val="both"/>
        <w:rPr>
          <w:rFonts w:cs="Times New Roman"/>
          <w:sz w:val="22"/>
          <w:szCs w:val="22"/>
        </w:rPr>
      </w:pPr>
      <w:r w:rsidRPr="00461A03">
        <w:rPr>
          <w:rFonts w:cs="Times New Roman"/>
          <w:sz w:val="22"/>
          <w:szCs w:val="22"/>
        </w:rPr>
        <w:t>-Trabajos de consultoría técnica para la redacción de planes de movilidad.</w:t>
      </w:r>
    </w:p>
    <w:p w14:paraId="50A437D7" w14:textId="77777777" w:rsidR="00461A03" w:rsidRPr="00461A03" w:rsidRDefault="00461A03" w:rsidP="00461A03">
      <w:pPr>
        <w:jc w:val="both"/>
        <w:rPr>
          <w:rFonts w:cs="Times New Roman"/>
          <w:sz w:val="22"/>
          <w:szCs w:val="22"/>
        </w:rPr>
      </w:pPr>
      <w:r w:rsidRPr="00461A03">
        <w:rPr>
          <w:rFonts w:cs="Times New Roman"/>
          <w:sz w:val="22"/>
          <w:szCs w:val="22"/>
        </w:rPr>
        <w:t>-Estudios de diagnóstico, participación y definición de medidas.</w:t>
      </w:r>
    </w:p>
    <w:p w14:paraId="46FF11BD" w14:textId="77777777" w:rsidR="00461A03" w:rsidRPr="00461A03" w:rsidRDefault="00461A03" w:rsidP="00461A03">
      <w:pPr>
        <w:jc w:val="both"/>
        <w:rPr>
          <w:rFonts w:cs="Times New Roman"/>
          <w:sz w:val="22"/>
          <w:szCs w:val="22"/>
        </w:rPr>
      </w:pPr>
      <w:r w:rsidRPr="00461A03">
        <w:rPr>
          <w:rFonts w:cs="Times New Roman"/>
          <w:sz w:val="22"/>
          <w:szCs w:val="22"/>
        </w:rPr>
        <w:t>-Actuaciones piloto o de implantación inicial de medidas contempladas en los planes de movilidad urbanos y comarcales, y planes de movilidad al trabajo ya aprobados.</w:t>
      </w:r>
    </w:p>
    <w:p w14:paraId="4258694F" w14:textId="77777777" w:rsidR="00461A03" w:rsidRPr="00461A03" w:rsidRDefault="00461A03" w:rsidP="00461A03">
      <w:pPr>
        <w:jc w:val="both"/>
        <w:rPr>
          <w:rFonts w:cs="Times New Roman"/>
          <w:sz w:val="22"/>
          <w:szCs w:val="22"/>
        </w:rPr>
      </w:pPr>
      <w:r w:rsidRPr="00461A03">
        <w:rPr>
          <w:rFonts w:cs="Times New Roman"/>
          <w:sz w:val="22"/>
          <w:szCs w:val="22"/>
        </w:rPr>
        <w:t>-Acciones de coordinación interinstitucional y colaboración público‑privada en ámbitos industriales.</w:t>
      </w:r>
    </w:p>
    <w:p w14:paraId="54CCD9E2" w14:textId="77777777" w:rsidR="00461A03" w:rsidRPr="00461A03" w:rsidRDefault="00461A03" w:rsidP="00461A03">
      <w:pPr>
        <w:jc w:val="both"/>
        <w:rPr>
          <w:rFonts w:cs="Times New Roman"/>
          <w:sz w:val="22"/>
          <w:szCs w:val="22"/>
        </w:rPr>
      </w:pPr>
      <w:r w:rsidRPr="00461A03">
        <w:rPr>
          <w:rFonts w:cs="Times New Roman"/>
          <w:sz w:val="22"/>
          <w:szCs w:val="22"/>
        </w:rPr>
        <w:t>-Acciones de sensibilización y comunicación vinculadas a la movilidad sostenible.</w:t>
      </w:r>
    </w:p>
    <w:p w14:paraId="51CF994E" w14:textId="77777777" w:rsidR="00461A03" w:rsidRPr="00461A03" w:rsidRDefault="00461A03" w:rsidP="00461A03">
      <w:pPr>
        <w:jc w:val="both"/>
        <w:rPr>
          <w:rFonts w:cs="Times New Roman"/>
          <w:sz w:val="22"/>
          <w:szCs w:val="22"/>
        </w:rPr>
      </w:pPr>
      <w:r w:rsidRPr="00461A03">
        <w:rPr>
          <w:rFonts w:cs="Times New Roman"/>
          <w:sz w:val="22"/>
          <w:szCs w:val="22"/>
        </w:rPr>
        <w:t>2.-Las actuaciones deberán estar alineadas con:</w:t>
      </w:r>
    </w:p>
    <w:p w14:paraId="243915E3" w14:textId="77777777" w:rsidR="00461A03" w:rsidRPr="00461A03" w:rsidRDefault="00461A03" w:rsidP="00461A03">
      <w:pPr>
        <w:jc w:val="both"/>
        <w:rPr>
          <w:rFonts w:cs="Times New Roman"/>
          <w:sz w:val="22"/>
          <w:szCs w:val="22"/>
        </w:rPr>
      </w:pPr>
      <w:r w:rsidRPr="00461A03">
        <w:rPr>
          <w:rFonts w:cs="Times New Roman"/>
          <w:sz w:val="22"/>
          <w:szCs w:val="22"/>
        </w:rPr>
        <w:t>-Los objetivos del Plan de Movilidad Sostenible de Álava 2025‑2034.</w:t>
      </w:r>
    </w:p>
    <w:p w14:paraId="3D09630E" w14:textId="77777777" w:rsidR="00461A03" w:rsidRPr="00461A03" w:rsidRDefault="00461A03" w:rsidP="00461A03">
      <w:pPr>
        <w:jc w:val="both"/>
        <w:rPr>
          <w:rFonts w:cs="Times New Roman"/>
          <w:sz w:val="22"/>
          <w:szCs w:val="22"/>
        </w:rPr>
      </w:pPr>
      <w:r w:rsidRPr="00461A03">
        <w:rPr>
          <w:rFonts w:cs="Times New Roman"/>
          <w:sz w:val="22"/>
          <w:szCs w:val="22"/>
        </w:rPr>
        <w:t>-La normativa vigente en materia de movilidad sostenible, cambio climático y accesibilidad.</w:t>
      </w:r>
    </w:p>
    <w:p w14:paraId="2C29F5C4" w14:textId="77777777" w:rsidR="00461A03" w:rsidRPr="00461A03" w:rsidRDefault="00461A03" w:rsidP="00461A03">
      <w:pPr>
        <w:jc w:val="both"/>
        <w:rPr>
          <w:rFonts w:cs="Times New Roman"/>
          <w:sz w:val="22"/>
          <w:szCs w:val="22"/>
        </w:rPr>
      </w:pPr>
      <w:r w:rsidRPr="00461A03">
        <w:rPr>
          <w:rFonts w:cs="Times New Roman"/>
          <w:sz w:val="22"/>
          <w:szCs w:val="22"/>
        </w:rPr>
        <w:t>-Las particularidades territoriales, sociales y económicas de Álava.</w:t>
      </w:r>
    </w:p>
    <w:p w14:paraId="60C62656" w14:textId="77777777" w:rsidR="00461A03" w:rsidRPr="00461A03" w:rsidRDefault="00461A03" w:rsidP="00461A03">
      <w:pPr>
        <w:jc w:val="both"/>
        <w:rPr>
          <w:rFonts w:cs="Times New Roman"/>
          <w:sz w:val="22"/>
          <w:szCs w:val="22"/>
        </w:rPr>
      </w:pPr>
    </w:p>
    <w:p w14:paraId="2CB98BAF"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6. Inversiones y Gastos subvencionables y condiciones adicionales</w:t>
      </w:r>
    </w:p>
    <w:p w14:paraId="65307544" w14:textId="77777777" w:rsidR="00461A03" w:rsidRPr="00461A03" w:rsidRDefault="00461A03" w:rsidP="00461A03">
      <w:pPr>
        <w:jc w:val="both"/>
        <w:rPr>
          <w:rFonts w:cs="Times New Roman"/>
          <w:sz w:val="22"/>
          <w:szCs w:val="22"/>
        </w:rPr>
      </w:pPr>
    </w:p>
    <w:p w14:paraId="0F0F907E" w14:textId="77777777" w:rsidR="00461A03" w:rsidRPr="00461A03" w:rsidRDefault="00461A03" w:rsidP="00461A03">
      <w:pPr>
        <w:jc w:val="both"/>
        <w:rPr>
          <w:rFonts w:cs="Times New Roman"/>
          <w:sz w:val="22"/>
          <w:szCs w:val="22"/>
        </w:rPr>
      </w:pPr>
      <w:r w:rsidRPr="00461A03">
        <w:rPr>
          <w:rFonts w:cs="Times New Roman"/>
          <w:sz w:val="22"/>
          <w:szCs w:val="22"/>
        </w:rPr>
        <w:t>1.-Serán subvencionables los gastos que respondan de manera indubitada a la naturaleza de la actividad subvencionada y resulten estrictamente necesarios para su ejecución, incluido el IVA cuando no sea susceptible de recuperación por la entidad beneficiaria.</w:t>
      </w:r>
    </w:p>
    <w:p w14:paraId="6326DCA1" w14:textId="77777777" w:rsidR="00461A03" w:rsidRPr="00461A03" w:rsidRDefault="00461A03" w:rsidP="00461A03">
      <w:pPr>
        <w:jc w:val="both"/>
        <w:rPr>
          <w:rFonts w:cs="Times New Roman"/>
          <w:sz w:val="22"/>
          <w:szCs w:val="22"/>
        </w:rPr>
      </w:pPr>
      <w:r w:rsidRPr="00461A03">
        <w:rPr>
          <w:rFonts w:cs="Times New Roman"/>
          <w:sz w:val="22"/>
          <w:szCs w:val="22"/>
        </w:rPr>
        <w:t>2.- Las subvenciones objeto de las presentes bases serán compatibles con otras subvenciones, ayudas, ingresos o recursos para la misma finalidad, procedentes de cualesquiera administraciones o entes públicos o privados, estatales, de la Unión Europea o de organismos internacionales.</w:t>
      </w:r>
    </w:p>
    <w:p w14:paraId="64EB08CB" w14:textId="77777777" w:rsidR="00461A03" w:rsidRPr="00461A03" w:rsidRDefault="00461A03" w:rsidP="00461A03">
      <w:pPr>
        <w:jc w:val="both"/>
        <w:rPr>
          <w:rFonts w:cs="Times New Roman"/>
          <w:sz w:val="22"/>
          <w:szCs w:val="22"/>
        </w:rPr>
      </w:pPr>
      <w:r w:rsidRPr="00461A03">
        <w:rPr>
          <w:rFonts w:cs="Times New Roman"/>
          <w:sz w:val="22"/>
          <w:szCs w:val="22"/>
        </w:rPr>
        <w:t>3.- El importe de la subvención en ningún caso podrá ser de tal cuantía que, aisladamente o en concurrencia con otras subvenciones u otros ingresos, supere el coste total de la actuación.</w:t>
      </w:r>
    </w:p>
    <w:p w14:paraId="27BD3AB3" w14:textId="77777777" w:rsidR="00461A03" w:rsidRPr="00461A03" w:rsidRDefault="00461A03" w:rsidP="00461A03">
      <w:pPr>
        <w:jc w:val="both"/>
        <w:rPr>
          <w:rFonts w:cs="Times New Roman"/>
          <w:sz w:val="22"/>
          <w:szCs w:val="22"/>
        </w:rPr>
      </w:pPr>
      <w:r w:rsidRPr="00461A03">
        <w:rPr>
          <w:rFonts w:cs="Times New Roman"/>
          <w:sz w:val="22"/>
          <w:szCs w:val="22"/>
        </w:rPr>
        <w:t>4. Las entidades beneficiarias deberán realizar cuantos trámites y obtener cuantas autorizaciones sean precisas para la correcta y total ejecución de las actuaciones subvencionadas, todo ello tanto desde el inicio de los trabajos como hasta la recepción definitiva de los mismos.</w:t>
      </w:r>
    </w:p>
    <w:p w14:paraId="2181AE89"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De acuerdo con el artículo 3 del Decreto Legislativo 1/2023, de 16 de marzo, por el que se aprueba el texto refundido de la Ley para la Igualdad de Mujeres y Hombres y Vidas Libres de Violencia Machista contra las Mujeres, los principios generales que deben regir y orientar la actuación de los poderes públicos vascos en materia de igualdad de mujeres y hombres son los siguientes: la igualdad de trato; la igualdad de oportunidades; el respeto a la diversidad y a la diferencia; la integración de la perspectiva de género; la acción positiva; la eliminación de roles y estereotipos en función del sexo; la representación equilibrada y la coordinación y colaboración.</w:t>
      </w:r>
    </w:p>
    <w:p w14:paraId="07117884" w14:textId="77777777" w:rsidR="00461A03" w:rsidRPr="00461A03" w:rsidRDefault="00461A03" w:rsidP="00461A03">
      <w:pPr>
        <w:autoSpaceDE w:val="0"/>
        <w:autoSpaceDN w:val="0"/>
        <w:adjustRightInd w:val="0"/>
        <w:jc w:val="both"/>
        <w:rPr>
          <w:rFonts w:cs="Times New Roman"/>
          <w:sz w:val="22"/>
          <w:szCs w:val="22"/>
        </w:rPr>
      </w:pPr>
    </w:p>
    <w:p w14:paraId="44492304"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También en el artículo 50.1 de la misma Ley se recoge que se deben arbitrar los medios necesarios para garantizar que las políticas y programas en materia de medio ambiente, vivienda, urbanismo y transporte integren la perspectiva de género, considerando, entre otras, cuestiones relativas a la seguridad de las personas, a facilitar la realización del trabajo doméstico y de cuidado de las personas y la conciliación de la vida personal, familiar y laboral, así como a fomentar una mayor participación de las mujeres en el diseño y ejecución de las citadas políticas y programas.</w:t>
      </w:r>
    </w:p>
    <w:p w14:paraId="44D119BC" w14:textId="77777777" w:rsidR="00461A03" w:rsidRPr="00461A03" w:rsidRDefault="00461A03" w:rsidP="00461A03">
      <w:pPr>
        <w:autoSpaceDE w:val="0"/>
        <w:autoSpaceDN w:val="0"/>
        <w:adjustRightInd w:val="0"/>
        <w:jc w:val="both"/>
        <w:rPr>
          <w:rFonts w:cs="Times New Roman"/>
          <w:sz w:val="22"/>
          <w:szCs w:val="22"/>
        </w:rPr>
      </w:pPr>
    </w:p>
    <w:p w14:paraId="24D50D80"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Cuando se celebren contratos administrativos para la ejecución de la actividad subvencionada, será de aplicación el artículo 22 del citado Decreto Legislativo 1/2023, por el cual se contemplará, como condición de ejecución del contrato, la obligación del adjudicatario de aplicar, al realizar la prestación, medidas tendentes a promover la igualdad de hombres y mujeres; todo ello con sujeción a la legislación de contratos y siempre que el órgano competente haya establecido que se trata de un tipo o característica de contratación a la que le corresponde aplicar tal medida.</w:t>
      </w:r>
    </w:p>
    <w:p w14:paraId="1C73B6ED" w14:textId="77777777" w:rsidR="00461A03" w:rsidRPr="00461A03" w:rsidRDefault="00461A03" w:rsidP="00461A03">
      <w:pPr>
        <w:autoSpaceDE w:val="0"/>
        <w:autoSpaceDN w:val="0"/>
        <w:adjustRightInd w:val="0"/>
        <w:jc w:val="both"/>
        <w:rPr>
          <w:rFonts w:cs="Times New Roman"/>
          <w:sz w:val="22"/>
          <w:szCs w:val="22"/>
        </w:rPr>
      </w:pPr>
    </w:p>
    <w:p w14:paraId="1E3D6A42"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 xml:space="preserve">Asimismo, </w:t>
      </w:r>
      <w:proofErr w:type="gramStart"/>
      <w:r w:rsidRPr="00461A03">
        <w:rPr>
          <w:rFonts w:cs="Times New Roman"/>
          <w:sz w:val="22"/>
          <w:szCs w:val="22"/>
        </w:rPr>
        <w:t>de acuerdo a</w:t>
      </w:r>
      <w:proofErr w:type="gramEnd"/>
      <w:r w:rsidRPr="00461A03">
        <w:rPr>
          <w:rFonts w:cs="Times New Roman"/>
          <w:sz w:val="22"/>
          <w:szCs w:val="22"/>
        </w:rPr>
        <w:t xml:space="preserve"> la Ley 10/1982, de 24 de noviembre, básica de normalización y uso del euskera, el adjudicatario deberá garantizar el tratamiento y uso adecuados de ambas lenguas oficiales siempre que el órgano competente considere que el objeto del contrato así lo requiere. </w:t>
      </w:r>
    </w:p>
    <w:p w14:paraId="35221662" w14:textId="77777777" w:rsidR="00461A03" w:rsidRPr="00461A03" w:rsidRDefault="00461A03" w:rsidP="00461A03">
      <w:pPr>
        <w:autoSpaceDE w:val="0"/>
        <w:autoSpaceDN w:val="0"/>
        <w:adjustRightInd w:val="0"/>
        <w:jc w:val="both"/>
        <w:rPr>
          <w:rFonts w:cs="Times New Roman"/>
          <w:sz w:val="22"/>
          <w:szCs w:val="22"/>
        </w:rPr>
      </w:pPr>
    </w:p>
    <w:p w14:paraId="77C16E1D" w14:textId="77777777" w:rsidR="00461A03" w:rsidRPr="00461A03" w:rsidRDefault="00461A03" w:rsidP="00461A03">
      <w:pPr>
        <w:jc w:val="both"/>
        <w:rPr>
          <w:rFonts w:cs="Times New Roman"/>
          <w:sz w:val="22"/>
          <w:szCs w:val="22"/>
        </w:rPr>
      </w:pPr>
      <w:r w:rsidRPr="00461A03">
        <w:rPr>
          <w:rFonts w:cs="Times New Roman"/>
          <w:sz w:val="22"/>
          <w:szCs w:val="22"/>
        </w:rPr>
        <w:t>5.-No serán subvencionables:</w:t>
      </w:r>
    </w:p>
    <w:p w14:paraId="52AA376F" w14:textId="77777777" w:rsidR="00461A03" w:rsidRPr="00461A03" w:rsidRDefault="00461A03" w:rsidP="00461A03">
      <w:pPr>
        <w:jc w:val="both"/>
        <w:rPr>
          <w:rFonts w:cs="Times New Roman"/>
          <w:sz w:val="22"/>
          <w:szCs w:val="22"/>
        </w:rPr>
      </w:pPr>
      <w:r w:rsidRPr="00461A03">
        <w:rPr>
          <w:rFonts w:cs="Times New Roman"/>
          <w:sz w:val="22"/>
          <w:szCs w:val="22"/>
        </w:rPr>
        <w:lastRenderedPageBreak/>
        <w:t>-Actuaciones que carezcan de viabilidad técnica, económica o de mantenimiento.</w:t>
      </w:r>
    </w:p>
    <w:p w14:paraId="671D828D" w14:textId="77777777" w:rsidR="00461A03" w:rsidRPr="00461A03" w:rsidRDefault="00461A03" w:rsidP="00461A03">
      <w:pPr>
        <w:jc w:val="both"/>
        <w:rPr>
          <w:rFonts w:cs="Times New Roman"/>
          <w:sz w:val="22"/>
          <w:szCs w:val="22"/>
        </w:rPr>
      </w:pPr>
      <w:r w:rsidRPr="00461A03">
        <w:rPr>
          <w:rFonts w:cs="Times New Roman"/>
          <w:sz w:val="22"/>
          <w:szCs w:val="22"/>
        </w:rPr>
        <w:t>-Gastos corrientes no directamente vinculados al proyecto.</w:t>
      </w:r>
    </w:p>
    <w:p w14:paraId="72264445"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7. Recursos económicos</w:t>
      </w:r>
    </w:p>
    <w:p w14:paraId="4115FE3B" w14:textId="77777777" w:rsidR="00461A03" w:rsidRPr="00461A03" w:rsidRDefault="00461A03" w:rsidP="00461A03">
      <w:pPr>
        <w:jc w:val="both"/>
        <w:rPr>
          <w:rFonts w:cs="Times New Roman"/>
          <w:sz w:val="22"/>
          <w:szCs w:val="22"/>
        </w:rPr>
      </w:pPr>
      <w:r w:rsidRPr="00461A03">
        <w:rPr>
          <w:rFonts w:cs="Times New Roman"/>
          <w:sz w:val="22"/>
          <w:szCs w:val="22"/>
        </w:rPr>
        <w:t xml:space="preserve">Las convocatorias determinarán la dotación presupuestaria, partidas de imputación y cuantías máximas de las subvenciones, así como sus posibles ampliaciones. </w:t>
      </w:r>
    </w:p>
    <w:p w14:paraId="03C6FE52" w14:textId="77777777" w:rsidR="00461A03" w:rsidRPr="00461A03" w:rsidRDefault="00461A03" w:rsidP="00461A03">
      <w:pPr>
        <w:jc w:val="both"/>
        <w:rPr>
          <w:rFonts w:cs="Times New Roman"/>
          <w:sz w:val="22"/>
          <w:szCs w:val="22"/>
        </w:rPr>
      </w:pPr>
      <w:r w:rsidRPr="00461A03">
        <w:rPr>
          <w:rFonts w:cs="Times New Roman"/>
          <w:sz w:val="22"/>
          <w:szCs w:val="22"/>
        </w:rPr>
        <w:t>Cuando en una misma convocatoria existan diferentes líneas de subvención, se faculta al órgano concedente para que a propuesta de la Comisión de Valoración pueda redistribuir los fondos consignados a cada una de las líneas de subvención respetando en todo caso, el presupuesto total de la convocatoria.</w:t>
      </w:r>
    </w:p>
    <w:p w14:paraId="04173DF3"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8. Entidades beneficiarias</w:t>
      </w:r>
    </w:p>
    <w:p w14:paraId="0AB04290" w14:textId="77777777" w:rsidR="00461A03" w:rsidRPr="00461A03" w:rsidRDefault="00461A03" w:rsidP="00461A03">
      <w:pPr>
        <w:autoSpaceDE w:val="0"/>
        <w:autoSpaceDN w:val="0"/>
        <w:adjustRightInd w:val="0"/>
        <w:jc w:val="both"/>
        <w:rPr>
          <w:rFonts w:cs="Times New Roman"/>
          <w:sz w:val="22"/>
          <w:szCs w:val="22"/>
        </w:rPr>
      </w:pPr>
      <w:bookmarkStart w:id="3" w:name="_Hlk230350410"/>
      <w:r w:rsidRPr="00461A03">
        <w:rPr>
          <w:rFonts w:cs="Times New Roman"/>
          <w:sz w:val="22"/>
          <w:szCs w:val="22"/>
        </w:rPr>
        <w:t>Podrán ser beneficiarias las entidades locales y las Cuadrillas del Territorio Histórico de Álava, así como las empresas privadas, entidades urbanísticas o administraciones públicas en el caso de planes de movilidad al trabajo y actuaciones en polígonos industriales, y asociaciones de diferentes sectores relacionados con la movilidad, siempre que cumplan los requisitos establecidos en la normativa de subvenciones.</w:t>
      </w:r>
    </w:p>
    <w:p w14:paraId="26F63307" w14:textId="77777777" w:rsidR="00461A03" w:rsidRPr="00461A03" w:rsidRDefault="00461A03" w:rsidP="00461A03">
      <w:pPr>
        <w:autoSpaceDE w:val="0"/>
        <w:autoSpaceDN w:val="0"/>
        <w:adjustRightInd w:val="0"/>
        <w:jc w:val="both"/>
        <w:rPr>
          <w:rFonts w:cs="Times New Roman"/>
          <w:sz w:val="22"/>
          <w:szCs w:val="22"/>
        </w:rPr>
      </w:pPr>
    </w:p>
    <w:p w14:paraId="4E106D88"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No podrán tener la condición de entidades beneficiarias aquellas que hayan sido sancionadas por las infracciones a que se refiere el título IV de la Ley 38/2003 general de subvenciones, de 17 de noviembre, al igual que las que incurran en los supuestos contemplados en el Decreto Legislativo 1/2023, de 16 de marzo, por el que se aprueba el texto refundido de la Ley para la Igualdad de Mujeres y Hombres y Vidas Libres de Violencia Machista contra las Mujeres y en la Ley Orgánica 3/2007, de 22 de marzo, para la igualdad efectiva de mujeres y hombres.</w:t>
      </w:r>
    </w:p>
    <w:bookmarkEnd w:id="3"/>
    <w:p w14:paraId="6746DA03"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 xml:space="preserve">9. Procedimiento de concesión de las subvenciones. Cuantificación de </w:t>
      </w:r>
      <w:proofErr w:type="gramStart"/>
      <w:r w:rsidRPr="00461A03">
        <w:rPr>
          <w:rFonts w:cs="Times New Roman"/>
          <w:color w:val="auto"/>
          <w:sz w:val="22"/>
          <w:szCs w:val="22"/>
        </w:rPr>
        <w:t>las mismas</w:t>
      </w:r>
      <w:proofErr w:type="gramEnd"/>
      <w:r w:rsidRPr="00461A03">
        <w:rPr>
          <w:rFonts w:cs="Times New Roman"/>
          <w:color w:val="auto"/>
          <w:sz w:val="22"/>
          <w:szCs w:val="22"/>
        </w:rPr>
        <w:t xml:space="preserve">. </w:t>
      </w:r>
    </w:p>
    <w:p w14:paraId="24269C9A" w14:textId="77777777" w:rsidR="00461A03" w:rsidRPr="00461A03" w:rsidRDefault="00461A03" w:rsidP="00461A03">
      <w:pPr>
        <w:jc w:val="both"/>
        <w:rPr>
          <w:rFonts w:cs="Times New Roman"/>
          <w:sz w:val="22"/>
          <w:szCs w:val="22"/>
        </w:rPr>
      </w:pPr>
      <w:r w:rsidRPr="00461A03">
        <w:rPr>
          <w:rFonts w:cs="Times New Roman"/>
          <w:sz w:val="22"/>
          <w:szCs w:val="22"/>
        </w:rPr>
        <w:t xml:space="preserve">La concesión de las subvenciones se podrá realizar en régimen de concurrencia competitiva o en régimen de libre concurrencia. Se determinará en la correspondiente convocatoria. </w:t>
      </w:r>
    </w:p>
    <w:p w14:paraId="78528EEB" w14:textId="77777777" w:rsidR="00461A03" w:rsidRPr="00461A03" w:rsidRDefault="00461A03" w:rsidP="00461A03">
      <w:pPr>
        <w:jc w:val="both"/>
        <w:rPr>
          <w:rFonts w:cs="Times New Roman"/>
          <w:sz w:val="22"/>
          <w:szCs w:val="22"/>
        </w:rPr>
      </w:pPr>
      <w:r w:rsidRPr="00461A03">
        <w:rPr>
          <w:rFonts w:cs="Times New Roman"/>
          <w:sz w:val="22"/>
          <w:szCs w:val="22"/>
        </w:rPr>
        <w:t>En el caso de aplicar el régimen de concurrencia competitiva, los proyectos y actuaciones subvencionables serán ordenadas por los servicios técnicos del Departamento de Movilidad Sostenible e Infraestructuras Viarias en función de la puntuación obtenida según los criterios contenidos en la correspondiente convocatoria.</w:t>
      </w:r>
    </w:p>
    <w:p w14:paraId="1241B872"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El órgano competente para la instrucción será el servicio de Movilidad y Transportes y será competente para la resolución del procedimiento el Consejo de Gobierno Foral. Para la evaluación de las solicitudes nombrará un órgano colegiado, presidido por la persona titular de la dirección de Movilidad y Transportes, ejerciendo la secretaría y las vocalías personal técnico del Servicio de Movilidad y Transportes y de la Secretaría Técnica del Departamento de Movilidad Sostenible e Infraestructuras Viarias.</w:t>
      </w:r>
    </w:p>
    <w:p w14:paraId="7E4DB69E" w14:textId="77777777" w:rsidR="00461A03" w:rsidRPr="00461A03" w:rsidRDefault="00461A03" w:rsidP="00461A03">
      <w:pPr>
        <w:autoSpaceDE w:val="0"/>
        <w:autoSpaceDN w:val="0"/>
        <w:adjustRightInd w:val="0"/>
        <w:jc w:val="both"/>
        <w:rPr>
          <w:rFonts w:cs="Times New Roman"/>
          <w:sz w:val="22"/>
          <w:szCs w:val="22"/>
        </w:rPr>
      </w:pPr>
    </w:p>
    <w:p w14:paraId="0663B700"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El plazo máximo para resolver y notificar las subvenciones será de seis meses desde el último día de presentación de las solicitudes de cada convocatoria.</w:t>
      </w:r>
    </w:p>
    <w:p w14:paraId="3A70282F" w14:textId="77777777" w:rsidR="00461A03" w:rsidRPr="00461A03" w:rsidRDefault="00461A03" w:rsidP="00461A03">
      <w:pPr>
        <w:autoSpaceDE w:val="0"/>
        <w:autoSpaceDN w:val="0"/>
        <w:adjustRightInd w:val="0"/>
        <w:jc w:val="both"/>
        <w:rPr>
          <w:rFonts w:cs="Times New Roman"/>
          <w:sz w:val="22"/>
          <w:szCs w:val="22"/>
        </w:rPr>
      </w:pPr>
    </w:p>
    <w:p w14:paraId="7BC25ADA"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El porcentaje máximo subvencionable se calculará sobre el coste total de la actuación y podrá llegar al 100 por ciento, según los criterios contenidos en la convocatoria correspondiente, sin que en ningún caso se supere el coste total de la actuación.</w:t>
      </w:r>
    </w:p>
    <w:p w14:paraId="6A245DD8" w14:textId="77777777" w:rsidR="00461A03" w:rsidRPr="00461A03" w:rsidRDefault="00461A03" w:rsidP="00461A03">
      <w:pPr>
        <w:autoSpaceDE w:val="0"/>
        <w:autoSpaceDN w:val="0"/>
        <w:adjustRightInd w:val="0"/>
        <w:jc w:val="both"/>
        <w:rPr>
          <w:rFonts w:cs="Times New Roman"/>
          <w:sz w:val="22"/>
          <w:szCs w:val="22"/>
        </w:rPr>
      </w:pPr>
    </w:p>
    <w:p w14:paraId="10312307"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 xml:space="preserve">Se entenderá como coste de la actuación el presupuesto base de licitación más el porcentaje de IVA que no sea objeto de recuperación por parte del beneficiario. </w:t>
      </w:r>
    </w:p>
    <w:p w14:paraId="48198B2D" w14:textId="77777777" w:rsidR="00461A03" w:rsidRPr="00461A03" w:rsidRDefault="00461A03" w:rsidP="00461A03">
      <w:pPr>
        <w:autoSpaceDE w:val="0"/>
        <w:autoSpaceDN w:val="0"/>
        <w:adjustRightInd w:val="0"/>
        <w:jc w:val="both"/>
        <w:rPr>
          <w:rFonts w:cs="Times New Roman"/>
          <w:sz w:val="22"/>
          <w:szCs w:val="22"/>
        </w:rPr>
      </w:pPr>
    </w:p>
    <w:p w14:paraId="16FD09B4"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Se entenderá que los beneficiarios aceptan los términos de la subvención, siempre que en el plazo de 10 días hábiles desde la notificación de la resolución no renuncien por escrito a la misma.</w:t>
      </w:r>
    </w:p>
    <w:p w14:paraId="0469F564" w14:textId="77777777" w:rsidR="00461A03" w:rsidRPr="00461A03" w:rsidRDefault="00461A03" w:rsidP="00461A03">
      <w:pPr>
        <w:autoSpaceDE w:val="0"/>
        <w:autoSpaceDN w:val="0"/>
        <w:adjustRightInd w:val="0"/>
        <w:jc w:val="both"/>
        <w:rPr>
          <w:rFonts w:cs="Times New Roman"/>
          <w:sz w:val="22"/>
          <w:szCs w:val="22"/>
        </w:rPr>
      </w:pPr>
    </w:p>
    <w:p w14:paraId="6FF7BD3D"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 xml:space="preserve">Las solicitudes no atendidas por agotamiento de la dotación quedarán en bolsa en el orden de su presentación, y obtendrán subvención en el caso de que no se puedan aplicar los fondos inicialmente consignados por renuncias a las subvenciones originalmente otorgadas. Las </w:t>
      </w:r>
      <w:r w:rsidRPr="00461A03">
        <w:rPr>
          <w:rFonts w:cs="Times New Roman"/>
          <w:sz w:val="22"/>
          <w:szCs w:val="22"/>
        </w:rPr>
        <w:lastRenderedPageBreak/>
        <w:t>renuncias deberán realizarse en el plazo máximo de dos meses desde la notificación de la concesión.</w:t>
      </w:r>
    </w:p>
    <w:p w14:paraId="0E23CB0B" w14:textId="77777777" w:rsidR="00461A03" w:rsidRPr="00461A03" w:rsidRDefault="00461A03" w:rsidP="00461A03">
      <w:pPr>
        <w:autoSpaceDE w:val="0"/>
        <w:autoSpaceDN w:val="0"/>
        <w:adjustRightInd w:val="0"/>
        <w:jc w:val="both"/>
        <w:rPr>
          <w:rFonts w:cs="Times New Roman"/>
          <w:sz w:val="22"/>
          <w:szCs w:val="22"/>
        </w:rPr>
      </w:pPr>
    </w:p>
    <w:p w14:paraId="0E311E78"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10. Criterios de concesión</w:t>
      </w:r>
    </w:p>
    <w:p w14:paraId="0D6AA149" w14:textId="77777777" w:rsidR="00461A03" w:rsidRPr="00461A03" w:rsidRDefault="00461A03" w:rsidP="00461A03">
      <w:pPr>
        <w:rPr>
          <w:rFonts w:cs="Times New Roman"/>
          <w:sz w:val="22"/>
          <w:szCs w:val="22"/>
        </w:rPr>
      </w:pPr>
    </w:p>
    <w:p w14:paraId="4EBA3021" w14:textId="77777777" w:rsidR="00461A03" w:rsidRPr="00461A03" w:rsidRDefault="00461A03" w:rsidP="00461A03">
      <w:pPr>
        <w:jc w:val="both"/>
        <w:rPr>
          <w:rFonts w:cs="Times New Roman"/>
          <w:sz w:val="22"/>
          <w:szCs w:val="22"/>
        </w:rPr>
      </w:pPr>
      <w:r w:rsidRPr="00461A03">
        <w:rPr>
          <w:rFonts w:cs="Times New Roman"/>
          <w:sz w:val="22"/>
          <w:szCs w:val="22"/>
        </w:rPr>
        <w:t>Las convocatorias establecerán los criterios de valoración de las solicitudes, que tendrán en cuenta, entre otros, la contribución a los objetivos del Plan de Movilidad Sostenible de Álava 2025-2034, la adecuación a la realidad territorial, la viabilidad técnica y económica y la integración de la perspectiva de género y de accesibilidad universal.</w:t>
      </w:r>
    </w:p>
    <w:p w14:paraId="57D54E2F" w14:textId="77777777" w:rsidR="00461A03" w:rsidRPr="00461A03" w:rsidRDefault="00461A03" w:rsidP="00461A03">
      <w:pPr>
        <w:jc w:val="both"/>
        <w:rPr>
          <w:rFonts w:cs="Times New Roman"/>
          <w:sz w:val="22"/>
          <w:szCs w:val="22"/>
        </w:rPr>
      </w:pPr>
    </w:p>
    <w:p w14:paraId="2D254601"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11. Pago, plazo y forma de justificación por parte de las entidades beneficiarias del cumplimiento de la finalidad para la que se concedió la subvención</w:t>
      </w:r>
    </w:p>
    <w:p w14:paraId="09FB618B" w14:textId="77777777" w:rsidR="00461A03" w:rsidRPr="00461A03" w:rsidRDefault="00461A03" w:rsidP="00461A03">
      <w:pPr>
        <w:rPr>
          <w:rFonts w:cs="Times New Roman"/>
          <w:sz w:val="22"/>
          <w:szCs w:val="22"/>
        </w:rPr>
      </w:pPr>
    </w:p>
    <w:p w14:paraId="0BD9C86C" w14:textId="77777777" w:rsidR="00461A03" w:rsidRPr="00461A03" w:rsidRDefault="00461A03" w:rsidP="00461A03">
      <w:pPr>
        <w:jc w:val="both"/>
        <w:rPr>
          <w:rFonts w:cs="Times New Roman"/>
          <w:sz w:val="22"/>
          <w:szCs w:val="22"/>
        </w:rPr>
      </w:pPr>
      <w:r w:rsidRPr="00461A03">
        <w:rPr>
          <w:rFonts w:cs="Times New Roman"/>
          <w:sz w:val="22"/>
          <w:szCs w:val="22"/>
        </w:rPr>
        <w:t>El pago de las subvenciones se realizará, con carácter general, previa justificación del cumplimiento de la actividad para la que se concedió. No obstante, la convocatoria anual podrá recoger la posibilidad de efectuar pagos anticipados y abonos a cuenta, conforme a lo establecido en la normativa foral.</w:t>
      </w:r>
    </w:p>
    <w:p w14:paraId="3CEA902E" w14:textId="77777777" w:rsidR="00461A03" w:rsidRPr="00461A03" w:rsidRDefault="00461A03" w:rsidP="00461A03">
      <w:pPr>
        <w:jc w:val="both"/>
        <w:rPr>
          <w:rFonts w:cs="Times New Roman"/>
          <w:sz w:val="22"/>
          <w:szCs w:val="22"/>
        </w:rPr>
      </w:pPr>
      <w:r w:rsidRPr="00461A03">
        <w:rPr>
          <w:rFonts w:cs="Times New Roman"/>
          <w:sz w:val="22"/>
          <w:szCs w:val="22"/>
        </w:rPr>
        <w:t xml:space="preserve">Cuando las convocatorias contemplen la posibilidad de realizar abonos a cuenta o pagos anticipados, se fijarán las condiciones y límites de </w:t>
      </w:r>
      <w:proofErr w:type="gramStart"/>
      <w:r w:rsidRPr="00461A03">
        <w:rPr>
          <w:rFonts w:cs="Times New Roman"/>
          <w:sz w:val="22"/>
          <w:szCs w:val="22"/>
        </w:rPr>
        <w:t>los mismos</w:t>
      </w:r>
      <w:proofErr w:type="gramEnd"/>
      <w:r w:rsidRPr="00461A03">
        <w:rPr>
          <w:rFonts w:cs="Times New Roman"/>
          <w:sz w:val="22"/>
          <w:szCs w:val="22"/>
        </w:rPr>
        <w:t>, y el régimen de garantías en su caso.</w:t>
      </w:r>
    </w:p>
    <w:p w14:paraId="0DAA105A" w14:textId="77777777" w:rsidR="00461A03" w:rsidRPr="00461A03" w:rsidRDefault="00461A03" w:rsidP="00461A03">
      <w:pPr>
        <w:jc w:val="both"/>
        <w:rPr>
          <w:rFonts w:cs="Times New Roman"/>
          <w:sz w:val="22"/>
          <w:szCs w:val="22"/>
        </w:rPr>
      </w:pPr>
      <w:r w:rsidRPr="00461A03">
        <w:rPr>
          <w:rFonts w:cs="Times New Roman"/>
          <w:sz w:val="22"/>
          <w:szCs w:val="22"/>
        </w:rPr>
        <w:t>Para hacer efectivo el abono, se deberá aportar la documentación que se especifique en la convocatoria. El plazo máximo de presentación se establecerá en la correspondiente convocatoria.</w:t>
      </w:r>
    </w:p>
    <w:p w14:paraId="504205CA" w14:textId="77777777" w:rsidR="00461A03" w:rsidRPr="00461A03" w:rsidRDefault="00461A03" w:rsidP="00461A03">
      <w:pPr>
        <w:jc w:val="both"/>
        <w:rPr>
          <w:rFonts w:cs="Times New Roman"/>
          <w:sz w:val="22"/>
          <w:szCs w:val="22"/>
        </w:rPr>
      </w:pPr>
      <w:r w:rsidRPr="00461A03">
        <w:rPr>
          <w:rFonts w:cs="Times New Roman"/>
          <w:sz w:val="22"/>
          <w:szCs w:val="22"/>
        </w:rPr>
        <w:t>La cuenta justificativa contendrá la siguiente información:</w:t>
      </w:r>
    </w:p>
    <w:p w14:paraId="0FE4FFF6" w14:textId="77777777" w:rsidR="00461A03" w:rsidRPr="00461A03" w:rsidRDefault="00461A03" w:rsidP="00461A03">
      <w:pPr>
        <w:jc w:val="both"/>
        <w:rPr>
          <w:rFonts w:cs="Times New Roman"/>
          <w:sz w:val="22"/>
          <w:szCs w:val="22"/>
        </w:rPr>
      </w:pPr>
      <w:r w:rsidRPr="00461A03">
        <w:rPr>
          <w:rFonts w:cs="Times New Roman"/>
          <w:sz w:val="22"/>
          <w:szCs w:val="22"/>
        </w:rPr>
        <w:t>a) Una memoria de actuación justificativa del cumplimiento de las condiciones impuestas en la concesión de la subvención, con indicación de las actividades realizadas y de los resultados obtenidos.</w:t>
      </w:r>
    </w:p>
    <w:p w14:paraId="5F3C3138" w14:textId="77777777" w:rsidR="00461A03" w:rsidRPr="00461A03" w:rsidRDefault="00461A03" w:rsidP="00461A03">
      <w:pPr>
        <w:jc w:val="both"/>
        <w:rPr>
          <w:rFonts w:cs="Times New Roman"/>
          <w:sz w:val="22"/>
          <w:szCs w:val="22"/>
        </w:rPr>
      </w:pPr>
      <w:r w:rsidRPr="00461A03">
        <w:rPr>
          <w:rFonts w:cs="Times New Roman"/>
          <w:sz w:val="22"/>
          <w:szCs w:val="22"/>
        </w:rPr>
        <w:t>b) Una relación clasificada de los gastos e inversiones de la actividad, con identificación del acreedor y del documento, su importe, fecha de emisión y, en su caso, fecha de pago. En caso de que la subvención se otorgue con arreglo a un presupuesto estimado, se indicarán las desviaciones acaecidas.</w:t>
      </w:r>
    </w:p>
    <w:p w14:paraId="23391BAB" w14:textId="77777777" w:rsidR="00461A03" w:rsidRPr="00461A03" w:rsidRDefault="00461A03" w:rsidP="00461A03">
      <w:pPr>
        <w:jc w:val="both"/>
        <w:rPr>
          <w:rFonts w:cs="Times New Roman"/>
          <w:sz w:val="22"/>
          <w:szCs w:val="22"/>
        </w:rPr>
      </w:pPr>
      <w:r w:rsidRPr="00461A03">
        <w:rPr>
          <w:rFonts w:cs="Times New Roman"/>
          <w:sz w:val="22"/>
          <w:szCs w:val="22"/>
        </w:rPr>
        <w:t>c) Un detalle de otros ingresos o subvenciones que hayan financiado la actividad subvencionada con indicación del importe y su procedencia.</w:t>
      </w:r>
    </w:p>
    <w:p w14:paraId="60E73F4B" w14:textId="77777777" w:rsidR="00461A03" w:rsidRPr="00461A03" w:rsidRDefault="00461A03" w:rsidP="00461A03">
      <w:pPr>
        <w:jc w:val="both"/>
        <w:rPr>
          <w:rFonts w:cs="Times New Roman"/>
          <w:sz w:val="22"/>
          <w:szCs w:val="22"/>
        </w:rPr>
      </w:pPr>
      <w:r w:rsidRPr="00461A03">
        <w:rPr>
          <w:rFonts w:cs="Times New Roman"/>
          <w:sz w:val="22"/>
          <w:szCs w:val="22"/>
        </w:rPr>
        <w:t>d) En su caso, carta de pago de reintegro en el supuesto de remanentes no aplicados, así como de los intereses derivados de los mismos.</w:t>
      </w:r>
    </w:p>
    <w:p w14:paraId="227407B9" w14:textId="77777777" w:rsidR="00461A03" w:rsidRPr="00461A03" w:rsidRDefault="00461A03" w:rsidP="00461A03">
      <w:pPr>
        <w:jc w:val="both"/>
        <w:rPr>
          <w:rFonts w:cs="Times New Roman"/>
          <w:sz w:val="22"/>
          <w:szCs w:val="22"/>
        </w:rPr>
      </w:pPr>
      <w:r w:rsidRPr="00461A03">
        <w:rPr>
          <w:rFonts w:cs="Times New Roman"/>
          <w:sz w:val="22"/>
          <w:szCs w:val="22"/>
        </w:rPr>
        <w:t xml:space="preserve">El plazo de justificación será fijado en la correspondiente convocatoria en función de las características de </w:t>
      </w:r>
      <w:proofErr w:type="gramStart"/>
      <w:r w:rsidRPr="00461A03">
        <w:rPr>
          <w:rFonts w:cs="Times New Roman"/>
          <w:sz w:val="22"/>
          <w:szCs w:val="22"/>
        </w:rPr>
        <w:t>la misma</w:t>
      </w:r>
      <w:proofErr w:type="gramEnd"/>
      <w:r w:rsidRPr="00461A03">
        <w:rPr>
          <w:rFonts w:cs="Times New Roman"/>
          <w:sz w:val="22"/>
          <w:szCs w:val="22"/>
        </w:rPr>
        <w:t>.</w:t>
      </w:r>
    </w:p>
    <w:p w14:paraId="58591820" w14:textId="77777777" w:rsidR="00461A03" w:rsidRPr="00461A03" w:rsidRDefault="00461A03" w:rsidP="00461A03">
      <w:pPr>
        <w:jc w:val="both"/>
        <w:rPr>
          <w:rFonts w:cs="Times New Roman"/>
          <w:sz w:val="22"/>
          <w:szCs w:val="22"/>
        </w:rPr>
      </w:pPr>
      <w:r w:rsidRPr="00461A03">
        <w:rPr>
          <w:rFonts w:cs="Times New Roman"/>
          <w:sz w:val="22"/>
          <w:szCs w:val="22"/>
        </w:rPr>
        <w:t>El órgano concedente comprobará, a través de las técnicas de muestreo que se acuerden en las bases reguladoras, los justificantes que estime oportunos y que permitan obtener evidencia razonable sobre la adecuada aplicación de la subvención, a cuyo fin podrá requerir al beneficiario la remisión de los justificantes de gasto seleccionados.</w:t>
      </w:r>
    </w:p>
    <w:p w14:paraId="6CFF6E3F" w14:textId="77777777" w:rsidR="00461A03" w:rsidRPr="00461A03" w:rsidRDefault="00461A03" w:rsidP="00461A03">
      <w:pPr>
        <w:jc w:val="both"/>
        <w:rPr>
          <w:rFonts w:cs="Times New Roman"/>
          <w:sz w:val="22"/>
          <w:szCs w:val="22"/>
        </w:rPr>
      </w:pPr>
      <w:r w:rsidRPr="00461A03">
        <w:rPr>
          <w:rFonts w:cs="Times New Roman"/>
          <w:sz w:val="22"/>
          <w:szCs w:val="22"/>
        </w:rPr>
        <w:t xml:space="preserve">El plazo máximo de ejecución de las actuaciones subvencionables se establecerá en la correspondiente convocatoria. </w:t>
      </w:r>
    </w:p>
    <w:p w14:paraId="1E3552F0"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12. Publicidad</w:t>
      </w:r>
    </w:p>
    <w:p w14:paraId="7EBB71F6" w14:textId="77777777" w:rsidR="00461A03" w:rsidRPr="00461A03" w:rsidRDefault="00461A03" w:rsidP="00461A03">
      <w:pPr>
        <w:rPr>
          <w:rFonts w:cs="Times New Roman"/>
          <w:sz w:val="22"/>
          <w:szCs w:val="22"/>
        </w:rPr>
      </w:pPr>
    </w:p>
    <w:p w14:paraId="780FF415" w14:textId="77777777" w:rsidR="00461A03" w:rsidRPr="00461A03" w:rsidRDefault="00461A03" w:rsidP="00461A03">
      <w:pPr>
        <w:jc w:val="both"/>
        <w:rPr>
          <w:rFonts w:cs="Times New Roman"/>
          <w:sz w:val="22"/>
          <w:szCs w:val="22"/>
        </w:rPr>
      </w:pPr>
      <w:r w:rsidRPr="00461A03">
        <w:rPr>
          <w:rFonts w:cs="Times New Roman"/>
          <w:sz w:val="22"/>
          <w:szCs w:val="22"/>
        </w:rPr>
        <w:t>En las actuaciones subvencionadas deberá hacerse mención expresa del apoyo del Departamento de Movilidad Sostenible e Infraestructuras Viarias de la Diputación Foral de Álava, utilizando un lenguaje inclusivo y garantizando el uso de las dos lenguas oficiales.</w:t>
      </w:r>
    </w:p>
    <w:p w14:paraId="1713C470" w14:textId="77777777" w:rsidR="00461A03" w:rsidRPr="00461A03" w:rsidRDefault="00461A03" w:rsidP="00461A03">
      <w:pPr>
        <w:jc w:val="both"/>
        <w:rPr>
          <w:rFonts w:cs="Times New Roman"/>
          <w:sz w:val="22"/>
          <w:szCs w:val="22"/>
        </w:rPr>
      </w:pPr>
      <w:r w:rsidRPr="00461A03">
        <w:rPr>
          <w:rFonts w:cs="Times New Roman"/>
          <w:sz w:val="22"/>
          <w:szCs w:val="22"/>
        </w:rPr>
        <w:t xml:space="preserve">En todas aquellas publicaciones, folletos o publicidad en general que genere la actuación subvencionada, deberá hacerse mención expresa a la ayuda concedida por el Departamento de Movilidad Sostenible e Infraestructuras Viarias de la Diputación Foral de Álava. </w:t>
      </w:r>
    </w:p>
    <w:p w14:paraId="6C63CB6F" w14:textId="77777777" w:rsidR="00461A03" w:rsidRPr="00461A03" w:rsidRDefault="00461A03" w:rsidP="00461A03">
      <w:pPr>
        <w:jc w:val="both"/>
        <w:rPr>
          <w:rFonts w:cs="Times New Roman"/>
          <w:sz w:val="22"/>
          <w:szCs w:val="22"/>
        </w:rPr>
      </w:pPr>
      <w:r w:rsidRPr="00461A03">
        <w:rPr>
          <w:rFonts w:cs="Times New Roman"/>
          <w:sz w:val="22"/>
          <w:szCs w:val="22"/>
        </w:rPr>
        <w:lastRenderedPageBreak/>
        <w:t xml:space="preserve">Además, se asegurará un adecuado uso del lenguaje desde la perspectiva de género y se utilizarán los mensajes y canales adecuados para que la información llegue de forma equivalente a hombres y mujeres. </w:t>
      </w:r>
    </w:p>
    <w:p w14:paraId="4B805DDB" w14:textId="77777777" w:rsidR="00461A03" w:rsidRPr="00461A03" w:rsidRDefault="00461A03" w:rsidP="00461A03">
      <w:pPr>
        <w:jc w:val="both"/>
        <w:rPr>
          <w:rFonts w:cs="Times New Roman"/>
          <w:sz w:val="22"/>
          <w:szCs w:val="22"/>
        </w:rPr>
      </w:pPr>
      <w:r w:rsidRPr="00461A03">
        <w:rPr>
          <w:rFonts w:cs="Times New Roman"/>
          <w:sz w:val="22"/>
          <w:szCs w:val="22"/>
        </w:rPr>
        <w:t>Así mismo, la difusión y publicidad de la actividad subvencionada, cualquiera que sea su soporte (folletos, carteles, publicaciones...), deberá realizarse en ambas lenguas oficiales, y libre de estereotipos y roles sexistas.</w:t>
      </w:r>
    </w:p>
    <w:p w14:paraId="169D7034"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13. Reintegro de la subvención</w:t>
      </w:r>
    </w:p>
    <w:p w14:paraId="30E645F8" w14:textId="77777777" w:rsidR="00461A03" w:rsidRPr="00461A03" w:rsidRDefault="00461A03" w:rsidP="00461A03">
      <w:pPr>
        <w:rPr>
          <w:rFonts w:cs="Times New Roman"/>
          <w:sz w:val="22"/>
          <w:szCs w:val="22"/>
        </w:rPr>
      </w:pPr>
    </w:p>
    <w:p w14:paraId="0D171516" w14:textId="77777777" w:rsidR="00461A03" w:rsidRPr="00461A03" w:rsidRDefault="00461A03" w:rsidP="00461A03">
      <w:pPr>
        <w:jc w:val="both"/>
        <w:rPr>
          <w:rFonts w:cs="Times New Roman"/>
          <w:sz w:val="22"/>
          <w:szCs w:val="22"/>
        </w:rPr>
      </w:pPr>
      <w:r w:rsidRPr="00461A03">
        <w:rPr>
          <w:rFonts w:cs="Times New Roman"/>
          <w:sz w:val="22"/>
          <w:szCs w:val="22"/>
        </w:rPr>
        <w:t>1. -Procederá el reintegro de las cantidades percibidas en los casos establecidos en la Norma Foral 11/16, de 19 de octubre, de Subvenciones del Territorio Histórico de Álava y en la Ley 38/2003, de 17 de noviembre, General de Subvenciones y Real Decreto 887/2006, de 21 de julio, por el que se aprueba el Reglamento de la Ley 38/2003, de 17 de noviembre, General de Subvenciones.</w:t>
      </w:r>
    </w:p>
    <w:p w14:paraId="4990A63D" w14:textId="77777777" w:rsidR="00461A03" w:rsidRPr="00461A03" w:rsidRDefault="00461A03" w:rsidP="00461A03">
      <w:pPr>
        <w:jc w:val="both"/>
        <w:rPr>
          <w:rFonts w:cs="Times New Roman"/>
          <w:sz w:val="22"/>
          <w:szCs w:val="22"/>
        </w:rPr>
      </w:pPr>
      <w:r w:rsidRPr="00461A03">
        <w:rPr>
          <w:rFonts w:cs="Times New Roman"/>
          <w:sz w:val="22"/>
          <w:szCs w:val="22"/>
        </w:rPr>
        <w:t>2.- El reintegro de las cantidades percibidas sobre la subvención aprobada tendrá la consideración de ingresos de derecho público y su cobro se realizará conforme a lo previsto en el título II, capítulo I, de la Norma Foral 3/2023, de 25 de enero, General Presupuestaria del Territorio Histórico de Álava.</w:t>
      </w:r>
      <w:r w:rsidRPr="00461A03">
        <w:rPr>
          <w:rFonts w:cs="Times New Roman"/>
          <w:b/>
          <w:bCs/>
          <w:sz w:val="22"/>
          <w:szCs w:val="22"/>
        </w:rPr>
        <w:t xml:space="preserve"> </w:t>
      </w:r>
    </w:p>
    <w:p w14:paraId="4D46434F" w14:textId="77777777" w:rsidR="00461A03" w:rsidRPr="00461A03" w:rsidRDefault="00461A03" w:rsidP="00461A03">
      <w:pPr>
        <w:jc w:val="both"/>
        <w:rPr>
          <w:rFonts w:cs="Times New Roman"/>
          <w:sz w:val="22"/>
          <w:szCs w:val="22"/>
        </w:rPr>
      </w:pPr>
      <w:r w:rsidRPr="00461A03">
        <w:rPr>
          <w:rFonts w:cs="Times New Roman"/>
          <w:sz w:val="22"/>
          <w:szCs w:val="22"/>
        </w:rPr>
        <w:t>Supuestos de incumplimiento:</w:t>
      </w:r>
    </w:p>
    <w:p w14:paraId="1B90FCAD" w14:textId="77777777" w:rsidR="00461A03" w:rsidRPr="00461A03" w:rsidRDefault="00461A03" w:rsidP="00461A03">
      <w:pPr>
        <w:jc w:val="both"/>
        <w:rPr>
          <w:rFonts w:cs="Times New Roman"/>
          <w:sz w:val="22"/>
          <w:szCs w:val="22"/>
        </w:rPr>
      </w:pPr>
      <w:r w:rsidRPr="00461A03">
        <w:rPr>
          <w:rFonts w:cs="Times New Roman"/>
          <w:sz w:val="22"/>
          <w:szCs w:val="22"/>
        </w:rPr>
        <w:t>a. Incumplimiento de la obligación de justificación.</w:t>
      </w:r>
    </w:p>
    <w:p w14:paraId="243A3D8F" w14:textId="77777777" w:rsidR="00461A03" w:rsidRPr="00461A03" w:rsidRDefault="00461A03" w:rsidP="00461A03">
      <w:pPr>
        <w:jc w:val="both"/>
        <w:rPr>
          <w:rFonts w:cs="Times New Roman"/>
          <w:sz w:val="22"/>
          <w:szCs w:val="22"/>
        </w:rPr>
      </w:pPr>
      <w:r w:rsidRPr="00461A03">
        <w:rPr>
          <w:rFonts w:cs="Times New Roman"/>
          <w:sz w:val="22"/>
          <w:szCs w:val="22"/>
        </w:rPr>
        <w:t>b. Obtención de la subvención sin reunir las condiciones requeridas para ello.</w:t>
      </w:r>
    </w:p>
    <w:p w14:paraId="69586014" w14:textId="77777777" w:rsidR="00461A03" w:rsidRPr="00461A03" w:rsidRDefault="00461A03" w:rsidP="00461A03">
      <w:pPr>
        <w:jc w:val="both"/>
        <w:rPr>
          <w:rFonts w:cs="Times New Roman"/>
          <w:sz w:val="22"/>
          <w:szCs w:val="22"/>
        </w:rPr>
      </w:pPr>
      <w:r w:rsidRPr="00461A03">
        <w:rPr>
          <w:rFonts w:cs="Times New Roman"/>
          <w:sz w:val="22"/>
          <w:szCs w:val="22"/>
        </w:rPr>
        <w:t>c. Incumplimiento de la finalidad para la que la subvención fue concedida.</w:t>
      </w:r>
    </w:p>
    <w:p w14:paraId="7E6AC3E4" w14:textId="77777777" w:rsidR="00461A03" w:rsidRPr="00461A03" w:rsidRDefault="00461A03" w:rsidP="00461A03">
      <w:pPr>
        <w:jc w:val="both"/>
        <w:rPr>
          <w:rFonts w:cs="Times New Roman"/>
          <w:sz w:val="22"/>
          <w:szCs w:val="22"/>
        </w:rPr>
      </w:pPr>
      <w:r w:rsidRPr="00461A03">
        <w:rPr>
          <w:rFonts w:cs="Times New Roman"/>
          <w:sz w:val="22"/>
          <w:szCs w:val="22"/>
        </w:rPr>
        <w:t>d. Incumplimiento de las condiciones impuestas a la entidad beneficiaria con motivo de la concesión de la subvención.</w:t>
      </w:r>
    </w:p>
    <w:p w14:paraId="60E9FFDB" w14:textId="77777777" w:rsidR="00461A03" w:rsidRPr="00461A03" w:rsidRDefault="00461A03" w:rsidP="00461A03">
      <w:pPr>
        <w:jc w:val="both"/>
        <w:rPr>
          <w:rFonts w:cs="Times New Roman"/>
          <w:sz w:val="22"/>
          <w:szCs w:val="22"/>
        </w:rPr>
      </w:pPr>
      <w:r w:rsidRPr="00461A03">
        <w:rPr>
          <w:rFonts w:cs="Times New Roman"/>
          <w:sz w:val="22"/>
          <w:szCs w:val="22"/>
        </w:rPr>
        <w:t>e. Negativa u obstrucción a las actuaciones de control o comprobación.</w:t>
      </w:r>
    </w:p>
    <w:p w14:paraId="0C09627B" w14:textId="77777777" w:rsidR="00461A03" w:rsidRPr="00461A03" w:rsidRDefault="00461A03" w:rsidP="00461A03">
      <w:pPr>
        <w:jc w:val="both"/>
        <w:rPr>
          <w:rFonts w:cs="Times New Roman"/>
          <w:sz w:val="22"/>
          <w:szCs w:val="22"/>
        </w:rPr>
      </w:pPr>
      <w:r w:rsidRPr="00461A03">
        <w:rPr>
          <w:rFonts w:cs="Times New Roman"/>
          <w:sz w:val="22"/>
          <w:szCs w:val="22"/>
        </w:rPr>
        <w:t>f. Percepción de subvenciones superiores al coste de la actividad a desarrollar. En este caso procederá el reintegro del exceso obtenido sobre el coste de la actividad, junto con los intereses de demora correspondientes.</w:t>
      </w:r>
    </w:p>
    <w:p w14:paraId="5F13CE11" w14:textId="77777777" w:rsidR="00461A03" w:rsidRPr="00461A03" w:rsidRDefault="00461A03" w:rsidP="00461A03">
      <w:pPr>
        <w:jc w:val="both"/>
        <w:rPr>
          <w:rFonts w:cs="Times New Roman"/>
          <w:sz w:val="22"/>
          <w:szCs w:val="22"/>
        </w:rPr>
      </w:pPr>
      <w:r w:rsidRPr="00461A03">
        <w:rPr>
          <w:rFonts w:cs="Times New Roman"/>
          <w:sz w:val="22"/>
          <w:szCs w:val="22"/>
        </w:rPr>
        <w:t>g. La existencia no declarada previamente de otras subvenciones con el mismo destino.</w:t>
      </w:r>
    </w:p>
    <w:p w14:paraId="15D543A9"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14. Comprobación y control</w:t>
      </w:r>
    </w:p>
    <w:p w14:paraId="319169EF" w14:textId="77777777" w:rsidR="00461A03" w:rsidRPr="00461A03" w:rsidRDefault="00461A03" w:rsidP="00461A03">
      <w:pPr>
        <w:rPr>
          <w:rFonts w:cs="Times New Roman"/>
          <w:sz w:val="22"/>
          <w:szCs w:val="22"/>
        </w:rPr>
      </w:pPr>
    </w:p>
    <w:p w14:paraId="3299D0DD" w14:textId="77777777" w:rsidR="00461A03" w:rsidRPr="00461A03" w:rsidRDefault="00461A03" w:rsidP="00461A03">
      <w:pPr>
        <w:jc w:val="both"/>
        <w:rPr>
          <w:rFonts w:cs="Times New Roman"/>
          <w:sz w:val="22"/>
          <w:szCs w:val="22"/>
        </w:rPr>
      </w:pPr>
      <w:r w:rsidRPr="00461A03">
        <w:rPr>
          <w:rFonts w:cs="Times New Roman"/>
          <w:sz w:val="22"/>
          <w:szCs w:val="22"/>
        </w:rPr>
        <w:t xml:space="preserve">La Diputación Foral de Álava podrá ejercer las actuaciones de comprobación y control que estime oportunas sobre las actuaciones subvencionadas, pudiendo solicitar a las entidades beneficiarias cuanta documentación sea necesaria para verificar el cumplimiento de las condiciones de la subvención. </w:t>
      </w:r>
    </w:p>
    <w:p w14:paraId="51EE7C5C" w14:textId="77777777" w:rsidR="00461A03" w:rsidRPr="00461A03" w:rsidRDefault="00461A03" w:rsidP="00461A03">
      <w:pPr>
        <w:jc w:val="both"/>
        <w:rPr>
          <w:rFonts w:cs="Times New Roman"/>
          <w:sz w:val="22"/>
          <w:szCs w:val="22"/>
        </w:rPr>
      </w:pPr>
      <w:r w:rsidRPr="00461A03">
        <w:rPr>
          <w:rFonts w:cs="Times New Roman"/>
          <w:sz w:val="22"/>
          <w:szCs w:val="22"/>
        </w:rPr>
        <w:t>Por el/la diputado/a foral titular del Departamento de Movilidad Sostenible e Infraestructuras Viarias se procederá a dictar las resoluciones que se estimen oportunas para el desarrollo de las sucesivas convocatorias y en su caso, de las presentes bases, a iniciativa de la unidad orgánica que tramita la subvención, pudiendo ejercer acciones que permitan exigir y comprobar la veracidad de los datos aportados por las personas beneficiarias y el cumplimiento de lo regulado en las diferentes bases. Para ello, las personas o entidades beneficiarias quedan comprometidas a facilitar cuantos datos y documentos tengan relación con las actividades desarrolladas por ellas y sean solicitados por la Dirección de Movilidad y Transportes. Igualmente deberán facilitar cuanta información pueda ser requerida por el Departamento de Hacienda, Finanzas y Presupuestos, Tribunal de Cuentas u otros organismos competentes.</w:t>
      </w:r>
    </w:p>
    <w:p w14:paraId="4525B99A"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15. Responsabilidades</w:t>
      </w:r>
    </w:p>
    <w:p w14:paraId="534E1D2A" w14:textId="77777777" w:rsidR="00461A03" w:rsidRPr="00461A03" w:rsidRDefault="00461A03" w:rsidP="00461A03">
      <w:pPr>
        <w:rPr>
          <w:rFonts w:cs="Times New Roman"/>
          <w:sz w:val="22"/>
          <w:szCs w:val="22"/>
        </w:rPr>
      </w:pPr>
    </w:p>
    <w:p w14:paraId="76C1B463" w14:textId="77777777" w:rsidR="00461A03" w:rsidRPr="00461A03" w:rsidRDefault="00461A03" w:rsidP="00461A03">
      <w:pPr>
        <w:jc w:val="both"/>
        <w:rPr>
          <w:rFonts w:cs="Times New Roman"/>
          <w:sz w:val="22"/>
          <w:szCs w:val="22"/>
        </w:rPr>
      </w:pPr>
      <w:r w:rsidRPr="00461A03">
        <w:rPr>
          <w:rFonts w:cs="Times New Roman"/>
          <w:sz w:val="22"/>
          <w:szCs w:val="22"/>
        </w:rPr>
        <w:t>Las entidades beneficiarias asumen las responsabilidades que pudieran derivarse de la realización de las actuaciones subvencionadas, y a solicitar las autorizaciones que para su desarrollo sean exigidas por la legislación vigente.</w:t>
      </w:r>
    </w:p>
    <w:p w14:paraId="00323BE5"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16. Modificaciones</w:t>
      </w:r>
    </w:p>
    <w:p w14:paraId="22307278" w14:textId="77777777" w:rsidR="00461A03" w:rsidRPr="00461A03" w:rsidRDefault="00461A03" w:rsidP="00461A03">
      <w:pPr>
        <w:rPr>
          <w:rFonts w:cs="Times New Roman"/>
          <w:sz w:val="22"/>
          <w:szCs w:val="22"/>
        </w:rPr>
      </w:pPr>
    </w:p>
    <w:p w14:paraId="37A43ADD" w14:textId="77777777" w:rsidR="00461A03" w:rsidRPr="00461A03" w:rsidRDefault="00461A03" w:rsidP="00461A03">
      <w:pPr>
        <w:jc w:val="both"/>
        <w:rPr>
          <w:rFonts w:cs="Times New Roman"/>
          <w:sz w:val="22"/>
          <w:szCs w:val="22"/>
        </w:rPr>
      </w:pPr>
      <w:r w:rsidRPr="00461A03">
        <w:rPr>
          <w:rFonts w:cs="Times New Roman"/>
          <w:sz w:val="22"/>
          <w:szCs w:val="22"/>
        </w:rPr>
        <w:lastRenderedPageBreak/>
        <w:t>La subvención aprobada será revisada, una vez conocida la financiación del gasto a través de las aportaciones complementarias de ayudas de otras entidades, así como, en su caso, otros ingresos, de tal forma que su cuantía definitiva máxima, sea el resultado deficitario de la liquidación final de gastos-ingresos de la actividad o actividades subvencionada/s.</w:t>
      </w:r>
    </w:p>
    <w:p w14:paraId="32730D46" w14:textId="77777777" w:rsidR="00461A03" w:rsidRPr="00461A03" w:rsidRDefault="00461A03" w:rsidP="00461A03">
      <w:pPr>
        <w:jc w:val="both"/>
        <w:rPr>
          <w:rFonts w:cs="Times New Roman"/>
          <w:sz w:val="22"/>
          <w:szCs w:val="22"/>
        </w:rPr>
      </w:pPr>
      <w:r w:rsidRPr="00461A03">
        <w:rPr>
          <w:rFonts w:cs="Times New Roman"/>
          <w:sz w:val="22"/>
          <w:szCs w:val="22"/>
        </w:rPr>
        <w:t>Toda alteración de las condiciones tenidas en cuenta para la concesión de la subvención y, en todo caso, la obtención concurrente de subvenciones o ayudas concedidas por cualquier entidad pública o privada dará lugar a la modificación de la resolución de concesión, así como al reintegro parcial de la misma. Una vez aprobada la subvención, cuando las circunstancias de hecho que motivaron su concesión puedan dar lugar a una modificación de dicha subvención, a propuesta razonada de su beneficiaria, el/la diputado/a foral titular del Departamento de Movilidad Sostenible e Infraestructuras Viarias podrá modificar ésta mediante la correspondiente orden foral.</w:t>
      </w:r>
    </w:p>
    <w:p w14:paraId="02D0F9DF" w14:textId="77777777" w:rsidR="00461A03" w:rsidRPr="00461A03" w:rsidRDefault="00461A03" w:rsidP="00461A03">
      <w:pPr>
        <w:jc w:val="both"/>
        <w:rPr>
          <w:rFonts w:cs="Times New Roman"/>
          <w:sz w:val="22"/>
          <w:szCs w:val="22"/>
        </w:rPr>
      </w:pPr>
      <w:r w:rsidRPr="00461A03">
        <w:rPr>
          <w:rFonts w:cs="Times New Roman"/>
          <w:sz w:val="22"/>
          <w:szCs w:val="22"/>
        </w:rPr>
        <w:t>La no notificación de las circunstancias descritas en el párrafo anterior podrá ser causa de pérdida de la subvención.</w:t>
      </w:r>
    </w:p>
    <w:p w14:paraId="260E7F69" w14:textId="77777777" w:rsidR="00461A03" w:rsidRPr="00461A03" w:rsidRDefault="00461A03" w:rsidP="00461A03">
      <w:pPr>
        <w:jc w:val="both"/>
        <w:rPr>
          <w:rFonts w:cs="Times New Roman"/>
          <w:sz w:val="22"/>
          <w:szCs w:val="22"/>
        </w:rPr>
      </w:pPr>
    </w:p>
    <w:p w14:paraId="153A96BF" w14:textId="77777777" w:rsidR="00461A03" w:rsidRPr="00461A03" w:rsidRDefault="00461A03" w:rsidP="00461A03">
      <w:pPr>
        <w:jc w:val="both"/>
        <w:rPr>
          <w:rFonts w:cs="Times New Roman"/>
          <w:sz w:val="22"/>
          <w:szCs w:val="22"/>
        </w:rPr>
      </w:pPr>
    </w:p>
    <w:p w14:paraId="03B5DF54" w14:textId="77777777" w:rsidR="00461A03" w:rsidRPr="00461A03" w:rsidRDefault="00461A03" w:rsidP="00461A03">
      <w:pPr>
        <w:jc w:val="both"/>
        <w:rPr>
          <w:rFonts w:cs="Times New Roman"/>
          <w:b/>
          <w:bCs/>
          <w:sz w:val="22"/>
          <w:szCs w:val="22"/>
        </w:rPr>
      </w:pPr>
      <w:r w:rsidRPr="00461A03">
        <w:rPr>
          <w:rFonts w:cs="Times New Roman"/>
          <w:b/>
          <w:bCs/>
          <w:sz w:val="22"/>
          <w:szCs w:val="22"/>
        </w:rPr>
        <w:t>17. Concurrencia y compatibilidad de subvenciones</w:t>
      </w:r>
    </w:p>
    <w:p w14:paraId="734546FF" w14:textId="77777777" w:rsidR="00461A03" w:rsidRPr="00461A03" w:rsidRDefault="00461A03" w:rsidP="00461A03">
      <w:pPr>
        <w:jc w:val="both"/>
        <w:rPr>
          <w:rFonts w:cs="Times New Roman"/>
          <w:b/>
          <w:bCs/>
          <w:sz w:val="22"/>
          <w:szCs w:val="22"/>
        </w:rPr>
      </w:pPr>
    </w:p>
    <w:p w14:paraId="43C1884B"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1. En las respectivas convocatorias se establecerá el régimen de concurrencia y compatibilidad de subvenciones.</w:t>
      </w:r>
    </w:p>
    <w:p w14:paraId="72966F33"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2. La obtención de alguna ayuda concurrente con posterioridad a la entrega de la solicitud de las ayudas, deberá ser notificada a la mayor brevedad y por escrito a la Dirección de Movilidad y Transportes, la cual podrá proponer la modificación de la cuantía o condiciones de la ayuda concedida.</w:t>
      </w:r>
    </w:p>
    <w:p w14:paraId="1034DC16"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3. En las convocatorias dirigidas a empresas se respetarán las reglas de “minimis” que se establezcan en los reglamentos vigentes en cada momento de la Comisión Europea.</w:t>
      </w:r>
    </w:p>
    <w:p w14:paraId="56EBE27A"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4. En el caso de que en la convocatoria se especifique la compatibilidad de las subvenciones con otras a conceder por otras personas o entidades, la cuantía de las ayudas recibidas de las distintas personas o entidades concedentes de subvención públicas o privadas o cualquier otro tipo de ingreso, no podrá superar el coste de la actividad o proyecto subvencionado, estableciéndose en cada convocatoria el desarrollo y los límites correspondientes.</w:t>
      </w:r>
    </w:p>
    <w:p w14:paraId="325C3BC9"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5. Cuando el solicitante de una subvención hubiera recibido otra anterior, incompatible para la misma finalidad, se hará constar esta circunstancia en la solicitud. En este supuesto la resolución de concesión deberá condicionar sus efectos a la presentación por parte de entidad beneficiaria de la renuncia a las subvenciones previamente obtenidas, así como, en su caso, al reintegro de los fondos públicos recibidos.</w:t>
      </w:r>
    </w:p>
    <w:p w14:paraId="176E6337"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6. Procederá exigir el reintegro de la subvención junto con los correspondientes intereses de demora cuando la Diputación Foral de Álava tenga conocimiento de que una entidad beneficiaria ha percibido otra u otras subvenciones incompatibles con la otorgada sin haber efectuado la correspondiente renuncia, así como en caso de sobrefinanciación o suma de subvenciones que, siendo compatibles, superen el coste.</w:t>
      </w:r>
    </w:p>
    <w:p w14:paraId="00E0FC9E"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18. Interpretación</w:t>
      </w:r>
    </w:p>
    <w:p w14:paraId="5247DF63" w14:textId="77777777" w:rsidR="00461A03" w:rsidRPr="00461A03" w:rsidRDefault="00461A03" w:rsidP="00461A03">
      <w:pPr>
        <w:pStyle w:val="Ttulo3"/>
        <w:rPr>
          <w:rFonts w:eastAsiaTheme="minorEastAsia" w:cs="Times New Roman"/>
          <w:b/>
          <w:bCs/>
          <w:color w:val="auto"/>
          <w:sz w:val="22"/>
          <w:szCs w:val="22"/>
        </w:rPr>
      </w:pPr>
      <w:r w:rsidRPr="00461A03">
        <w:rPr>
          <w:rFonts w:eastAsiaTheme="minorEastAsia" w:cs="Times New Roman"/>
          <w:color w:val="auto"/>
          <w:sz w:val="22"/>
          <w:szCs w:val="22"/>
        </w:rPr>
        <w:t xml:space="preserve">Cualquier duda que pudiera surgir en torno a la interpretación de estas bases será resuelta por el Departamento de Movilidad Sostenible e Infraestructuras Viarias de esta diputación. </w:t>
      </w:r>
    </w:p>
    <w:p w14:paraId="2A51B654" w14:textId="77777777" w:rsidR="00461A03" w:rsidRPr="00461A03" w:rsidRDefault="00461A03" w:rsidP="00461A03">
      <w:pPr>
        <w:jc w:val="both"/>
        <w:rPr>
          <w:rFonts w:cs="Times New Roman"/>
          <w:sz w:val="22"/>
          <w:szCs w:val="22"/>
        </w:rPr>
      </w:pPr>
    </w:p>
    <w:p w14:paraId="1BCC7FE5" w14:textId="77777777" w:rsidR="00461A03" w:rsidRPr="00461A03" w:rsidRDefault="00461A03" w:rsidP="00461A03">
      <w:pPr>
        <w:jc w:val="both"/>
        <w:rPr>
          <w:rFonts w:cs="Times New Roman"/>
          <w:b/>
          <w:bCs/>
          <w:sz w:val="22"/>
          <w:szCs w:val="22"/>
        </w:rPr>
      </w:pPr>
      <w:r w:rsidRPr="00461A03">
        <w:rPr>
          <w:rFonts w:cs="Times New Roman"/>
          <w:b/>
          <w:bCs/>
          <w:sz w:val="22"/>
          <w:szCs w:val="22"/>
        </w:rPr>
        <w:t>19. Recursos</w:t>
      </w:r>
    </w:p>
    <w:p w14:paraId="0F5343B2" w14:textId="77777777" w:rsidR="00461A03" w:rsidRPr="00461A03" w:rsidRDefault="00461A03" w:rsidP="00461A03">
      <w:pPr>
        <w:jc w:val="both"/>
        <w:rPr>
          <w:rFonts w:cs="Times New Roman"/>
          <w:sz w:val="22"/>
          <w:szCs w:val="22"/>
        </w:rPr>
      </w:pPr>
      <w:r w:rsidRPr="00461A03">
        <w:rPr>
          <w:rFonts w:cs="Times New Roman"/>
          <w:sz w:val="22"/>
          <w:szCs w:val="22"/>
        </w:rPr>
        <w:t>Las presentes bases y cuantos actos administrativos se deriven de ella, podrán ser impugnados en los casos y en la forma establecidos por la Ley 39/2015, de 1 de octubre, del Procedimiento Administrativo Común de las Administraciones Públicas.</w:t>
      </w:r>
    </w:p>
    <w:p w14:paraId="0858AC6E" w14:textId="77777777" w:rsidR="00461A03" w:rsidRPr="00461A03" w:rsidRDefault="00461A03" w:rsidP="00461A03">
      <w:pPr>
        <w:pStyle w:val="Ttulo3"/>
        <w:rPr>
          <w:rFonts w:cs="Times New Roman"/>
          <w:color w:val="auto"/>
          <w:sz w:val="22"/>
          <w:szCs w:val="22"/>
        </w:rPr>
      </w:pPr>
      <w:r w:rsidRPr="00461A03">
        <w:rPr>
          <w:rFonts w:cs="Times New Roman"/>
          <w:color w:val="auto"/>
          <w:sz w:val="22"/>
          <w:szCs w:val="22"/>
        </w:rPr>
        <w:t>20. Normativa aplicable</w:t>
      </w:r>
    </w:p>
    <w:p w14:paraId="4CDBA43E" w14:textId="77777777" w:rsidR="00461A03" w:rsidRPr="00461A03" w:rsidRDefault="00461A03" w:rsidP="00461A03">
      <w:pPr>
        <w:rPr>
          <w:rFonts w:cs="Times New Roman"/>
          <w:sz w:val="22"/>
          <w:szCs w:val="22"/>
        </w:rPr>
      </w:pPr>
    </w:p>
    <w:p w14:paraId="2138C5C7" w14:textId="77777777" w:rsidR="00461A03" w:rsidRPr="00461A03" w:rsidRDefault="00461A03" w:rsidP="00461A03">
      <w:pPr>
        <w:jc w:val="both"/>
        <w:rPr>
          <w:rFonts w:cs="Times New Roman"/>
          <w:sz w:val="22"/>
          <w:szCs w:val="22"/>
        </w:rPr>
      </w:pPr>
      <w:r w:rsidRPr="00461A03">
        <w:rPr>
          <w:rFonts w:cs="Times New Roman"/>
          <w:sz w:val="22"/>
          <w:szCs w:val="22"/>
        </w:rPr>
        <w:t xml:space="preserve">En lo no dispuesto en las presentes bases se regulará por la Norma Foral 11/2016, de subvenciones del Territorio Histórico de Álava, Ley 38/2003, de 17 de noviembre, General de Subvenciones, </w:t>
      </w:r>
      <w:r w:rsidRPr="00461A03">
        <w:rPr>
          <w:rFonts w:cs="Times New Roman"/>
          <w:sz w:val="22"/>
          <w:szCs w:val="22"/>
        </w:rPr>
        <w:lastRenderedPageBreak/>
        <w:t xml:space="preserve">Real Decreto 887/2006, de 21 de julio, por el que se aprueba el Reglamento de la Ley 38/2003, de 17 de noviembre, General de Subvenciones, Norma Foral 3/2023, de 25 de enero, General Presupuestaria del Territorio Histórico de Álava, en la Norma Foral de ordenación presupuestaria que se encuentre vigente, Ley 39/2015, de 1 de octubre, del Procedimiento Administrativo Común de las Administraciones Públicas y normativa sectorial que resulte de aplicación. </w:t>
      </w:r>
    </w:p>
    <w:p w14:paraId="1A08224F" w14:textId="77777777" w:rsidR="00461A03" w:rsidRPr="00461A03" w:rsidRDefault="00461A03" w:rsidP="00461A03">
      <w:pPr>
        <w:jc w:val="both"/>
        <w:rPr>
          <w:rFonts w:cs="Times New Roman"/>
          <w:sz w:val="22"/>
          <w:szCs w:val="22"/>
        </w:rPr>
      </w:pPr>
    </w:p>
    <w:p w14:paraId="45190152" w14:textId="77777777" w:rsidR="00461A03" w:rsidRPr="00461A03" w:rsidRDefault="00461A03" w:rsidP="00461A03">
      <w:pPr>
        <w:jc w:val="both"/>
        <w:rPr>
          <w:rFonts w:cs="Times New Roman"/>
          <w:sz w:val="22"/>
          <w:szCs w:val="22"/>
        </w:rPr>
      </w:pPr>
    </w:p>
    <w:p w14:paraId="6B5491B6" w14:textId="77777777" w:rsidR="00461A03" w:rsidRPr="00461A03" w:rsidRDefault="00461A03" w:rsidP="00461A03">
      <w:pPr>
        <w:jc w:val="both"/>
        <w:rPr>
          <w:rFonts w:cs="Times New Roman"/>
          <w:sz w:val="22"/>
          <w:szCs w:val="22"/>
        </w:rPr>
      </w:pPr>
    </w:p>
    <w:p w14:paraId="2666D4AD" w14:textId="77777777" w:rsidR="00461A03" w:rsidRPr="00461A03" w:rsidRDefault="00461A03" w:rsidP="00461A03">
      <w:pPr>
        <w:jc w:val="both"/>
        <w:rPr>
          <w:rFonts w:cs="Times New Roman"/>
          <w:b/>
          <w:bCs/>
          <w:sz w:val="22"/>
          <w:szCs w:val="22"/>
        </w:rPr>
      </w:pPr>
      <w:r w:rsidRPr="00461A03">
        <w:rPr>
          <w:rFonts w:cs="Times New Roman"/>
          <w:b/>
          <w:bCs/>
          <w:sz w:val="22"/>
          <w:szCs w:val="22"/>
        </w:rPr>
        <w:t>21. Protección de datos personales</w:t>
      </w:r>
    </w:p>
    <w:p w14:paraId="51F9B781"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1. En cumplimiento de la normativa existente al efecto, los datos de carácter personal relativos a las personas beneficiarias de las ayudas o a sus representantes, serán incorporados a un fichero mixto para la realización de las funciones y tareas propias de gestión foral de estas ayudas en el ámbito de las competencias que tiene atribuidas esta Diputación, previamente notificado al registro de la Agencia Vasca de Protección de Datos y que cuenta con las medidas de seguridad necesarias para garantizar la total seguridad de sus datos. Igualmente se informa que los datos de carácter personal no serán comunicados a terceras personas fuera de los supuestos habilitados legalmente.</w:t>
      </w:r>
    </w:p>
    <w:p w14:paraId="7401B4B7" w14:textId="77777777" w:rsidR="00461A03" w:rsidRPr="00461A03" w:rsidRDefault="00461A03" w:rsidP="00461A03">
      <w:pPr>
        <w:autoSpaceDE w:val="0"/>
        <w:autoSpaceDN w:val="0"/>
        <w:adjustRightInd w:val="0"/>
        <w:jc w:val="both"/>
        <w:rPr>
          <w:rFonts w:cs="Times New Roman"/>
          <w:sz w:val="22"/>
          <w:szCs w:val="22"/>
        </w:rPr>
      </w:pPr>
    </w:p>
    <w:p w14:paraId="007EBD0E"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2. Cualquier consulta o comentario personal relativos al ejercicio de derechos de acceso, cancelación, rectificación que reconoce la Ley Orgánica 3/2018, de 5 de diciembre,15/1999 de 13 de diciembre, deberá remitirse a la oficina de registro de la Diputación Foral de Álava, Plaza de la Provincia, 5, CP 01001 Vitoria-Gasteiz (Álava).</w:t>
      </w:r>
    </w:p>
    <w:p w14:paraId="19277D35" w14:textId="77777777" w:rsidR="00461A03" w:rsidRPr="00461A03" w:rsidRDefault="00461A03" w:rsidP="00461A03">
      <w:pPr>
        <w:autoSpaceDE w:val="0"/>
        <w:autoSpaceDN w:val="0"/>
        <w:adjustRightInd w:val="0"/>
        <w:jc w:val="both"/>
        <w:rPr>
          <w:rFonts w:cs="Times New Roman"/>
          <w:sz w:val="22"/>
          <w:szCs w:val="22"/>
        </w:rPr>
      </w:pPr>
    </w:p>
    <w:p w14:paraId="1AFB19CC"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3. El derecho de oposición a la incorporación de los citados datos en el fichero, dará como consecuencia la denegación de las ayudas.</w:t>
      </w:r>
    </w:p>
    <w:p w14:paraId="2E196749" w14:textId="77777777" w:rsidR="00461A03" w:rsidRPr="00461A03" w:rsidRDefault="00461A03" w:rsidP="00461A03">
      <w:pPr>
        <w:autoSpaceDE w:val="0"/>
        <w:autoSpaceDN w:val="0"/>
        <w:adjustRightInd w:val="0"/>
        <w:jc w:val="both"/>
        <w:rPr>
          <w:rFonts w:cs="Times New Roman"/>
          <w:sz w:val="22"/>
          <w:szCs w:val="22"/>
        </w:rPr>
      </w:pPr>
    </w:p>
    <w:p w14:paraId="1F9C383F" w14:textId="77777777" w:rsidR="00461A03" w:rsidRPr="00461A03" w:rsidRDefault="00461A03" w:rsidP="00461A03">
      <w:pPr>
        <w:autoSpaceDE w:val="0"/>
        <w:autoSpaceDN w:val="0"/>
        <w:adjustRightInd w:val="0"/>
        <w:jc w:val="both"/>
        <w:rPr>
          <w:rFonts w:cs="Times New Roman"/>
          <w:b/>
          <w:bCs/>
          <w:sz w:val="22"/>
          <w:szCs w:val="22"/>
        </w:rPr>
      </w:pPr>
      <w:r w:rsidRPr="00461A03">
        <w:rPr>
          <w:rFonts w:cs="Times New Roman"/>
          <w:b/>
          <w:bCs/>
          <w:sz w:val="22"/>
          <w:szCs w:val="22"/>
        </w:rPr>
        <w:t>22. Entrada en vigor</w:t>
      </w:r>
    </w:p>
    <w:p w14:paraId="4726871D" w14:textId="77777777" w:rsidR="00461A03" w:rsidRPr="00461A03" w:rsidRDefault="00461A03" w:rsidP="00461A03">
      <w:pPr>
        <w:autoSpaceDE w:val="0"/>
        <w:autoSpaceDN w:val="0"/>
        <w:adjustRightInd w:val="0"/>
        <w:jc w:val="both"/>
        <w:rPr>
          <w:rFonts w:cs="Times New Roman"/>
          <w:sz w:val="22"/>
          <w:szCs w:val="22"/>
        </w:rPr>
      </w:pPr>
    </w:p>
    <w:p w14:paraId="2C1A4AE6" w14:textId="77777777" w:rsidR="00461A03" w:rsidRPr="00461A03" w:rsidRDefault="00461A03" w:rsidP="00461A03">
      <w:pPr>
        <w:autoSpaceDE w:val="0"/>
        <w:autoSpaceDN w:val="0"/>
        <w:adjustRightInd w:val="0"/>
        <w:jc w:val="both"/>
        <w:rPr>
          <w:rFonts w:cs="Times New Roman"/>
          <w:sz w:val="22"/>
          <w:szCs w:val="22"/>
        </w:rPr>
      </w:pPr>
      <w:r w:rsidRPr="00461A03">
        <w:rPr>
          <w:rFonts w:cs="Times New Roman"/>
          <w:sz w:val="22"/>
          <w:szCs w:val="22"/>
        </w:rPr>
        <w:t>Estas bases entrarán en vigor al día siguiente de su publicación en el BOTHA.</w:t>
      </w:r>
    </w:p>
    <w:p w14:paraId="07B8362B" w14:textId="77777777" w:rsidR="00461A03" w:rsidRPr="00461A03" w:rsidRDefault="00461A03" w:rsidP="00461A03">
      <w:pPr>
        <w:jc w:val="both"/>
        <w:rPr>
          <w:rFonts w:cs="Times New Roman"/>
          <w:sz w:val="22"/>
          <w:szCs w:val="22"/>
        </w:rPr>
      </w:pPr>
    </w:p>
    <w:p w14:paraId="4102D694" w14:textId="77777777" w:rsidR="00461A03" w:rsidRPr="00461A03" w:rsidRDefault="00461A03" w:rsidP="00461A03">
      <w:pPr>
        <w:jc w:val="both"/>
        <w:rPr>
          <w:rFonts w:cs="Times New Roman"/>
          <w:bCs/>
          <w:sz w:val="22"/>
          <w:szCs w:val="22"/>
        </w:rPr>
      </w:pPr>
    </w:p>
    <w:p w14:paraId="4EAD5B2A" w14:textId="77777777" w:rsidR="00461A03" w:rsidRPr="00461A03" w:rsidRDefault="00461A03" w:rsidP="00F214C5">
      <w:pPr>
        <w:rPr>
          <w:rFonts w:cs="Times New Roman"/>
          <w:sz w:val="22"/>
          <w:szCs w:val="22"/>
        </w:rPr>
      </w:pPr>
    </w:p>
    <w:sectPr w:rsidR="00461A03" w:rsidRPr="00461A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3FB7"/>
    <w:multiLevelType w:val="hybridMultilevel"/>
    <w:tmpl w:val="56F0C586"/>
    <w:lvl w:ilvl="0" w:tplc="E29635A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9766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72"/>
    <w:rsid w:val="000D5E41"/>
    <w:rsid w:val="0011321D"/>
    <w:rsid w:val="00143DBF"/>
    <w:rsid w:val="001657C1"/>
    <w:rsid w:val="00184221"/>
    <w:rsid w:val="001D26E7"/>
    <w:rsid w:val="00205635"/>
    <w:rsid w:val="00334E3F"/>
    <w:rsid w:val="00387D52"/>
    <w:rsid w:val="00461A03"/>
    <w:rsid w:val="005F7405"/>
    <w:rsid w:val="00610763"/>
    <w:rsid w:val="00612120"/>
    <w:rsid w:val="0061447F"/>
    <w:rsid w:val="006F107A"/>
    <w:rsid w:val="006F5861"/>
    <w:rsid w:val="00727E82"/>
    <w:rsid w:val="00754061"/>
    <w:rsid w:val="007954A6"/>
    <w:rsid w:val="008835B9"/>
    <w:rsid w:val="00905E42"/>
    <w:rsid w:val="00930570"/>
    <w:rsid w:val="00935AD5"/>
    <w:rsid w:val="009B1BD9"/>
    <w:rsid w:val="009F6045"/>
    <w:rsid w:val="00A228FF"/>
    <w:rsid w:val="00AD7152"/>
    <w:rsid w:val="00B058CB"/>
    <w:rsid w:val="00B222D9"/>
    <w:rsid w:val="00B25B75"/>
    <w:rsid w:val="00B81E72"/>
    <w:rsid w:val="00BA5FEB"/>
    <w:rsid w:val="00D23F05"/>
    <w:rsid w:val="00D52835"/>
    <w:rsid w:val="00D64F5A"/>
    <w:rsid w:val="00D94626"/>
    <w:rsid w:val="00ED061F"/>
    <w:rsid w:val="00F214C5"/>
    <w:rsid w:val="00F61042"/>
    <w:rsid w:val="00F94D51"/>
    <w:rsid w:val="00FA3335"/>
    <w:rsid w:val="00FD11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130255"/>
  <w15:chartTrackingRefBased/>
  <w15:docId w15:val="{4B1E3037-232F-4FB6-B6BE-FE724B87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045"/>
    <w:pPr>
      <w:spacing w:after="0" w:line="240" w:lineRule="auto"/>
    </w:pPr>
    <w:rPr>
      <w:rFonts w:ascii="Times New Roman" w:eastAsia="Times New Roman" w:hAnsi="Times New Roman" w:cs="Arial"/>
      <w:kern w:val="0"/>
      <w:sz w:val="20"/>
      <w:szCs w:val="20"/>
      <w:lang w:val="es-ES_tradnl" w:eastAsia="es-ES" w:bidi="or-IN"/>
      <w14:ligatures w14:val="none"/>
    </w:rPr>
  </w:style>
  <w:style w:type="paragraph" w:styleId="Ttulo1">
    <w:name w:val="heading 1"/>
    <w:basedOn w:val="Normal"/>
    <w:next w:val="Normal"/>
    <w:link w:val="Ttulo1Car"/>
    <w:qFormat/>
    <w:rsid w:val="00B81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1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1E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1E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1E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1E7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1E7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1E7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1E7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1E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1E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1E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1E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1E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1E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1E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1E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1E72"/>
    <w:rPr>
      <w:rFonts w:eastAsiaTheme="majorEastAsia" w:cstheme="majorBidi"/>
      <w:color w:val="272727" w:themeColor="text1" w:themeTint="D8"/>
    </w:rPr>
  </w:style>
  <w:style w:type="paragraph" w:styleId="Ttulo">
    <w:name w:val="Title"/>
    <w:basedOn w:val="Normal"/>
    <w:next w:val="Normal"/>
    <w:link w:val="TtuloCar"/>
    <w:uiPriority w:val="10"/>
    <w:qFormat/>
    <w:rsid w:val="00B81E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1E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1E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1E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1E72"/>
    <w:pPr>
      <w:spacing w:before="160"/>
      <w:jc w:val="center"/>
    </w:pPr>
    <w:rPr>
      <w:i/>
      <w:iCs/>
      <w:color w:val="404040" w:themeColor="text1" w:themeTint="BF"/>
    </w:rPr>
  </w:style>
  <w:style w:type="character" w:customStyle="1" w:styleId="CitaCar">
    <w:name w:val="Cita Car"/>
    <w:basedOn w:val="Fuentedeprrafopredeter"/>
    <w:link w:val="Cita"/>
    <w:uiPriority w:val="29"/>
    <w:rsid w:val="00B81E72"/>
    <w:rPr>
      <w:i/>
      <w:iCs/>
      <w:color w:val="404040" w:themeColor="text1" w:themeTint="BF"/>
    </w:rPr>
  </w:style>
  <w:style w:type="paragraph" w:styleId="Prrafodelista">
    <w:name w:val="List Paragraph"/>
    <w:basedOn w:val="Normal"/>
    <w:uiPriority w:val="34"/>
    <w:qFormat/>
    <w:rsid w:val="00B81E72"/>
    <w:pPr>
      <w:ind w:left="720"/>
      <w:contextualSpacing/>
    </w:pPr>
  </w:style>
  <w:style w:type="character" w:styleId="nfasisintenso">
    <w:name w:val="Intense Emphasis"/>
    <w:basedOn w:val="Fuentedeprrafopredeter"/>
    <w:uiPriority w:val="21"/>
    <w:qFormat/>
    <w:rsid w:val="00B81E72"/>
    <w:rPr>
      <w:i/>
      <w:iCs/>
      <w:color w:val="0F4761" w:themeColor="accent1" w:themeShade="BF"/>
    </w:rPr>
  </w:style>
  <w:style w:type="paragraph" w:styleId="Citadestacada">
    <w:name w:val="Intense Quote"/>
    <w:basedOn w:val="Normal"/>
    <w:next w:val="Normal"/>
    <w:link w:val="CitadestacadaCar"/>
    <w:uiPriority w:val="30"/>
    <w:qFormat/>
    <w:rsid w:val="00B81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1E72"/>
    <w:rPr>
      <w:i/>
      <w:iCs/>
      <w:color w:val="0F4761" w:themeColor="accent1" w:themeShade="BF"/>
    </w:rPr>
  </w:style>
  <w:style w:type="character" w:styleId="Referenciaintensa">
    <w:name w:val="Intense Reference"/>
    <w:basedOn w:val="Fuentedeprrafopredeter"/>
    <w:uiPriority w:val="32"/>
    <w:qFormat/>
    <w:rsid w:val="00B81E72"/>
    <w:rPr>
      <w:b/>
      <w:bCs/>
      <w:smallCaps/>
      <w:color w:val="0F4761" w:themeColor="accent1" w:themeShade="BF"/>
      <w:spacing w:val="5"/>
    </w:rPr>
  </w:style>
  <w:style w:type="paragraph" w:styleId="Encabezado">
    <w:name w:val="header"/>
    <w:basedOn w:val="Normal"/>
    <w:link w:val="EncabezadoCar"/>
    <w:semiHidden/>
    <w:rsid w:val="009F6045"/>
    <w:pPr>
      <w:tabs>
        <w:tab w:val="center" w:pos="4252"/>
        <w:tab w:val="right" w:pos="8504"/>
      </w:tabs>
    </w:pPr>
  </w:style>
  <w:style w:type="character" w:customStyle="1" w:styleId="EncabezadoCar">
    <w:name w:val="Encabezado Car"/>
    <w:basedOn w:val="Fuentedeprrafopredeter"/>
    <w:link w:val="Encabezado"/>
    <w:semiHidden/>
    <w:rsid w:val="009F6045"/>
    <w:rPr>
      <w:rFonts w:ascii="Times New Roman" w:eastAsia="Times New Roman" w:hAnsi="Times New Roman" w:cs="Arial"/>
      <w:kern w:val="0"/>
      <w:sz w:val="20"/>
      <w:szCs w:val="20"/>
      <w:lang w:val="es-ES_tradnl" w:eastAsia="es-ES" w:bidi="or-IN"/>
      <w14:ligatures w14:val="none"/>
    </w:rPr>
  </w:style>
  <w:style w:type="paragraph" w:styleId="Textoindependiente">
    <w:name w:val="Body Text"/>
    <w:basedOn w:val="Normal"/>
    <w:link w:val="TextoindependienteCar"/>
    <w:semiHidden/>
    <w:rsid w:val="009F6045"/>
    <w:pPr>
      <w:spacing w:after="240"/>
      <w:jc w:val="both"/>
    </w:pPr>
    <w:rPr>
      <w:sz w:val="22"/>
    </w:rPr>
  </w:style>
  <w:style w:type="character" w:customStyle="1" w:styleId="TextoindependienteCar">
    <w:name w:val="Texto independiente Car"/>
    <w:basedOn w:val="Fuentedeprrafopredeter"/>
    <w:link w:val="Textoindependiente"/>
    <w:semiHidden/>
    <w:rsid w:val="009F6045"/>
    <w:rPr>
      <w:rFonts w:ascii="Times New Roman" w:eastAsia="Times New Roman" w:hAnsi="Times New Roman" w:cs="Arial"/>
      <w:kern w:val="0"/>
      <w:szCs w:val="20"/>
      <w:lang w:val="es-ES_tradnl" w:eastAsia="es-ES" w:bidi="or-IN"/>
      <w14:ligatures w14:val="none"/>
    </w:rPr>
  </w:style>
  <w:style w:type="character" w:styleId="Hipervnculo">
    <w:name w:val="Hyperlink"/>
    <w:basedOn w:val="Fuentedeprrafopredeter"/>
    <w:uiPriority w:val="99"/>
    <w:unhideWhenUsed/>
    <w:rsid w:val="00727E82"/>
    <w:rPr>
      <w:color w:val="467886" w:themeColor="hyperlink"/>
      <w:u w:val="single"/>
    </w:rPr>
  </w:style>
  <w:style w:type="character" w:styleId="Mencinsinresolver">
    <w:name w:val="Unresolved Mention"/>
    <w:basedOn w:val="Fuentedeprrafopredeter"/>
    <w:uiPriority w:val="99"/>
    <w:semiHidden/>
    <w:unhideWhenUsed/>
    <w:rsid w:val="00727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77567">
      <w:bodyDiv w:val="1"/>
      <w:marLeft w:val="0"/>
      <w:marRight w:val="0"/>
      <w:marTop w:val="0"/>
      <w:marBottom w:val="0"/>
      <w:divBdr>
        <w:top w:val="none" w:sz="0" w:space="0" w:color="auto"/>
        <w:left w:val="none" w:sz="0" w:space="0" w:color="auto"/>
        <w:bottom w:val="none" w:sz="0" w:space="0" w:color="auto"/>
        <w:right w:val="none" w:sz="0" w:space="0" w:color="auto"/>
      </w:divBdr>
    </w:div>
    <w:div w:id="1173033380">
      <w:bodyDiv w:val="1"/>
      <w:marLeft w:val="0"/>
      <w:marRight w:val="0"/>
      <w:marTop w:val="0"/>
      <w:marBottom w:val="0"/>
      <w:divBdr>
        <w:top w:val="none" w:sz="0" w:space="0" w:color="auto"/>
        <w:left w:val="none" w:sz="0" w:space="0" w:color="auto"/>
        <w:bottom w:val="none" w:sz="0" w:space="0" w:color="auto"/>
        <w:right w:val="none" w:sz="0" w:space="0" w:color="auto"/>
      </w:divBdr>
    </w:div>
    <w:div w:id="1873953621">
      <w:bodyDiv w:val="1"/>
      <w:marLeft w:val="0"/>
      <w:marRight w:val="0"/>
      <w:marTop w:val="0"/>
      <w:marBottom w:val="0"/>
      <w:divBdr>
        <w:top w:val="none" w:sz="0" w:space="0" w:color="auto"/>
        <w:left w:val="none" w:sz="0" w:space="0" w:color="auto"/>
        <w:bottom w:val="none" w:sz="0" w:space="0" w:color="auto"/>
        <w:right w:val="none" w:sz="0" w:space="0" w:color="auto"/>
      </w:divBdr>
    </w:div>
    <w:div w:id="19426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552D5-5472-4A14-8A94-C5674629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5770</Words>
  <Characters>31736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Benitez, Sonia</dc:creator>
  <cp:keywords/>
  <dc:description/>
  <cp:lastModifiedBy>Muñoz Garcia, Erika</cp:lastModifiedBy>
  <cp:revision>2</cp:revision>
  <dcterms:created xsi:type="dcterms:W3CDTF">2026-06-12T09:06:00Z</dcterms:created>
  <dcterms:modified xsi:type="dcterms:W3CDTF">2026-06-12T09:06:00Z</dcterms:modified>
</cp:coreProperties>
</file>