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202F7" w14:textId="77777777" w:rsidR="00924171" w:rsidRDefault="00924171" w:rsidP="004B1564">
      <w:pPr>
        <w:tabs>
          <w:tab w:val="right" w:pos="8789"/>
        </w:tabs>
        <w:spacing w:after="480"/>
        <w:jc w:val="center"/>
        <w:rPr>
          <w:b/>
          <w:sz w:val="22"/>
          <w:szCs w:val="22"/>
        </w:rPr>
      </w:pPr>
    </w:p>
    <w:p w14:paraId="20838DA0" w14:textId="22E7F9AC" w:rsidR="00DA117C" w:rsidRDefault="00924171" w:rsidP="00924171">
      <w:pPr>
        <w:tabs>
          <w:tab w:val="right" w:pos="8789"/>
        </w:tabs>
        <w:jc w:val="center"/>
        <w:rPr>
          <w:b/>
          <w:sz w:val="22"/>
          <w:szCs w:val="22"/>
        </w:rPr>
      </w:pPr>
      <w:r w:rsidRPr="00924171">
        <w:rPr>
          <w:b/>
          <w:sz w:val="22"/>
          <w:szCs w:val="22"/>
        </w:rPr>
        <w:t>II. ERANSKINA</w:t>
      </w:r>
    </w:p>
    <w:p w14:paraId="0C2134E6" w14:textId="77777777" w:rsidR="00924171" w:rsidRDefault="00924171" w:rsidP="00924171">
      <w:pPr>
        <w:tabs>
          <w:tab w:val="right" w:pos="8789"/>
        </w:tabs>
        <w:jc w:val="center"/>
        <w:rPr>
          <w:b/>
          <w:sz w:val="22"/>
          <w:szCs w:val="22"/>
        </w:rPr>
      </w:pPr>
    </w:p>
    <w:p w14:paraId="504AC01D" w14:textId="77777777" w:rsidR="00924171" w:rsidRDefault="00924171" w:rsidP="00924171">
      <w:pPr>
        <w:tabs>
          <w:tab w:val="right" w:pos="8789"/>
        </w:tabs>
        <w:jc w:val="center"/>
        <w:rPr>
          <w:b/>
          <w:sz w:val="22"/>
          <w:szCs w:val="22"/>
        </w:rPr>
      </w:pPr>
    </w:p>
    <w:p w14:paraId="1DF81A81" w14:textId="77777777" w:rsidR="00924171" w:rsidRPr="00CD417D" w:rsidRDefault="00924171" w:rsidP="00924171">
      <w:pPr>
        <w:tabs>
          <w:tab w:val="right" w:pos="8789"/>
        </w:tabs>
        <w:jc w:val="center"/>
        <w:rPr>
          <w:b/>
          <w:sz w:val="22"/>
          <w:szCs w:val="22"/>
          <w:lang w:val="es-ES"/>
        </w:rPr>
      </w:pPr>
    </w:p>
    <w:p w14:paraId="5C8104B4" w14:textId="77777777" w:rsidR="00CD417D" w:rsidRDefault="00CD417D" w:rsidP="00924171">
      <w:pPr>
        <w:tabs>
          <w:tab w:val="right" w:pos="8789"/>
        </w:tabs>
        <w:jc w:val="both"/>
        <w:rPr>
          <w:rFonts w:eastAsia="Arial"/>
          <w:b/>
          <w:bCs/>
          <w:sz w:val="24"/>
          <w:szCs w:val="24"/>
          <w:lang w:val="eu-ES"/>
        </w:rPr>
      </w:pPr>
      <w:r w:rsidRPr="00CD417D">
        <w:rPr>
          <w:rFonts w:eastAsia="Arial"/>
          <w:b/>
          <w:bCs/>
          <w:sz w:val="24"/>
          <w:szCs w:val="24"/>
          <w:lang w:val="eu-ES"/>
        </w:rPr>
        <w:t xml:space="preserve">ARABAKO FORU ALDUNDIAREN ETA ESTATUKO ADMINISTRAZIO OROKORRAREN (TRANTSIZIO EKOLOGIKORAKO ETA ERRONKA DEMOGRAFIKORAKO MINISTERIOA) ARTEKO HITZARMENA BERRESTEKO FORU ARAU PROIEKTUA, LURRALDE BERRIKUNTZA ZENTROA (LBZ) GARATZEKO. </w:t>
      </w:r>
    </w:p>
    <w:p w14:paraId="78AA195F" w14:textId="77777777" w:rsidR="00924171" w:rsidRDefault="00924171" w:rsidP="00924171">
      <w:pPr>
        <w:tabs>
          <w:tab w:val="right" w:pos="8789"/>
        </w:tabs>
        <w:jc w:val="both"/>
        <w:rPr>
          <w:rFonts w:eastAsia="Arial"/>
          <w:b/>
          <w:bCs/>
          <w:sz w:val="24"/>
          <w:szCs w:val="24"/>
          <w:lang w:val="eu-ES"/>
        </w:rPr>
      </w:pPr>
    </w:p>
    <w:p w14:paraId="76317FA8" w14:textId="77777777" w:rsidR="00924171" w:rsidRPr="00CD417D" w:rsidRDefault="00924171" w:rsidP="00924171">
      <w:pPr>
        <w:tabs>
          <w:tab w:val="right" w:pos="8789"/>
        </w:tabs>
        <w:jc w:val="both"/>
        <w:rPr>
          <w:b/>
          <w:sz w:val="24"/>
          <w:szCs w:val="24"/>
          <w:lang w:val="es-ES"/>
        </w:rPr>
      </w:pPr>
    </w:p>
    <w:p w14:paraId="5C9E5E28" w14:textId="77777777" w:rsidR="00CD417D" w:rsidRDefault="00CD417D" w:rsidP="00924171">
      <w:pPr>
        <w:tabs>
          <w:tab w:val="right" w:pos="8789"/>
        </w:tabs>
        <w:jc w:val="center"/>
        <w:rPr>
          <w:rFonts w:eastAsia="Arial"/>
          <w:b/>
          <w:bCs/>
          <w:sz w:val="24"/>
          <w:szCs w:val="24"/>
          <w:lang w:val="eu-ES"/>
        </w:rPr>
      </w:pPr>
      <w:r w:rsidRPr="00CD417D">
        <w:rPr>
          <w:rFonts w:eastAsia="Arial"/>
          <w:b/>
          <w:bCs/>
          <w:sz w:val="24"/>
          <w:szCs w:val="24"/>
          <w:lang w:val="eu-ES"/>
        </w:rPr>
        <w:t>ZIOEN AZALPENA</w:t>
      </w:r>
    </w:p>
    <w:p w14:paraId="5C136D32" w14:textId="77777777" w:rsidR="00924171" w:rsidRDefault="00924171" w:rsidP="00924171">
      <w:pPr>
        <w:tabs>
          <w:tab w:val="right" w:pos="8789"/>
        </w:tabs>
        <w:jc w:val="center"/>
        <w:rPr>
          <w:rFonts w:eastAsia="Arial"/>
          <w:b/>
          <w:bCs/>
          <w:sz w:val="24"/>
          <w:szCs w:val="24"/>
          <w:lang w:val="eu-ES"/>
        </w:rPr>
      </w:pPr>
    </w:p>
    <w:p w14:paraId="6E1D6F4E" w14:textId="77777777" w:rsidR="00924171" w:rsidRDefault="00924171" w:rsidP="00924171">
      <w:pPr>
        <w:tabs>
          <w:tab w:val="right" w:pos="8789"/>
        </w:tabs>
        <w:jc w:val="center"/>
        <w:rPr>
          <w:rFonts w:eastAsia="Arial"/>
          <w:b/>
          <w:bCs/>
          <w:sz w:val="24"/>
          <w:szCs w:val="24"/>
          <w:lang w:val="eu-ES"/>
        </w:rPr>
      </w:pPr>
    </w:p>
    <w:p w14:paraId="1B79C765" w14:textId="77777777" w:rsidR="00924171" w:rsidRPr="00CD417D" w:rsidRDefault="00924171" w:rsidP="00924171">
      <w:pPr>
        <w:tabs>
          <w:tab w:val="right" w:pos="8789"/>
        </w:tabs>
        <w:jc w:val="center"/>
        <w:rPr>
          <w:b/>
          <w:sz w:val="24"/>
          <w:szCs w:val="24"/>
          <w:lang w:val="es-ES"/>
        </w:rPr>
      </w:pPr>
    </w:p>
    <w:p w14:paraId="428F0C88" w14:textId="77777777" w:rsidR="00CD417D" w:rsidRPr="00CD417D" w:rsidRDefault="00CD417D" w:rsidP="00924171">
      <w:pPr>
        <w:tabs>
          <w:tab w:val="right" w:pos="8789"/>
        </w:tabs>
        <w:jc w:val="both"/>
        <w:rPr>
          <w:noProof/>
          <w:sz w:val="22"/>
          <w:szCs w:val="22"/>
          <w:lang w:val="es-ES"/>
        </w:rPr>
      </w:pPr>
      <w:r w:rsidRPr="00CD417D">
        <w:rPr>
          <w:rFonts w:eastAsia="Arial"/>
          <w:noProof/>
          <w:sz w:val="22"/>
          <w:szCs w:val="22"/>
          <w:lang w:val="eu-ES"/>
        </w:rPr>
        <w:t>Azken urteetan eraldaketa demografikoak gertatzen ari dira, eta horrek ondorio sozioekonomiko nabarmenak izan ditu. Zehazki, eragin berezia dute biztanleak lurraldean banatzeko prozesuetan. Alde batetik, biztanleak pilatzeko eta galtzeko joera dagoelako, eta bestetik, biztanle asko lurraldea uzteko arriskua ere badagoelako, izan ere, hiru-eremuetan baino zahartuago dago proportzionalki, eta gizon gehiago dago emakume baino.</w:t>
      </w:r>
    </w:p>
    <w:p w14:paraId="04E09BBF" w14:textId="77777777" w:rsidR="00CD417D" w:rsidRPr="00CD417D" w:rsidRDefault="00CD417D" w:rsidP="00CD417D">
      <w:pPr>
        <w:tabs>
          <w:tab w:val="right" w:pos="8789"/>
        </w:tabs>
        <w:jc w:val="both"/>
        <w:rPr>
          <w:noProof/>
          <w:sz w:val="22"/>
          <w:szCs w:val="22"/>
          <w:lang w:val="es-ES"/>
        </w:rPr>
      </w:pPr>
    </w:p>
    <w:p w14:paraId="37C395CD" w14:textId="77777777" w:rsidR="00CD417D" w:rsidRPr="00CD417D" w:rsidRDefault="00CD417D" w:rsidP="00CD417D">
      <w:pPr>
        <w:tabs>
          <w:tab w:val="right" w:pos="8789"/>
        </w:tabs>
        <w:jc w:val="both"/>
        <w:rPr>
          <w:noProof/>
          <w:sz w:val="22"/>
          <w:szCs w:val="22"/>
          <w:lang w:val="es-ES"/>
        </w:rPr>
      </w:pPr>
      <w:r w:rsidRPr="00CD417D">
        <w:rPr>
          <w:rFonts w:eastAsia="Arial"/>
          <w:noProof/>
          <w:sz w:val="22"/>
          <w:szCs w:val="22"/>
          <w:lang w:val="eu-ES"/>
        </w:rPr>
        <w:t>Egoera horri aurre egiteko, gai horren inguruan egiten ari diren gizarte eta politika ekimenen arabera, ezinbestekoa da askotariko ekimenak, baliabideak eta bitartekoak ematen laguntzen duten ekintza adostuak egitea. Horretarako, lankidetza prozesu egonkorra egin beharko litzateke, hartzen ari diren neurriak arrakasta izan dezatela bermatzeko.</w:t>
      </w:r>
    </w:p>
    <w:p w14:paraId="6556A1C7" w14:textId="77777777" w:rsidR="00CD417D" w:rsidRPr="00CD417D" w:rsidRDefault="00CD417D" w:rsidP="00CD417D">
      <w:pPr>
        <w:tabs>
          <w:tab w:val="right" w:pos="8789"/>
        </w:tabs>
        <w:jc w:val="both"/>
        <w:rPr>
          <w:noProof/>
          <w:sz w:val="22"/>
          <w:szCs w:val="22"/>
          <w:lang w:val="es-ES"/>
        </w:rPr>
      </w:pPr>
    </w:p>
    <w:p w14:paraId="478933FF" w14:textId="77777777" w:rsidR="00CD417D" w:rsidRPr="00CD417D" w:rsidRDefault="00CD417D" w:rsidP="00CD417D">
      <w:pPr>
        <w:tabs>
          <w:tab w:val="right" w:pos="8789"/>
        </w:tabs>
        <w:jc w:val="both"/>
        <w:rPr>
          <w:noProof/>
          <w:sz w:val="22"/>
          <w:szCs w:val="22"/>
          <w:lang w:val="es-ES"/>
        </w:rPr>
      </w:pPr>
      <w:r w:rsidRPr="00CD417D">
        <w:rPr>
          <w:rFonts w:eastAsia="Arial"/>
          <w:noProof/>
          <w:sz w:val="22"/>
          <w:szCs w:val="22"/>
          <w:lang w:val="eu-ES"/>
        </w:rPr>
        <w:t>“Landa inguruneko lurralde berrikuntzari buruzko Somiedoko adierazpenak”, 2023ko otsailaren 10ean onartu zenak, lurraldeari aplikatutako berrikuntzaren balioa aitortu zuen, tokiko ezagutzan, ezagutza zientifiko eta teknikoan oinarritzen den aldaketa prozesu bat gisa hartuta. Horrela, lurraldeko gizarte, ekonomia, ekologia eta kultura baldintzak hobetzea da helburua.</w:t>
      </w:r>
    </w:p>
    <w:p w14:paraId="759C9C45" w14:textId="77777777" w:rsidR="00CD417D" w:rsidRPr="00CD417D" w:rsidRDefault="00CD417D" w:rsidP="00CD417D">
      <w:pPr>
        <w:tabs>
          <w:tab w:val="right" w:pos="8789"/>
        </w:tabs>
        <w:jc w:val="both"/>
        <w:rPr>
          <w:noProof/>
          <w:sz w:val="22"/>
          <w:szCs w:val="22"/>
          <w:lang w:val="es-ES"/>
        </w:rPr>
      </w:pPr>
    </w:p>
    <w:p w14:paraId="1423ECB8" w14:textId="77777777" w:rsidR="00CD417D" w:rsidRPr="00CD417D" w:rsidRDefault="00CD417D" w:rsidP="00CD417D">
      <w:pPr>
        <w:tabs>
          <w:tab w:val="right" w:pos="8789"/>
        </w:tabs>
        <w:jc w:val="both"/>
        <w:rPr>
          <w:noProof/>
          <w:sz w:val="22"/>
          <w:szCs w:val="22"/>
          <w:lang w:val="es-ES"/>
        </w:rPr>
      </w:pPr>
      <w:r w:rsidRPr="00CD417D">
        <w:rPr>
          <w:rFonts w:eastAsia="Arial"/>
          <w:noProof/>
          <w:sz w:val="22"/>
          <w:szCs w:val="22"/>
          <w:lang w:val="eu-ES"/>
        </w:rPr>
        <w:t>Trantsizio Ekologikorako eta Erronka Demografikorako Ministerioak Gobernuaren estrategia eta politika egiteko eta garatzeko ardura du, erronka demografikoari aurre egiteko. Horrez gain, despopulazioaren aurka borrokatzeko politika proposatu eta gauzatu ere egin behar du. Halaber, Erronka Demografikorako Idazkaritza Nagusiak besteak beste, inbertsioa, enplegu aukerak, ekonomia dibertsifikazioa eta garapena sustatu behar ditu, ministerioko beste sailen eskumenei kalterik egin gabe. Kasu honetan, helburua da despopulazioak eragindako eremuetan egitura sozioekonomikoa indartzea.</w:t>
      </w:r>
    </w:p>
    <w:p w14:paraId="413D06D1" w14:textId="77777777" w:rsidR="00CD417D" w:rsidRPr="00CD417D" w:rsidRDefault="00CD417D" w:rsidP="00CD417D">
      <w:pPr>
        <w:tabs>
          <w:tab w:val="right" w:pos="8789"/>
        </w:tabs>
        <w:jc w:val="both"/>
        <w:rPr>
          <w:noProof/>
          <w:sz w:val="22"/>
          <w:szCs w:val="22"/>
          <w:lang w:val="es-ES"/>
        </w:rPr>
      </w:pPr>
    </w:p>
    <w:p w14:paraId="5D3B4DB3" w14:textId="77777777" w:rsidR="00CD417D" w:rsidRPr="00CD417D" w:rsidRDefault="00CD417D" w:rsidP="00CD417D">
      <w:pPr>
        <w:tabs>
          <w:tab w:val="right" w:pos="8789"/>
        </w:tabs>
        <w:jc w:val="both"/>
        <w:rPr>
          <w:noProof/>
          <w:sz w:val="22"/>
          <w:szCs w:val="22"/>
          <w:lang w:val="es-ES"/>
        </w:rPr>
      </w:pPr>
      <w:r w:rsidRPr="00CD417D">
        <w:rPr>
          <w:rFonts w:eastAsia="Arial"/>
          <w:noProof/>
          <w:sz w:val="22"/>
          <w:szCs w:val="22"/>
          <w:lang w:val="eu-ES"/>
        </w:rPr>
        <w:t>Abian jarritako bestelako ekimenen artean, Gobernuak Erronka Demografikoaren aurrean hartutako neurrien plana nabarmentzen da. Plan hori, Erronka Demografikorako Gobernuaren Ordezko Batzordeak onetsi zuen 2021eko martxoaren 16an. Horrela, 3. Ardatzean, lurraldeko garapenari eta berrikuntzari buruzkoan, lurralde berrikuntzako zentroen sare bat (LBZ) garatzeko neurrian barne hartzen da. Zentro horiekin elkarlanean aritzen dira, eta ekintzailetza ekimenak garatzen lagundu ez ezik, proiektuak diseinatu eta gauzatu ere egiten dituzte.</w:t>
      </w:r>
    </w:p>
    <w:p w14:paraId="4720BAB2" w14:textId="77777777" w:rsidR="00CD417D" w:rsidRPr="00CD417D" w:rsidRDefault="00CD417D" w:rsidP="00CD417D">
      <w:pPr>
        <w:tabs>
          <w:tab w:val="right" w:pos="8789"/>
        </w:tabs>
        <w:jc w:val="both"/>
        <w:rPr>
          <w:noProof/>
          <w:sz w:val="22"/>
          <w:szCs w:val="22"/>
          <w:lang w:val="es-ES"/>
        </w:rPr>
      </w:pPr>
    </w:p>
    <w:p w14:paraId="4DA7235E" w14:textId="77777777" w:rsidR="00CD417D" w:rsidRPr="00CD417D" w:rsidRDefault="00CD417D" w:rsidP="00CD417D">
      <w:pPr>
        <w:tabs>
          <w:tab w:val="right" w:pos="8789"/>
        </w:tabs>
        <w:jc w:val="both"/>
        <w:rPr>
          <w:noProof/>
          <w:sz w:val="22"/>
          <w:szCs w:val="22"/>
          <w:lang w:val="es-ES"/>
        </w:rPr>
      </w:pPr>
      <w:r w:rsidRPr="00CD417D">
        <w:rPr>
          <w:rFonts w:eastAsia="Arial"/>
          <w:noProof/>
          <w:sz w:val="22"/>
          <w:szCs w:val="22"/>
          <w:lang w:val="eu-ES"/>
        </w:rPr>
        <w:t xml:space="preserve">Arabako Foru Aldundiaren gobernu helburuetako bat da Arabako Lurralde Historikoan lurralde oreka bilatzea, eta horretarako, hainbat programa, zerbitzu eta baliabide jartzen ditu abian. Bere 2023-2027 Gobernu Planaren barruan, hainbat ekimenen helburua da erronka demografikoari </w:t>
      </w:r>
      <w:r w:rsidRPr="00CD417D">
        <w:rPr>
          <w:rFonts w:eastAsia="Arial"/>
          <w:noProof/>
          <w:sz w:val="22"/>
          <w:szCs w:val="22"/>
          <w:lang w:val="eu-ES"/>
        </w:rPr>
        <w:lastRenderedPageBreak/>
        <w:t>aurre egitea, landa inguruneetan bereziki, askotariko esparruetan (ekonomia, hirigintza, ingurumena, gizartea eta abar) esku hartzea kontuan hartzen duen ikuspegi holistiko eta zeharkakoarekin. Horrela, Arabako Foru Aldundiak azken urteetan zenbait politika garatu ditu, Arabako Lurralde Historikoan lurralde oreka lortzeko eta landa ingurunean berrikuntza sustatzeko, landa esparruan biztanleria finkatzeko eta ekonomia jarduera sortzeko hain zuzen ere. Politika horien barruan, bestelako jarduketen artean dago Kuartangoko Udalarekin duen lankidetza, “Kuartango Lab” proiektua sustatzeko, azken urteetan garatzen ari den landa berrikuntza sustatzeko ekimen gisa.</w:t>
      </w:r>
    </w:p>
    <w:p w14:paraId="2004ABC9" w14:textId="77777777" w:rsidR="00CD417D" w:rsidRPr="00CD417D" w:rsidRDefault="00CD417D" w:rsidP="00CD417D">
      <w:pPr>
        <w:tabs>
          <w:tab w:val="right" w:pos="8789"/>
        </w:tabs>
        <w:jc w:val="both"/>
        <w:rPr>
          <w:noProof/>
          <w:sz w:val="22"/>
          <w:szCs w:val="22"/>
          <w:lang w:val="es-ES"/>
        </w:rPr>
      </w:pPr>
    </w:p>
    <w:p w14:paraId="6E3F014D" w14:textId="77777777" w:rsidR="00CD417D" w:rsidRPr="00CD417D" w:rsidRDefault="00CD417D" w:rsidP="00CD417D">
      <w:pPr>
        <w:tabs>
          <w:tab w:val="right" w:pos="8789"/>
        </w:tabs>
        <w:jc w:val="both"/>
        <w:rPr>
          <w:noProof/>
          <w:sz w:val="22"/>
          <w:szCs w:val="22"/>
          <w:lang w:val="es-ES"/>
        </w:rPr>
      </w:pPr>
      <w:r w:rsidRPr="00CD417D">
        <w:rPr>
          <w:rFonts w:eastAsia="Arial"/>
          <w:noProof/>
          <w:sz w:val="22"/>
          <w:szCs w:val="22"/>
          <w:lang w:val="eu-ES"/>
        </w:rPr>
        <w:t>40/2015 Legeak, urriaren 1ekoak, Sektore Publikoaren Araubide Juridikoarenak, 48. artikuluan ezartzen du Administrazio publikoek eta haien mendeko organismo publikoek, zeinek bere eskumenen barruan, hitzarmenak sinatu ahalko dituztela zuzenbide publikoko subjektuekin. Horien bidez, kudeaketa publikoaren efizientzia hobetu beharko da, bitarteko eta zerbitzu publikoen baterako erabilera erraztu, erabilgarritasun publikoko jarduerak egin daitezen lagundu, eta aurrekontu egonkortasunerako eta finantza jasangarritasunerako legeria bete.</w:t>
      </w:r>
    </w:p>
    <w:p w14:paraId="0221EB86" w14:textId="77777777" w:rsidR="00CD417D" w:rsidRPr="00CD417D" w:rsidRDefault="00CD417D" w:rsidP="00CD417D">
      <w:pPr>
        <w:tabs>
          <w:tab w:val="right" w:pos="8789"/>
        </w:tabs>
        <w:jc w:val="both"/>
        <w:rPr>
          <w:noProof/>
          <w:sz w:val="22"/>
          <w:szCs w:val="22"/>
          <w:lang w:val="es-ES"/>
        </w:rPr>
      </w:pPr>
    </w:p>
    <w:p w14:paraId="6A553397" w14:textId="77777777" w:rsidR="00CD417D" w:rsidRPr="00CD417D" w:rsidRDefault="00CD417D" w:rsidP="00CD417D">
      <w:pPr>
        <w:tabs>
          <w:tab w:val="right" w:pos="8789"/>
        </w:tabs>
        <w:jc w:val="both"/>
        <w:rPr>
          <w:noProof/>
          <w:sz w:val="22"/>
          <w:szCs w:val="22"/>
          <w:lang w:val="es-ES"/>
        </w:rPr>
      </w:pPr>
      <w:r w:rsidRPr="00CD417D">
        <w:rPr>
          <w:rFonts w:eastAsia="Arial"/>
          <w:noProof/>
          <w:sz w:val="22"/>
          <w:szCs w:val="22"/>
          <w:lang w:val="eu-ES"/>
        </w:rPr>
        <w:t>Dagozkien eskumenen barruan, eta azaldutako lan ildoen artean dagoen bateratasun maila handia kontuan hartuz, komenigarritzat jotzen da Araban Lurralde Berrikuntzako Zentro (LBZ) bat eratu eta abian jar dadila bultzatzea elkarrekin, lurraldeko berrikuntza zentroen sare bat zabaltzeko helburua duen proiektu gisa. Zentro horiek elkarrekin lotuta lan egingo dute, eta udalerri txikietan, landa eremuetan eta gainbehera demografikoan dauden eremuetan ekimenak garatzen eta ekintzailetza proiektuak diseinatzen eta gauzatzen lagunduko dute.</w:t>
      </w:r>
    </w:p>
    <w:p w14:paraId="61A925BC" w14:textId="77777777" w:rsidR="00CD417D" w:rsidRPr="00CD417D" w:rsidRDefault="00CD417D" w:rsidP="00CD417D">
      <w:pPr>
        <w:tabs>
          <w:tab w:val="right" w:pos="8789"/>
        </w:tabs>
        <w:jc w:val="both"/>
        <w:rPr>
          <w:noProof/>
          <w:sz w:val="22"/>
          <w:szCs w:val="22"/>
          <w:lang w:val="es-ES"/>
        </w:rPr>
      </w:pPr>
    </w:p>
    <w:p w14:paraId="31199422" w14:textId="77777777" w:rsidR="00CD417D" w:rsidRPr="00CD417D" w:rsidRDefault="00CD417D" w:rsidP="00CD417D">
      <w:pPr>
        <w:tabs>
          <w:tab w:val="right" w:pos="8789"/>
        </w:tabs>
        <w:jc w:val="both"/>
        <w:rPr>
          <w:noProof/>
          <w:sz w:val="22"/>
          <w:szCs w:val="22"/>
          <w:lang w:val="es-ES"/>
        </w:rPr>
      </w:pPr>
      <w:r w:rsidRPr="00CD417D">
        <w:rPr>
          <w:rFonts w:eastAsia="Arial"/>
          <w:noProof/>
          <w:sz w:val="22"/>
          <w:szCs w:val="22"/>
          <w:lang w:val="eu-ES"/>
        </w:rPr>
        <w:t>Lurralde Berrikuntzako Zentroak lurraldean txertatzeko, landa ingurunean garatzen ari diren ekimenez eta proiektuez elikatzeko bokazioa du, eta horretarako, bertako baliabideak erabiltzen dituzte, bertako talentua sustatu eta kanpokoa erakartzen dute, eta LBZ Sarearen proiektu orokorrarekin bat egiten dute. Azken finean, ziur daude Lurralde Berrikuntzako Zentroen Sare hori lurralde berrikuntzak bere ahalmen guztia hedatzeko balio nagusia dela.</w:t>
      </w:r>
    </w:p>
    <w:p w14:paraId="3D54B957" w14:textId="77777777" w:rsidR="00CD417D" w:rsidRPr="00CD417D" w:rsidRDefault="00CD417D" w:rsidP="00CD417D">
      <w:pPr>
        <w:tabs>
          <w:tab w:val="right" w:pos="8789"/>
        </w:tabs>
        <w:jc w:val="both"/>
        <w:rPr>
          <w:noProof/>
          <w:sz w:val="22"/>
          <w:szCs w:val="22"/>
          <w:lang w:val="es-ES"/>
        </w:rPr>
      </w:pPr>
    </w:p>
    <w:p w14:paraId="7657020A" w14:textId="77777777" w:rsidR="00CD417D" w:rsidRPr="00CD417D" w:rsidRDefault="00CD417D" w:rsidP="00CD417D">
      <w:pPr>
        <w:tabs>
          <w:tab w:val="right" w:pos="8789"/>
        </w:tabs>
        <w:jc w:val="both"/>
        <w:rPr>
          <w:noProof/>
          <w:sz w:val="22"/>
          <w:szCs w:val="22"/>
          <w:lang w:val="es-ES"/>
        </w:rPr>
      </w:pPr>
      <w:r w:rsidRPr="00CD417D">
        <w:rPr>
          <w:rFonts w:eastAsia="Arial"/>
          <w:noProof/>
          <w:sz w:val="22"/>
          <w:szCs w:val="22"/>
          <w:lang w:val="eu-ES"/>
        </w:rPr>
        <w:t>Horrenbestez, egokitzat jotzen da hitzarmen bat sinatzea, Trantsizio Ekologikorako eta Erronka Demografikorako Ministerioaren eta Arabako Foru Aldundiaren artean lankidetza esparrua sortzeko helburuarekin, elkarrekin Lurralde Berrikuntzako Zentroren garapena eta sendotzea bultza dezaten lurralde horretan. Berez, lurraldeko hitzarmen tresna izango da, non gizarte eta ekonomia interesak adostu, eta zailtasun demografiko bereziko eremuetan transformazio berrikuntzako irtenbide sistemikoak garatuko diren. Hitzarmenak alderdien arteko lankidetzarako baldintzak ezartzen ditu, Arabako Lurralde Berrikuntzako Zentroa sortu, garatu edota bilakatzeko jarduketak finantzatu eta gauza daitezen.</w:t>
      </w:r>
    </w:p>
    <w:p w14:paraId="02F625C2" w14:textId="77777777" w:rsidR="00CD417D" w:rsidRPr="00CD417D" w:rsidRDefault="00CD417D" w:rsidP="00CD417D">
      <w:pPr>
        <w:tabs>
          <w:tab w:val="right" w:pos="8789"/>
        </w:tabs>
        <w:jc w:val="both"/>
        <w:rPr>
          <w:noProof/>
          <w:sz w:val="22"/>
          <w:szCs w:val="22"/>
          <w:lang w:val="es-ES"/>
        </w:rPr>
      </w:pPr>
    </w:p>
    <w:p w14:paraId="38133B26" w14:textId="77777777" w:rsidR="00CD417D" w:rsidRPr="00CD417D" w:rsidRDefault="00CD417D" w:rsidP="00CD417D">
      <w:pPr>
        <w:tabs>
          <w:tab w:val="right" w:pos="8789"/>
        </w:tabs>
        <w:jc w:val="both"/>
        <w:rPr>
          <w:noProof/>
          <w:sz w:val="22"/>
          <w:szCs w:val="22"/>
          <w:lang w:val="es-ES"/>
        </w:rPr>
      </w:pPr>
      <w:r w:rsidRPr="00CD417D">
        <w:rPr>
          <w:rFonts w:eastAsia="Arial"/>
          <w:bCs/>
          <w:sz w:val="22"/>
          <w:szCs w:val="22"/>
          <w:lang w:val="eu-ES"/>
        </w:rPr>
        <w:t>Aurreikusitako hitzarmenaren barruan Lurralde Berrikuntzako Zentroa garatzeko egingo diren jarduketen gehieneko kostu osoa 850.000 euro da, hitzarmena indarrean egongo den lau urteetan.. Ministerioak 510.000 euroko laguntza ematen du eta Aldundiak, 340.000 euro.</w:t>
      </w:r>
    </w:p>
    <w:p w14:paraId="54D0F912" w14:textId="77777777" w:rsidR="00CD417D" w:rsidRPr="00CD417D" w:rsidRDefault="00CD417D" w:rsidP="00CD417D">
      <w:pPr>
        <w:tabs>
          <w:tab w:val="right" w:pos="8789"/>
        </w:tabs>
        <w:jc w:val="both"/>
        <w:rPr>
          <w:noProof/>
          <w:sz w:val="22"/>
          <w:szCs w:val="22"/>
          <w:lang w:val="es-ES"/>
        </w:rPr>
      </w:pPr>
    </w:p>
    <w:p w14:paraId="6FF01754" w14:textId="77777777" w:rsidR="00CD417D" w:rsidRPr="00CD417D" w:rsidRDefault="00CD417D" w:rsidP="00CD417D">
      <w:pPr>
        <w:jc w:val="both"/>
        <w:rPr>
          <w:noProof/>
          <w:sz w:val="22"/>
          <w:szCs w:val="22"/>
          <w:lang w:val="es-ES"/>
        </w:rPr>
      </w:pPr>
      <w:r w:rsidRPr="00CD417D">
        <w:rPr>
          <w:rFonts w:eastAsia="Arial"/>
          <w:noProof/>
          <w:sz w:val="22"/>
          <w:szCs w:val="22"/>
          <w:lang w:val="eu-ES"/>
        </w:rPr>
        <w:t xml:space="preserve">Foru Gobernu Kontseiluaren 348/2005 erabakiaren bidez, Arabako Foru Aldundiaren eta Estatuko Administrazioaren artean (Trantsizio Ekologikorako eta Erronda Demografikorako Ministerioaren Erronka Demografikorako Idazkaritza nagusia) lankidetza protokolo bat sinatzea onetsi zen, eta haren helburua da, Araban, Lurralde Berrikuntzako Zentro (LBZ) bat elkarrekin garatzea. </w:t>
      </w:r>
    </w:p>
    <w:p w14:paraId="68BBF204" w14:textId="77777777" w:rsidR="00CD417D" w:rsidRPr="00CD417D" w:rsidRDefault="00CD417D" w:rsidP="00CD417D">
      <w:pPr>
        <w:jc w:val="both"/>
        <w:rPr>
          <w:noProof/>
          <w:color w:val="FF0000"/>
          <w:sz w:val="22"/>
          <w:szCs w:val="22"/>
          <w:lang w:val="es-ES"/>
        </w:rPr>
      </w:pPr>
    </w:p>
    <w:p w14:paraId="0D407114" w14:textId="77777777" w:rsidR="00CD417D" w:rsidRPr="00CD417D" w:rsidRDefault="00CD417D" w:rsidP="00CD417D">
      <w:pPr>
        <w:tabs>
          <w:tab w:val="right" w:pos="8789"/>
        </w:tabs>
        <w:jc w:val="both"/>
        <w:rPr>
          <w:noProof/>
          <w:sz w:val="22"/>
          <w:szCs w:val="22"/>
          <w:lang w:val="es-ES"/>
        </w:rPr>
      </w:pPr>
      <w:r w:rsidRPr="00CD417D">
        <w:rPr>
          <w:rFonts w:eastAsia="Arial"/>
          <w:noProof/>
          <w:sz w:val="22"/>
          <w:szCs w:val="22"/>
          <w:lang w:val="eu-ES"/>
        </w:rPr>
        <w:t xml:space="preserve">1983ko martxoaren 7ko Foru Arauak, Arabako Lurralde Historikoaren erakunde antolaketa buruzkoak, 6.2.b).3. artikuluan ezartzen du Batzar Nagusiei dagokiela Foru Aldundiaren proposamenak berrestea, Estatuarekin egindako hitzarmenen kasuan. </w:t>
      </w:r>
    </w:p>
    <w:p w14:paraId="7C3EB5C6" w14:textId="77777777" w:rsidR="00CD417D" w:rsidRPr="00CD417D" w:rsidRDefault="00CD417D" w:rsidP="00CD417D">
      <w:pPr>
        <w:tabs>
          <w:tab w:val="right" w:pos="8789"/>
        </w:tabs>
        <w:jc w:val="both"/>
        <w:rPr>
          <w:noProof/>
          <w:sz w:val="22"/>
          <w:szCs w:val="22"/>
          <w:lang w:val="es-ES"/>
        </w:rPr>
      </w:pPr>
    </w:p>
    <w:p w14:paraId="0CD05EE6" w14:textId="77777777" w:rsidR="00CD417D" w:rsidRPr="00CD417D" w:rsidRDefault="00CD417D" w:rsidP="00CD417D">
      <w:pPr>
        <w:tabs>
          <w:tab w:val="right" w:pos="8789"/>
        </w:tabs>
        <w:jc w:val="both"/>
        <w:rPr>
          <w:noProof/>
          <w:sz w:val="22"/>
          <w:szCs w:val="22"/>
          <w:lang w:val="es-ES"/>
        </w:rPr>
      </w:pPr>
      <w:r w:rsidRPr="00CD417D">
        <w:rPr>
          <w:rFonts w:eastAsia="Arial"/>
          <w:noProof/>
          <w:sz w:val="22"/>
          <w:szCs w:val="22"/>
          <w:lang w:val="eu-ES"/>
        </w:rPr>
        <w:lastRenderedPageBreak/>
        <w:t xml:space="preserve">Martxoaren 15eko 10/2023 Foru Arauak, Arabako Foru Aldundiaren gobernu, antolaketa eta araubide juridikoari buruzkoak, 6.1.b).3. artikuluan ezartzen du, eginkizun betearazlearen jardunean, Foru Gobernu Kontseiluari dagokiola estatuarekin egindako hitzarmenei buruzko proposamenak onestea, eta Batzar Nagusiei bidaltzea, berrets ditzan. Hori egingo da apirilaren 22ko 17/2023 Foru Arauaren bidez onetsitako Batzar Nagusien Funtzionamendu Araudian ezartzen den moduan. </w:t>
      </w:r>
    </w:p>
    <w:p w14:paraId="30D55BAC" w14:textId="77777777" w:rsidR="00CD417D" w:rsidRPr="00CD417D" w:rsidRDefault="00CD417D" w:rsidP="00CD417D">
      <w:pPr>
        <w:tabs>
          <w:tab w:val="right" w:pos="8789"/>
        </w:tabs>
        <w:jc w:val="both"/>
        <w:rPr>
          <w:noProof/>
          <w:sz w:val="22"/>
          <w:szCs w:val="22"/>
          <w:lang w:val="es-ES"/>
        </w:rPr>
      </w:pPr>
    </w:p>
    <w:p w14:paraId="042A9F38" w14:textId="77777777" w:rsidR="00CD417D" w:rsidRPr="00CD417D" w:rsidRDefault="00CD417D" w:rsidP="00CD417D">
      <w:pPr>
        <w:tabs>
          <w:tab w:val="right" w:pos="8789"/>
        </w:tabs>
        <w:jc w:val="both"/>
        <w:rPr>
          <w:noProof/>
          <w:sz w:val="22"/>
          <w:szCs w:val="22"/>
          <w:lang w:val="es-ES"/>
        </w:rPr>
      </w:pPr>
      <w:r w:rsidRPr="00CD417D">
        <w:rPr>
          <w:rFonts w:eastAsia="Arial"/>
          <w:noProof/>
          <w:sz w:val="22"/>
          <w:szCs w:val="22"/>
          <w:lang w:val="eu-ES"/>
        </w:rPr>
        <w:t>Martxoaren 15eko 10/2023 Foru Arauak, Arabako Foru Aldundiaren gobernu, antolaketa eta araubide juridikoari buruzkoak, 8.1.a).6. artikuluan ezartzen du, eginkizun betearazlearen jardunean, estatuarekin hitzarmenak sinatzea dagokiola Foru Gobernu Kontseiluari</w:t>
      </w:r>
    </w:p>
    <w:p w14:paraId="722AD0A0" w14:textId="77777777" w:rsidR="00CD417D" w:rsidRPr="00CD417D" w:rsidRDefault="00CD417D" w:rsidP="00CD417D">
      <w:pPr>
        <w:tabs>
          <w:tab w:val="right" w:pos="8789"/>
        </w:tabs>
        <w:jc w:val="both"/>
        <w:rPr>
          <w:noProof/>
          <w:color w:val="0070C0"/>
          <w:sz w:val="22"/>
          <w:szCs w:val="22"/>
          <w:lang w:val="es-ES"/>
        </w:rPr>
      </w:pPr>
    </w:p>
    <w:p w14:paraId="6F928D8C" w14:textId="77777777" w:rsidR="00CD417D" w:rsidRPr="00CD417D" w:rsidRDefault="00CD417D" w:rsidP="00CD417D">
      <w:pPr>
        <w:tabs>
          <w:tab w:val="right" w:pos="8789"/>
        </w:tabs>
        <w:jc w:val="both"/>
        <w:rPr>
          <w:noProof/>
          <w:sz w:val="22"/>
          <w:szCs w:val="22"/>
        </w:rPr>
      </w:pPr>
      <w:r w:rsidRPr="00CD417D">
        <w:rPr>
          <w:rFonts w:eastAsia="Arial"/>
          <w:noProof/>
          <w:sz w:val="22"/>
          <w:szCs w:val="22"/>
          <w:lang w:val="eu-ES"/>
        </w:rPr>
        <w:t>Hitzarmenak administrazio izaera du, eta Sektore Publikoaren Araubide Juridikoaren urriaren 1eko 40/2015 Legearen Atariko Tituluaren VI. Kapituluan dago araututa.</w:t>
      </w:r>
    </w:p>
    <w:p w14:paraId="644D24C6" w14:textId="77777777" w:rsidR="00CD417D" w:rsidRPr="00CD417D" w:rsidRDefault="00CD417D" w:rsidP="00CD417D">
      <w:pPr>
        <w:tabs>
          <w:tab w:val="right" w:pos="8789"/>
        </w:tabs>
        <w:jc w:val="both"/>
        <w:rPr>
          <w:noProof/>
          <w:color w:val="0070C0"/>
          <w:sz w:val="22"/>
          <w:szCs w:val="22"/>
          <w:lang w:val="es-ES"/>
        </w:rPr>
      </w:pPr>
    </w:p>
    <w:p w14:paraId="7E88B5F0" w14:textId="77777777" w:rsidR="00CD417D" w:rsidRPr="00CD417D" w:rsidRDefault="00CD417D" w:rsidP="00CD417D">
      <w:pPr>
        <w:tabs>
          <w:tab w:val="right" w:pos="8789"/>
        </w:tabs>
        <w:jc w:val="both"/>
        <w:rPr>
          <w:noProof/>
          <w:sz w:val="22"/>
          <w:szCs w:val="22"/>
          <w:lang w:val="es-ES"/>
        </w:rPr>
      </w:pPr>
      <w:r w:rsidRPr="00CD417D">
        <w:rPr>
          <w:rFonts w:eastAsia="Arial"/>
          <w:noProof/>
          <w:sz w:val="22"/>
          <w:szCs w:val="22"/>
          <w:lang w:val="eu-ES"/>
        </w:rPr>
        <w:t>Foru Gobernu Kontseiluaren 6/2023 Foru Dekretuak, otsailaren 28koak, Arabako Foru Aldundiaren xedapen orokorrak egiteko prozedurari buruzkoak, 2.2. artikuluan ezartzen du foru dekretu honetan aurreikusitako prozeduratik berariaz salbuetsita daudela Arabako Lurralde Historikoaren Erakunde Antolaketari buruzko 1983ko martxoaren 7ko Foru Arauaren 6. artikuluko 2. apartatuko b) letran aipatzen diren proposamenak Arabako Batzar Nagusiek berrestea helburu duten foru arauen aurreproiektuak. Hala ere, 3. apartatuan ezartzen du aurreko apartatuan aipatutako proiektuekin batera, txosten juridiko bat aurkeztuko dela, honako hauek justifikatuz: egokitasuna eta motibazioa, prozeduratik salbuesten duen arrazoia, eta horien edukiaren eta izapidetzearen azterketa laburra, hargatik eragotzi gabe bidezkoak diren txosten guztiak, betiere gainerako araudi aplikagarrian ezarritakoarekin bat.</w:t>
      </w:r>
    </w:p>
    <w:p w14:paraId="5DB8BB9C" w14:textId="77777777" w:rsidR="00CD417D" w:rsidRPr="00CD417D" w:rsidRDefault="00CD417D" w:rsidP="00CD417D">
      <w:pPr>
        <w:tabs>
          <w:tab w:val="right" w:pos="8789"/>
        </w:tabs>
        <w:jc w:val="both"/>
        <w:rPr>
          <w:noProof/>
          <w:sz w:val="22"/>
          <w:szCs w:val="22"/>
          <w:lang w:val="es-ES"/>
        </w:rPr>
      </w:pPr>
    </w:p>
    <w:p w14:paraId="13024098" w14:textId="77777777" w:rsidR="00CD417D" w:rsidRPr="00CD417D" w:rsidRDefault="00CD417D" w:rsidP="00CD417D">
      <w:pPr>
        <w:tabs>
          <w:tab w:val="right" w:pos="8789"/>
        </w:tabs>
        <w:jc w:val="both"/>
        <w:rPr>
          <w:noProof/>
          <w:sz w:val="22"/>
          <w:szCs w:val="22"/>
          <w:lang w:val="es-ES"/>
        </w:rPr>
      </w:pPr>
      <w:r w:rsidRPr="00CD417D">
        <w:rPr>
          <w:rFonts w:eastAsia="Arial"/>
          <w:noProof/>
          <w:sz w:val="22"/>
          <w:szCs w:val="22"/>
          <w:lang w:val="eu-ES"/>
        </w:rPr>
        <w:t>Martxoaren 15eko 10/2023 Foru Arauak, Arabako Foru Aldundiaren gobernu, antolaketa eta araubide juridikoari buruzkoak, 41. artikuluan ezartzen du Foru arauen aurreproiektuak Foru Gobernu Kontseiluaren irizpean jarriko direla, eta haiekin batera, honako hauek ere aurkeztu beharko direla: a) proposamen arautzailearen aukera eta komenigarritasuna azalduko duen memoria edo txostena, aldatu edo indargabetuko diren xedapenen zerrenda jasoko duen analisi juridikoa eta izapidetzearen deskribapena, b) proiektuek aurrekontu karga eragingo duten ala ez ebatziko duen txostena, c) indarrean dagoen legediaren eta foru arauekin bat etorriz nahitaez eman beharreko beste edozein txosten. Foru Gobernu Kontseiluak onetsitako foru arauen proiektuak Batzar Nagusietara igorriko dira, aipatutako dokumentazioarekin batera. Foru arauen proiektuek aurrekontu karga eragingo balute, dagokion finantzazio proposamena ere aurkeztu beharko da.</w:t>
      </w:r>
    </w:p>
    <w:p w14:paraId="5874B06E" w14:textId="77777777" w:rsidR="00CD417D" w:rsidRPr="00CD417D" w:rsidRDefault="00CD417D" w:rsidP="00CD417D">
      <w:pPr>
        <w:tabs>
          <w:tab w:val="right" w:pos="8789"/>
        </w:tabs>
        <w:jc w:val="both"/>
        <w:rPr>
          <w:noProof/>
          <w:sz w:val="22"/>
          <w:szCs w:val="22"/>
          <w:lang w:val="es-ES"/>
        </w:rPr>
      </w:pPr>
    </w:p>
    <w:p w14:paraId="0FA1420F" w14:textId="77777777" w:rsidR="00CD417D" w:rsidRPr="00CD417D" w:rsidRDefault="00CD417D" w:rsidP="00CD417D">
      <w:pPr>
        <w:tabs>
          <w:tab w:val="right" w:pos="8789"/>
        </w:tabs>
        <w:jc w:val="both"/>
        <w:rPr>
          <w:noProof/>
          <w:sz w:val="22"/>
          <w:szCs w:val="22"/>
          <w:lang w:val="es-ES"/>
        </w:rPr>
      </w:pPr>
      <w:r w:rsidRPr="00CD417D">
        <w:rPr>
          <w:rFonts w:eastAsia="Arial"/>
          <w:noProof/>
          <w:sz w:val="22"/>
          <w:szCs w:val="22"/>
          <w:lang w:val="eu-ES"/>
        </w:rPr>
        <w:t>Urtarrilaren 25eko 3/2023 Foru Arauak, Aurrekontuei buruzko Arau Orokorrak, 70. artikuluan ezartzen du Foru arauaren aurreproiektu orok, uneko ekitaldian nahiz ondorengoetan gastu edo sarrera publikoak ekar baditzake, aurretiazko aurrekari eta azterlanen artean, nahitaez jaso beharko du proposamena egiten duen sailak egindako memoria ekonomiko bat, zeinari ogasunaren, finantzen eta aurrekontuen arloan eskumena duen sailaren nahitaezko txostena erantsiko baitzaio, xedapen hori hartzeak aurrekontuetan izango dituen ondorioak agerian jarriz.</w:t>
      </w:r>
    </w:p>
    <w:p w14:paraId="386FE19D" w14:textId="77777777" w:rsidR="00CD417D" w:rsidRPr="00CD417D" w:rsidRDefault="00CD417D" w:rsidP="00CD417D">
      <w:pPr>
        <w:tabs>
          <w:tab w:val="right" w:pos="8789"/>
        </w:tabs>
        <w:jc w:val="both"/>
        <w:rPr>
          <w:sz w:val="22"/>
          <w:szCs w:val="22"/>
        </w:rPr>
      </w:pPr>
    </w:p>
    <w:p w14:paraId="372F054C" w14:textId="77777777" w:rsidR="00CD417D" w:rsidRPr="00CD417D" w:rsidRDefault="00CD417D" w:rsidP="00CD417D">
      <w:pPr>
        <w:tabs>
          <w:tab w:val="right" w:pos="8789"/>
        </w:tabs>
        <w:jc w:val="both"/>
        <w:rPr>
          <w:sz w:val="22"/>
          <w:szCs w:val="22"/>
        </w:rPr>
      </w:pPr>
      <w:r w:rsidRPr="00CD417D">
        <w:rPr>
          <w:rFonts w:eastAsia="Arial"/>
          <w:sz w:val="22"/>
          <w:szCs w:val="22"/>
          <w:lang w:val="eu-ES"/>
        </w:rPr>
        <w:t>Emakumeen eta gizonen berdintasun eraginkorra lortzeko martxoaren 22ko 3/2007 Lege Organikoan eta, Euskadi mailan, emakumeen eta gizonen berdintasunerako eta emakumeen aurkako indarkeria matxistarik gabe bizitzeko Legearen testu bategina onartzen duen martxoaren 16ko 1/2023 Legegintzako Dekretuan xedatutakoa betez, arau hau prozeduran genero ikuspegia txertatzeko helburuarekin planifikatu da.</w:t>
      </w:r>
    </w:p>
    <w:p w14:paraId="21EB1678" w14:textId="77777777" w:rsidR="00CD417D" w:rsidRPr="00CD417D" w:rsidRDefault="00CD417D" w:rsidP="00CD417D">
      <w:pPr>
        <w:tabs>
          <w:tab w:val="right" w:pos="8789"/>
        </w:tabs>
        <w:jc w:val="both"/>
        <w:rPr>
          <w:sz w:val="22"/>
          <w:szCs w:val="22"/>
        </w:rPr>
      </w:pPr>
    </w:p>
    <w:p w14:paraId="52C9B59C" w14:textId="77777777" w:rsidR="00CD417D" w:rsidRPr="00CD417D" w:rsidRDefault="00CD417D" w:rsidP="00CD417D">
      <w:pPr>
        <w:tabs>
          <w:tab w:val="right" w:pos="8789"/>
        </w:tabs>
        <w:jc w:val="both"/>
        <w:rPr>
          <w:noProof/>
          <w:sz w:val="22"/>
          <w:szCs w:val="22"/>
          <w:lang w:val="es-ES"/>
        </w:rPr>
      </w:pPr>
    </w:p>
    <w:p w14:paraId="1F490E78" w14:textId="77777777" w:rsidR="00CD417D" w:rsidRPr="00CD417D" w:rsidRDefault="00CD417D" w:rsidP="00CD417D">
      <w:pPr>
        <w:tabs>
          <w:tab w:val="right" w:pos="8789"/>
        </w:tabs>
        <w:jc w:val="both"/>
        <w:rPr>
          <w:noProof/>
          <w:sz w:val="22"/>
          <w:szCs w:val="22"/>
          <w:lang w:val="es-ES"/>
        </w:rPr>
      </w:pPr>
    </w:p>
    <w:p w14:paraId="50BCE18B" w14:textId="77777777" w:rsidR="00CD417D" w:rsidRPr="00CD417D" w:rsidRDefault="00CD417D" w:rsidP="00CD417D">
      <w:pPr>
        <w:tabs>
          <w:tab w:val="right" w:pos="8789"/>
        </w:tabs>
        <w:jc w:val="both"/>
        <w:rPr>
          <w:sz w:val="24"/>
          <w:szCs w:val="24"/>
          <w:lang w:val="es-ES"/>
        </w:rPr>
      </w:pPr>
    </w:p>
    <w:p w14:paraId="79256410" w14:textId="77777777" w:rsidR="00CD417D" w:rsidRPr="00CD417D" w:rsidRDefault="00CD417D" w:rsidP="00CD417D">
      <w:pPr>
        <w:tabs>
          <w:tab w:val="right" w:pos="8789"/>
        </w:tabs>
        <w:jc w:val="both"/>
        <w:rPr>
          <w:b/>
          <w:sz w:val="24"/>
          <w:szCs w:val="24"/>
          <w:lang w:val="es-ES"/>
        </w:rPr>
      </w:pPr>
      <w:r w:rsidRPr="00CD417D">
        <w:rPr>
          <w:rFonts w:eastAsia="Arial"/>
          <w:b/>
          <w:bCs/>
          <w:sz w:val="24"/>
          <w:szCs w:val="24"/>
          <w:lang w:val="eu-ES"/>
        </w:rPr>
        <w:lastRenderedPageBreak/>
        <w:t>ARTIKULU BAKARRA</w:t>
      </w:r>
    </w:p>
    <w:p w14:paraId="2A7CC076" w14:textId="77777777" w:rsidR="00CD417D" w:rsidRPr="00CD417D" w:rsidRDefault="00CD417D" w:rsidP="00CD417D">
      <w:pPr>
        <w:tabs>
          <w:tab w:val="right" w:pos="8789"/>
        </w:tabs>
        <w:jc w:val="both"/>
        <w:rPr>
          <w:b/>
          <w:sz w:val="22"/>
          <w:szCs w:val="22"/>
          <w:lang w:val="es-ES"/>
        </w:rPr>
      </w:pPr>
    </w:p>
    <w:p w14:paraId="0EF03215" w14:textId="77777777" w:rsidR="00CD417D" w:rsidRPr="00CD417D" w:rsidRDefault="00CD417D" w:rsidP="00CD417D">
      <w:pPr>
        <w:tabs>
          <w:tab w:val="right" w:pos="8789"/>
        </w:tabs>
        <w:jc w:val="both"/>
        <w:rPr>
          <w:sz w:val="22"/>
          <w:szCs w:val="22"/>
          <w:lang w:val="es-ES"/>
        </w:rPr>
      </w:pPr>
    </w:p>
    <w:p w14:paraId="2FBE007C" w14:textId="77777777" w:rsidR="00CD417D" w:rsidRPr="00CD417D" w:rsidRDefault="00CD417D" w:rsidP="00CD417D">
      <w:pPr>
        <w:jc w:val="both"/>
        <w:rPr>
          <w:sz w:val="22"/>
          <w:szCs w:val="22"/>
        </w:rPr>
      </w:pPr>
      <w:r w:rsidRPr="00CD417D">
        <w:rPr>
          <w:rFonts w:eastAsia="Arial"/>
          <w:sz w:val="22"/>
          <w:szCs w:val="22"/>
          <w:lang w:val="eu-ES"/>
        </w:rPr>
        <w:t>Onesten da Arabako Foru Aldundiaren eta Estatuko Administrazio Orokorraren (Trantsizio Ekologikorako eta Erronka Demografikorako Ministerioa) arteko hitzarmena, I. Eranskinean jasotzen den Lurralde Berrikuntza Zentroa (LBZ) garatzeko, Foru Gobernu Kontseiluaren apirilaren 21eko 234/2026 Erabakiak adierazitako baldintzetan.</w:t>
      </w:r>
    </w:p>
    <w:p w14:paraId="27255902" w14:textId="77777777" w:rsidR="00CD417D" w:rsidRPr="00CD417D" w:rsidRDefault="00CD417D" w:rsidP="00CD417D">
      <w:pPr>
        <w:rPr>
          <w:sz w:val="22"/>
          <w:szCs w:val="22"/>
        </w:rPr>
      </w:pPr>
    </w:p>
    <w:sectPr w:rsidR="00CD417D" w:rsidRPr="00CD417D" w:rsidSect="00DA117C">
      <w:headerReference w:type="default" r:id="rId6"/>
      <w:footerReference w:type="default" r:id="rId7"/>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1FC66" w14:textId="77777777" w:rsidR="004B1564" w:rsidRDefault="004B1564" w:rsidP="004B1564">
      <w:r>
        <w:separator/>
      </w:r>
    </w:p>
  </w:endnote>
  <w:endnote w:type="continuationSeparator" w:id="0">
    <w:p w14:paraId="17747F96" w14:textId="77777777" w:rsidR="004B1564" w:rsidRDefault="004B1564" w:rsidP="004B1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DB807" w14:textId="77777777" w:rsidR="004B1564" w:rsidRDefault="004B1564" w:rsidP="004B1564">
    <w:pPr>
      <w:pStyle w:val="Piedepgina"/>
    </w:pPr>
    <w:r>
      <w:tab/>
    </w:r>
    <w:r>
      <w:tab/>
    </w:r>
    <w:r>
      <w:tab/>
    </w:r>
    <w:r>
      <w:tab/>
    </w:r>
    <w:bookmarkStart w:id="0" w:name="_Hlk164407237"/>
    <w:bookmarkStart w:id="1" w:name="_Hlk164407238"/>
    <w:bookmarkStart w:id="2" w:name="_Hlk172208567"/>
    <w:bookmarkStart w:id="3" w:name="_Hlk172208568"/>
    <w:bookmarkStart w:id="4" w:name="_Hlk172208569"/>
    <w:bookmarkStart w:id="5" w:name="_Hlk172208570"/>
    <w:r>
      <w:fldChar w:fldCharType="begin"/>
    </w:r>
    <w:r>
      <w:instrText xml:space="preserve"> PAGE   \* MERGEFORMAT </w:instrText>
    </w:r>
    <w:r>
      <w:fldChar w:fldCharType="separate"/>
    </w:r>
    <w:r>
      <w:t>1</w:t>
    </w:r>
    <w:r>
      <w:fldChar w:fldCharType="end"/>
    </w:r>
    <w:r>
      <w:t xml:space="preserve"> / </w:t>
    </w:r>
    <w:fldSimple w:instr=" NUMPAGES   \* MERGEFORMAT ">
      <w:r>
        <w:t>2</w:t>
      </w:r>
    </w:fldSimple>
    <w:bookmarkEnd w:id="0"/>
    <w:bookmarkEnd w:id="1"/>
    <w:bookmarkEnd w:id="2"/>
    <w:bookmarkEnd w:id="3"/>
    <w:bookmarkEnd w:id="4"/>
    <w:bookmarkEnd w:id="5"/>
  </w:p>
  <w:p w14:paraId="59E31BE4" w14:textId="0339C461" w:rsidR="004B1564" w:rsidRDefault="004B1564">
    <w:pPr>
      <w:pStyle w:val="Piedepgina"/>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A7D33" w14:textId="77777777" w:rsidR="004B1564" w:rsidRDefault="004B1564" w:rsidP="004B1564">
      <w:r>
        <w:separator/>
      </w:r>
    </w:p>
  </w:footnote>
  <w:footnote w:type="continuationSeparator" w:id="0">
    <w:p w14:paraId="22D62FD9" w14:textId="77777777" w:rsidR="004B1564" w:rsidRDefault="004B1564" w:rsidP="004B1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94" w:type="dxa"/>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077"/>
    </w:tblGrid>
    <w:tr w:rsidR="004B1564" w:rsidRPr="00B310E5" w14:paraId="23A8D756" w14:textId="77777777" w:rsidTr="004B1564">
      <w:trPr>
        <w:cantSplit/>
        <w:trHeight w:val="338"/>
      </w:trPr>
      <w:tc>
        <w:tcPr>
          <w:tcW w:w="3856" w:type="dxa"/>
        </w:tcPr>
        <w:p w14:paraId="7D34FBEB" w14:textId="77777777" w:rsidR="004B1564" w:rsidRPr="00B310E5" w:rsidRDefault="004B1564" w:rsidP="004B1564">
          <w:pPr>
            <w:tabs>
              <w:tab w:val="center" w:pos="4252"/>
              <w:tab w:val="right" w:pos="8504"/>
            </w:tabs>
          </w:pPr>
        </w:p>
      </w:tc>
      <w:tc>
        <w:tcPr>
          <w:tcW w:w="1361" w:type="dxa"/>
          <w:vMerge w:val="restart"/>
        </w:tcPr>
        <w:p w14:paraId="74B158B5" w14:textId="77777777" w:rsidR="004B1564" w:rsidRPr="00B310E5" w:rsidRDefault="004B1564" w:rsidP="004B1564">
          <w:pPr>
            <w:tabs>
              <w:tab w:val="center" w:pos="4252"/>
              <w:tab w:val="right" w:pos="8504"/>
            </w:tabs>
            <w:jc w:val="center"/>
          </w:pPr>
          <w:r w:rsidRPr="00B310E5">
            <w:rPr>
              <w:noProof/>
            </w:rPr>
            <w:drawing>
              <wp:inline distT="0" distB="0" distL="0" distR="0" wp14:anchorId="7FE0C0FA" wp14:editId="6C583825">
                <wp:extent cx="431165" cy="431165"/>
                <wp:effectExtent l="0" t="0" r="6985" b="6985"/>
                <wp:docPr id="5" name="Imagen 5"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165" cy="431165"/>
                        </a:xfrm>
                        <a:prstGeom prst="rect">
                          <a:avLst/>
                        </a:prstGeom>
                        <a:noFill/>
                        <a:ln>
                          <a:noFill/>
                        </a:ln>
                      </pic:spPr>
                    </pic:pic>
                  </a:graphicData>
                </a:graphic>
              </wp:inline>
            </w:drawing>
          </w:r>
        </w:p>
      </w:tc>
      <w:tc>
        <w:tcPr>
          <w:tcW w:w="3077" w:type="dxa"/>
        </w:tcPr>
        <w:p w14:paraId="52A51F26" w14:textId="77777777" w:rsidR="004B1564" w:rsidRPr="00B310E5" w:rsidRDefault="004B1564" w:rsidP="004B1564">
          <w:pPr>
            <w:tabs>
              <w:tab w:val="center" w:pos="4252"/>
              <w:tab w:val="right" w:pos="8504"/>
            </w:tabs>
          </w:pPr>
        </w:p>
      </w:tc>
    </w:tr>
    <w:tr w:rsidR="004B1564" w:rsidRPr="00B310E5" w14:paraId="484AFD35" w14:textId="77777777" w:rsidTr="004B1564">
      <w:trPr>
        <w:cantSplit/>
        <w:trHeight w:val="337"/>
      </w:trPr>
      <w:tc>
        <w:tcPr>
          <w:tcW w:w="3856" w:type="dxa"/>
        </w:tcPr>
        <w:p w14:paraId="1F59D29D" w14:textId="77777777" w:rsidR="004B1564" w:rsidRPr="00B310E5" w:rsidRDefault="004B1564" w:rsidP="004B1564">
          <w:pPr>
            <w:tabs>
              <w:tab w:val="center" w:pos="4252"/>
              <w:tab w:val="right" w:pos="8504"/>
            </w:tabs>
          </w:pPr>
        </w:p>
      </w:tc>
      <w:tc>
        <w:tcPr>
          <w:tcW w:w="1361" w:type="dxa"/>
          <w:vMerge/>
        </w:tcPr>
        <w:p w14:paraId="53F198BE" w14:textId="77777777" w:rsidR="004B1564" w:rsidRPr="00B310E5" w:rsidRDefault="004B1564" w:rsidP="004B1564">
          <w:pPr>
            <w:tabs>
              <w:tab w:val="center" w:pos="4252"/>
              <w:tab w:val="right" w:pos="8504"/>
            </w:tabs>
            <w:jc w:val="center"/>
          </w:pPr>
        </w:p>
      </w:tc>
      <w:tc>
        <w:tcPr>
          <w:tcW w:w="3077" w:type="dxa"/>
        </w:tcPr>
        <w:p w14:paraId="767D8457" w14:textId="77777777" w:rsidR="004B1564" w:rsidRPr="00B310E5" w:rsidRDefault="004B1564" w:rsidP="004B1564">
          <w:pPr>
            <w:tabs>
              <w:tab w:val="center" w:pos="4252"/>
              <w:tab w:val="right" w:pos="8504"/>
            </w:tabs>
          </w:pPr>
        </w:p>
      </w:tc>
    </w:tr>
  </w:tbl>
  <w:p w14:paraId="13E0BC48" w14:textId="77777777" w:rsidR="004B1564" w:rsidRDefault="004B156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564"/>
    <w:rsid w:val="0015640F"/>
    <w:rsid w:val="001E34A9"/>
    <w:rsid w:val="004B1564"/>
    <w:rsid w:val="00696935"/>
    <w:rsid w:val="007B52B7"/>
    <w:rsid w:val="007C4C2B"/>
    <w:rsid w:val="00835409"/>
    <w:rsid w:val="00851121"/>
    <w:rsid w:val="00923231"/>
    <w:rsid w:val="00924171"/>
    <w:rsid w:val="00BC1FAC"/>
    <w:rsid w:val="00BC38D9"/>
    <w:rsid w:val="00C118E9"/>
    <w:rsid w:val="00C777D1"/>
    <w:rsid w:val="00CB6028"/>
    <w:rsid w:val="00CD417D"/>
    <w:rsid w:val="00DA117C"/>
    <w:rsid w:val="00FC34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A573B"/>
  <w15:chartTrackingRefBased/>
  <w15:docId w15:val="{4CAAA41B-54EE-4A96-A3F1-EF46C451C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564"/>
    <w:pPr>
      <w:spacing w:after="0" w:line="240" w:lineRule="auto"/>
    </w:pPr>
    <w:rPr>
      <w:rFonts w:ascii="Times New Roman" w:eastAsia="Times New Roman" w:hAnsi="Times New Roman" w:cs="Times New Roman"/>
      <w:snapToGrid w:val="0"/>
      <w:kern w:val="0"/>
      <w:sz w:val="20"/>
      <w:szCs w:val="20"/>
      <w:lang w:val="es-ES_tradnl" w:eastAsia="es-ES"/>
      <w14:ligatures w14:val="none"/>
    </w:rPr>
  </w:style>
  <w:style w:type="paragraph" w:styleId="Ttulo1">
    <w:name w:val="heading 1"/>
    <w:basedOn w:val="Normal"/>
    <w:next w:val="Normal"/>
    <w:link w:val="Ttulo1Car"/>
    <w:uiPriority w:val="9"/>
    <w:qFormat/>
    <w:rsid w:val="004B1564"/>
    <w:pPr>
      <w:keepNext/>
      <w:keepLines/>
      <w:spacing w:before="360" w:after="80" w:line="259" w:lineRule="auto"/>
      <w:outlineLvl w:val="0"/>
    </w:pPr>
    <w:rPr>
      <w:rFonts w:asciiTheme="majorHAnsi" w:eastAsiaTheme="majorEastAsia" w:hAnsiTheme="majorHAnsi" w:cstheme="majorBidi"/>
      <w:snapToGrid/>
      <w:color w:val="0F4761" w:themeColor="accent1" w:themeShade="BF"/>
      <w:kern w:val="2"/>
      <w:sz w:val="40"/>
      <w:szCs w:val="40"/>
      <w:lang w:val="es-ES" w:eastAsia="en-US"/>
      <w14:ligatures w14:val="standardContextual"/>
    </w:rPr>
  </w:style>
  <w:style w:type="paragraph" w:styleId="Ttulo2">
    <w:name w:val="heading 2"/>
    <w:basedOn w:val="Normal"/>
    <w:next w:val="Normal"/>
    <w:link w:val="Ttulo2Car"/>
    <w:uiPriority w:val="9"/>
    <w:semiHidden/>
    <w:unhideWhenUsed/>
    <w:qFormat/>
    <w:rsid w:val="004B1564"/>
    <w:pPr>
      <w:keepNext/>
      <w:keepLines/>
      <w:spacing w:before="160" w:after="80" w:line="259" w:lineRule="auto"/>
      <w:outlineLvl w:val="1"/>
    </w:pPr>
    <w:rPr>
      <w:rFonts w:asciiTheme="majorHAnsi" w:eastAsiaTheme="majorEastAsia" w:hAnsiTheme="majorHAnsi" w:cstheme="majorBidi"/>
      <w:snapToGrid/>
      <w:color w:val="0F4761" w:themeColor="accent1" w:themeShade="BF"/>
      <w:kern w:val="2"/>
      <w:sz w:val="32"/>
      <w:szCs w:val="32"/>
      <w:lang w:val="es-ES" w:eastAsia="en-US"/>
      <w14:ligatures w14:val="standardContextual"/>
    </w:rPr>
  </w:style>
  <w:style w:type="paragraph" w:styleId="Ttulo3">
    <w:name w:val="heading 3"/>
    <w:basedOn w:val="Normal"/>
    <w:next w:val="Normal"/>
    <w:link w:val="Ttulo3Car"/>
    <w:uiPriority w:val="9"/>
    <w:semiHidden/>
    <w:unhideWhenUsed/>
    <w:qFormat/>
    <w:rsid w:val="004B1564"/>
    <w:pPr>
      <w:keepNext/>
      <w:keepLines/>
      <w:spacing w:before="160" w:after="80" w:line="259" w:lineRule="auto"/>
      <w:outlineLvl w:val="2"/>
    </w:pPr>
    <w:rPr>
      <w:rFonts w:asciiTheme="minorHAnsi" w:eastAsiaTheme="majorEastAsia" w:hAnsiTheme="minorHAnsi" w:cstheme="majorBidi"/>
      <w:snapToGrid/>
      <w:color w:val="0F4761" w:themeColor="accent1" w:themeShade="BF"/>
      <w:kern w:val="2"/>
      <w:sz w:val="28"/>
      <w:szCs w:val="28"/>
      <w:lang w:val="es-ES" w:eastAsia="en-US"/>
      <w14:ligatures w14:val="standardContextual"/>
    </w:rPr>
  </w:style>
  <w:style w:type="paragraph" w:styleId="Ttulo4">
    <w:name w:val="heading 4"/>
    <w:basedOn w:val="Normal"/>
    <w:next w:val="Normal"/>
    <w:link w:val="Ttulo4Car"/>
    <w:uiPriority w:val="9"/>
    <w:semiHidden/>
    <w:unhideWhenUsed/>
    <w:qFormat/>
    <w:rsid w:val="004B1564"/>
    <w:pPr>
      <w:keepNext/>
      <w:keepLines/>
      <w:spacing w:before="80" w:after="40" w:line="259" w:lineRule="auto"/>
      <w:outlineLvl w:val="3"/>
    </w:pPr>
    <w:rPr>
      <w:rFonts w:asciiTheme="minorHAnsi" w:eastAsiaTheme="majorEastAsia" w:hAnsiTheme="minorHAnsi" w:cstheme="majorBidi"/>
      <w:i/>
      <w:iCs/>
      <w:snapToGrid/>
      <w:color w:val="0F4761" w:themeColor="accent1" w:themeShade="BF"/>
      <w:kern w:val="2"/>
      <w:sz w:val="22"/>
      <w:szCs w:val="22"/>
      <w:lang w:val="es-ES" w:eastAsia="en-US"/>
      <w14:ligatures w14:val="standardContextual"/>
    </w:rPr>
  </w:style>
  <w:style w:type="paragraph" w:styleId="Ttulo5">
    <w:name w:val="heading 5"/>
    <w:basedOn w:val="Normal"/>
    <w:next w:val="Normal"/>
    <w:link w:val="Ttulo5Car"/>
    <w:uiPriority w:val="9"/>
    <w:semiHidden/>
    <w:unhideWhenUsed/>
    <w:qFormat/>
    <w:rsid w:val="004B1564"/>
    <w:pPr>
      <w:keepNext/>
      <w:keepLines/>
      <w:spacing w:before="80" w:after="40" w:line="259" w:lineRule="auto"/>
      <w:outlineLvl w:val="4"/>
    </w:pPr>
    <w:rPr>
      <w:rFonts w:asciiTheme="minorHAnsi" w:eastAsiaTheme="majorEastAsia" w:hAnsiTheme="minorHAnsi" w:cstheme="majorBidi"/>
      <w:snapToGrid/>
      <w:color w:val="0F4761" w:themeColor="accent1" w:themeShade="BF"/>
      <w:kern w:val="2"/>
      <w:sz w:val="22"/>
      <w:szCs w:val="22"/>
      <w:lang w:val="es-ES" w:eastAsia="en-US"/>
      <w14:ligatures w14:val="standardContextual"/>
    </w:rPr>
  </w:style>
  <w:style w:type="paragraph" w:styleId="Ttulo6">
    <w:name w:val="heading 6"/>
    <w:basedOn w:val="Normal"/>
    <w:next w:val="Normal"/>
    <w:link w:val="Ttulo6Car"/>
    <w:uiPriority w:val="9"/>
    <w:semiHidden/>
    <w:unhideWhenUsed/>
    <w:qFormat/>
    <w:rsid w:val="004B1564"/>
    <w:pPr>
      <w:keepNext/>
      <w:keepLines/>
      <w:spacing w:before="40" w:line="259" w:lineRule="auto"/>
      <w:outlineLvl w:val="5"/>
    </w:pPr>
    <w:rPr>
      <w:rFonts w:asciiTheme="minorHAnsi" w:eastAsiaTheme="majorEastAsia" w:hAnsiTheme="minorHAnsi" w:cstheme="majorBidi"/>
      <w:i/>
      <w:iCs/>
      <w:snapToGrid/>
      <w:color w:val="595959" w:themeColor="text1" w:themeTint="A6"/>
      <w:kern w:val="2"/>
      <w:sz w:val="22"/>
      <w:szCs w:val="22"/>
      <w:lang w:val="es-ES" w:eastAsia="en-US"/>
      <w14:ligatures w14:val="standardContextual"/>
    </w:rPr>
  </w:style>
  <w:style w:type="paragraph" w:styleId="Ttulo7">
    <w:name w:val="heading 7"/>
    <w:basedOn w:val="Normal"/>
    <w:next w:val="Normal"/>
    <w:link w:val="Ttulo7Car"/>
    <w:uiPriority w:val="9"/>
    <w:semiHidden/>
    <w:unhideWhenUsed/>
    <w:qFormat/>
    <w:rsid w:val="004B1564"/>
    <w:pPr>
      <w:keepNext/>
      <w:keepLines/>
      <w:spacing w:before="40" w:line="259" w:lineRule="auto"/>
      <w:outlineLvl w:val="6"/>
    </w:pPr>
    <w:rPr>
      <w:rFonts w:asciiTheme="minorHAnsi" w:eastAsiaTheme="majorEastAsia" w:hAnsiTheme="minorHAnsi" w:cstheme="majorBidi"/>
      <w:snapToGrid/>
      <w:color w:val="595959" w:themeColor="text1" w:themeTint="A6"/>
      <w:kern w:val="2"/>
      <w:sz w:val="22"/>
      <w:szCs w:val="22"/>
      <w:lang w:val="es-ES" w:eastAsia="en-US"/>
      <w14:ligatures w14:val="standardContextual"/>
    </w:rPr>
  </w:style>
  <w:style w:type="paragraph" w:styleId="Ttulo8">
    <w:name w:val="heading 8"/>
    <w:basedOn w:val="Normal"/>
    <w:next w:val="Normal"/>
    <w:link w:val="Ttulo8Car"/>
    <w:uiPriority w:val="9"/>
    <w:semiHidden/>
    <w:unhideWhenUsed/>
    <w:qFormat/>
    <w:rsid w:val="004B1564"/>
    <w:pPr>
      <w:keepNext/>
      <w:keepLines/>
      <w:spacing w:line="259" w:lineRule="auto"/>
      <w:outlineLvl w:val="7"/>
    </w:pPr>
    <w:rPr>
      <w:rFonts w:asciiTheme="minorHAnsi" w:eastAsiaTheme="majorEastAsia" w:hAnsiTheme="minorHAnsi" w:cstheme="majorBidi"/>
      <w:i/>
      <w:iCs/>
      <w:snapToGrid/>
      <w:color w:val="272727" w:themeColor="text1" w:themeTint="D8"/>
      <w:kern w:val="2"/>
      <w:sz w:val="22"/>
      <w:szCs w:val="22"/>
      <w:lang w:val="es-ES" w:eastAsia="en-US"/>
      <w14:ligatures w14:val="standardContextual"/>
    </w:rPr>
  </w:style>
  <w:style w:type="paragraph" w:styleId="Ttulo9">
    <w:name w:val="heading 9"/>
    <w:basedOn w:val="Normal"/>
    <w:next w:val="Normal"/>
    <w:link w:val="Ttulo9Car"/>
    <w:uiPriority w:val="9"/>
    <w:semiHidden/>
    <w:unhideWhenUsed/>
    <w:qFormat/>
    <w:rsid w:val="004B1564"/>
    <w:pPr>
      <w:keepNext/>
      <w:keepLines/>
      <w:spacing w:line="259" w:lineRule="auto"/>
      <w:outlineLvl w:val="8"/>
    </w:pPr>
    <w:rPr>
      <w:rFonts w:asciiTheme="minorHAnsi" w:eastAsiaTheme="majorEastAsia" w:hAnsiTheme="minorHAnsi" w:cstheme="majorBidi"/>
      <w:snapToGrid/>
      <w:color w:val="272727" w:themeColor="text1" w:themeTint="D8"/>
      <w:kern w:val="2"/>
      <w:sz w:val="22"/>
      <w:szCs w:val="22"/>
      <w:lang w:val="es-ES" w:eastAsia="en-US"/>
      <w14:ligatures w14:val="standardContextua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B15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B15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B156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B156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B156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B15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B15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B15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B1564"/>
    <w:rPr>
      <w:rFonts w:eastAsiaTheme="majorEastAsia" w:cstheme="majorBidi"/>
      <w:color w:val="272727" w:themeColor="text1" w:themeTint="D8"/>
    </w:rPr>
  </w:style>
  <w:style w:type="paragraph" w:styleId="Ttulo">
    <w:name w:val="Title"/>
    <w:basedOn w:val="Normal"/>
    <w:next w:val="Normal"/>
    <w:link w:val="TtuloCar"/>
    <w:uiPriority w:val="10"/>
    <w:qFormat/>
    <w:rsid w:val="004B1564"/>
    <w:pPr>
      <w:spacing w:after="80"/>
      <w:contextualSpacing/>
    </w:pPr>
    <w:rPr>
      <w:rFonts w:asciiTheme="majorHAnsi" w:eastAsiaTheme="majorEastAsia" w:hAnsiTheme="majorHAnsi" w:cstheme="majorBidi"/>
      <w:snapToGrid/>
      <w:spacing w:val="-10"/>
      <w:kern w:val="28"/>
      <w:sz w:val="56"/>
      <w:szCs w:val="56"/>
      <w:lang w:val="es-ES" w:eastAsia="en-US"/>
      <w14:ligatures w14:val="standardContextual"/>
    </w:rPr>
  </w:style>
  <w:style w:type="character" w:customStyle="1" w:styleId="TtuloCar">
    <w:name w:val="Título Car"/>
    <w:basedOn w:val="Fuentedeprrafopredeter"/>
    <w:link w:val="Ttulo"/>
    <w:uiPriority w:val="10"/>
    <w:rsid w:val="004B15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B1564"/>
    <w:pPr>
      <w:numPr>
        <w:ilvl w:val="1"/>
      </w:numPr>
      <w:spacing w:after="160" w:line="259" w:lineRule="auto"/>
    </w:pPr>
    <w:rPr>
      <w:rFonts w:asciiTheme="minorHAnsi" w:eastAsiaTheme="majorEastAsia" w:hAnsiTheme="minorHAnsi" w:cstheme="majorBidi"/>
      <w:snapToGrid/>
      <w:color w:val="595959" w:themeColor="text1" w:themeTint="A6"/>
      <w:spacing w:val="15"/>
      <w:kern w:val="2"/>
      <w:sz w:val="28"/>
      <w:szCs w:val="28"/>
      <w:lang w:val="es-ES" w:eastAsia="en-US"/>
      <w14:ligatures w14:val="standardContextual"/>
    </w:rPr>
  </w:style>
  <w:style w:type="character" w:customStyle="1" w:styleId="SubttuloCar">
    <w:name w:val="Subtítulo Car"/>
    <w:basedOn w:val="Fuentedeprrafopredeter"/>
    <w:link w:val="Subttulo"/>
    <w:uiPriority w:val="11"/>
    <w:rsid w:val="004B15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B1564"/>
    <w:pPr>
      <w:spacing w:before="160" w:after="160" w:line="259" w:lineRule="auto"/>
      <w:jc w:val="center"/>
    </w:pPr>
    <w:rPr>
      <w:rFonts w:asciiTheme="minorHAnsi" w:eastAsiaTheme="minorHAnsi" w:hAnsiTheme="minorHAnsi" w:cstheme="minorBidi"/>
      <w:i/>
      <w:iCs/>
      <w:snapToGrid/>
      <w:color w:val="404040" w:themeColor="text1" w:themeTint="BF"/>
      <w:kern w:val="2"/>
      <w:sz w:val="22"/>
      <w:szCs w:val="22"/>
      <w:lang w:val="es-ES" w:eastAsia="en-US"/>
      <w14:ligatures w14:val="standardContextual"/>
    </w:rPr>
  </w:style>
  <w:style w:type="character" w:customStyle="1" w:styleId="CitaCar">
    <w:name w:val="Cita Car"/>
    <w:basedOn w:val="Fuentedeprrafopredeter"/>
    <w:link w:val="Cita"/>
    <w:uiPriority w:val="29"/>
    <w:rsid w:val="004B1564"/>
    <w:rPr>
      <w:i/>
      <w:iCs/>
      <w:color w:val="404040" w:themeColor="text1" w:themeTint="BF"/>
    </w:rPr>
  </w:style>
  <w:style w:type="paragraph" w:styleId="Prrafodelista">
    <w:name w:val="List Paragraph"/>
    <w:basedOn w:val="Normal"/>
    <w:uiPriority w:val="34"/>
    <w:qFormat/>
    <w:rsid w:val="004B1564"/>
    <w:pPr>
      <w:spacing w:after="160" w:line="259" w:lineRule="auto"/>
      <w:ind w:left="720"/>
      <w:contextualSpacing/>
    </w:pPr>
    <w:rPr>
      <w:rFonts w:asciiTheme="minorHAnsi" w:eastAsiaTheme="minorHAnsi" w:hAnsiTheme="minorHAnsi" w:cstheme="minorBidi"/>
      <w:snapToGrid/>
      <w:kern w:val="2"/>
      <w:sz w:val="22"/>
      <w:szCs w:val="22"/>
      <w:lang w:val="es-ES" w:eastAsia="en-US"/>
      <w14:ligatures w14:val="standardContextual"/>
    </w:rPr>
  </w:style>
  <w:style w:type="character" w:styleId="nfasisintenso">
    <w:name w:val="Intense Emphasis"/>
    <w:basedOn w:val="Fuentedeprrafopredeter"/>
    <w:uiPriority w:val="21"/>
    <w:qFormat/>
    <w:rsid w:val="004B1564"/>
    <w:rPr>
      <w:i/>
      <w:iCs/>
      <w:color w:val="0F4761" w:themeColor="accent1" w:themeShade="BF"/>
    </w:rPr>
  </w:style>
  <w:style w:type="paragraph" w:styleId="Citadestacada">
    <w:name w:val="Intense Quote"/>
    <w:basedOn w:val="Normal"/>
    <w:next w:val="Normal"/>
    <w:link w:val="CitadestacadaCar"/>
    <w:uiPriority w:val="30"/>
    <w:qFormat/>
    <w:rsid w:val="004B156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snapToGrid/>
      <w:color w:val="0F4761" w:themeColor="accent1" w:themeShade="BF"/>
      <w:kern w:val="2"/>
      <w:sz w:val="22"/>
      <w:szCs w:val="22"/>
      <w:lang w:val="es-ES" w:eastAsia="en-US"/>
      <w14:ligatures w14:val="standardContextual"/>
    </w:rPr>
  </w:style>
  <w:style w:type="character" w:customStyle="1" w:styleId="CitadestacadaCar">
    <w:name w:val="Cita destacada Car"/>
    <w:basedOn w:val="Fuentedeprrafopredeter"/>
    <w:link w:val="Citadestacada"/>
    <w:uiPriority w:val="30"/>
    <w:rsid w:val="004B1564"/>
    <w:rPr>
      <w:i/>
      <w:iCs/>
      <w:color w:val="0F4761" w:themeColor="accent1" w:themeShade="BF"/>
    </w:rPr>
  </w:style>
  <w:style w:type="character" w:styleId="Referenciaintensa">
    <w:name w:val="Intense Reference"/>
    <w:basedOn w:val="Fuentedeprrafopredeter"/>
    <w:uiPriority w:val="32"/>
    <w:qFormat/>
    <w:rsid w:val="004B1564"/>
    <w:rPr>
      <w:b/>
      <w:bCs/>
      <w:smallCaps/>
      <w:color w:val="0F4761" w:themeColor="accent1" w:themeShade="BF"/>
      <w:spacing w:val="5"/>
    </w:rPr>
  </w:style>
  <w:style w:type="paragraph" w:styleId="Encabezado">
    <w:name w:val="header"/>
    <w:basedOn w:val="Normal"/>
    <w:link w:val="EncabezadoCar"/>
    <w:uiPriority w:val="99"/>
    <w:unhideWhenUsed/>
    <w:rsid w:val="004B1564"/>
    <w:pPr>
      <w:tabs>
        <w:tab w:val="center" w:pos="4252"/>
        <w:tab w:val="right" w:pos="8504"/>
      </w:tabs>
    </w:pPr>
  </w:style>
  <w:style w:type="character" w:customStyle="1" w:styleId="EncabezadoCar">
    <w:name w:val="Encabezado Car"/>
    <w:basedOn w:val="Fuentedeprrafopredeter"/>
    <w:link w:val="Encabezado"/>
    <w:uiPriority w:val="99"/>
    <w:rsid w:val="004B1564"/>
    <w:rPr>
      <w:rFonts w:ascii="Times New Roman" w:eastAsia="Times New Roman" w:hAnsi="Times New Roman" w:cs="Times New Roman"/>
      <w:snapToGrid w:val="0"/>
      <w:kern w:val="0"/>
      <w:sz w:val="20"/>
      <w:szCs w:val="20"/>
      <w:lang w:val="es-ES_tradnl" w:eastAsia="es-ES"/>
      <w14:ligatures w14:val="none"/>
    </w:rPr>
  </w:style>
  <w:style w:type="paragraph" w:styleId="Piedepgina">
    <w:name w:val="footer"/>
    <w:basedOn w:val="Normal"/>
    <w:link w:val="PiedepginaCar"/>
    <w:uiPriority w:val="99"/>
    <w:unhideWhenUsed/>
    <w:rsid w:val="004B1564"/>
    <w:pPr>
      <w:tabs>
        <w:tab w:val="center" w:pos="4252"/>
        <w:tab w:val="right" w:pos="8504"/>
      </w:tabs>
    </w:pPr>
  </w:style>
  <w:style w:type="character" w:customStyle="1" w:styleId="PiedepginaCar">
    <w:name w:val="Pie de página Car"/>
    <w:basedOn w:val="Fuentedeprrafopredeter"/>
    <w:link w:val="Piedepgina"/>
    <w:uiPriority w:val="99"/>
    <w:rsid w:val="004B1564"/>
    <w:rPr>
      <w:rFonts w:ascii="Times New Roman" w:eastAsia="Times New Roman" w:hAnsi="Times New Roman" w:cs="Times New Roman"/>
      <w:snapToGrid w:val="0"/>
      <w:kern w:val="0"/>
      <w:sz w:val="20"/>
      <w:szCs w:val="2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1625</Words>
  <Characters>8942</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Diez Foronda, Carlos</dc:creator>
  <cp:keywords/>
  <dc:description/>
  <cp:lastModifiedBy>Baños Gonzalez, Almudena</cp:lastModifiedBy>
  <cp:revision>9</cp:revision>
  <cp:lastPrinted>2026-03-31T07:01:00Z</cp:lastPrinted>
  <dcterms:created xsi:type="dcterms:W3CDTF">2026-03-27T13:09:00Z</dcterms:created>
  <dcterms:modified xsi:type="dcterms:W3CDTF">2026-04-30T07:45:00Z</dcterms:modified>
</cp:coreProperties>
</file>