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66E82" w14:textId="77777777" w:rsidR="0003627C" w:rsidRPr="00A54BC3" w:rsidRDefault="0003627C" w:rsidP="0003627C">
      <w:pPr>
        <w:spacing w:before="100" w:beforeAutospacing="1" w:after="100" w:afterAutospacing="1"/>
        <w:ind w:left="708" w:hanging="708"/>
        <w:jc w:val="both"/>
        <w:rPr>
          <w:rFonts w:ascii="Arial" w:hAnsi="Arial" w:cs="Arial"/>
          <w:b/>
          <w:bCs/>
        </w:rPr>
      </w:pPr>
      <w:r w:rsidRPr="00A54BC3">
        <w:rPr>
          <w:rFonts w:ascii="Arial" w:eastAsia="Arial" w:hAnsi="Arial" w:cs="Arial"/>
          <w:b/>
          <w:bCs/>
          <w:lang w:val="eu-ES" w:eastAsia="es-ES"/>
        </w:rPr>
        <w:t xml:space="preserve">TRANTSIZIO EKOLOGIKORAKO ETA ERRONKA DEMOGRAFIKORAKO MINISTERIOAREN ETA ARABAKO FORU ALDUNDIAREN ARTEKO HITZARMENA, LURRALDE BERRIKUNTZAKO ZENTROA GARATZEKO </w:t>
      </w:r>
    </w:p>
    <w:p w14:paraId="345A5269"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 xml:space="preserve">Madrilen eta Araban, sinadura elektronikoaren datan </w:t>
      </w:r>
    </w:p>
    <w:p w14:paraId="0818502D" w14:textId="77777777" w:rsidR="0003627C" w:rsidRPr="00A54BC3" w:rsidRDefault="0003627C" w:rsidP="0003627C">
      <w:pPr>
        <w:spacing w:before="100" w:beforeAutospacing="1" w:after="100" w:afterAutospacing="1"/>
        <w:jc w:val="center"/>
        <w:rPr>
          <w:rFonts w:ascii="Arial" w:hAnsi="Arial" w:cs="Arial"/>
        </w:rPr>
      </w:pPr>
      <w:r w:rsidRPr="00A54BC3">
        <w:rPr>
          <w:rFonts w:ascii="Arial" w:eastAsia="Arial" w:hAnsi="Arial" w:cs="Arial"/>
          <w:lang w:val="eu-ES" w:eastAsia="es-ES"/>
        </w:rPr>
        <w:t>BILDU DIRENAK</w:t>
      </w:r>
    </w:p>
    <w:p w14:paraId="27C89382"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Alde batetik, Ana de los Ángeles Marín Andreu andrea, Despopulazioaren aurkako Politiken Zuzendaritza Nagusiko arduraduna, urtarrilaren 16ko 70/2024 Errege Dekretu bidez izendatutakoa, Trantsizio Ekologikorako eta Erronka Demografikorako Ministerioaren izenean eta ordezkari moduan jarduten duena, maiatzaren 20ko TED/533/2021 aginduan, eskumenen eskuordetzeari buruzkoan, ezarritakoaren arabera.</w:t>
      </w:r>
    </w:p>
    <w:p w14:paraId="54CFAECD"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Bestetik, Ramiro Gonzalez Vicente, Arabako Diputatu Nagusia, Arabako Batzar Nagusiek 2023ko ekainaren 29ko osoko bilkuran hartutako erabakiaren bidez izendatutakoa, hitzarmenak sinatzeko eskumenak dituena, martxoaren 15eko 10/2023 Foru Arauak, gobernu,  antolaketa eta araubide juridikoari buruzkoak, 8. artikuluan ezarritakoaren arabera, sinatzen duen Aldundiaren arduraduna dena.</w:t>
      </w:r>
    </w:p>
    <w:p w14:paraId="3E71E0BD"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Alderdiek, esku hartzen duten izaeran, ziurtatzen dute jarduten dituzten ordezkaritzak indarrean daudela, eta elkarri aitortzen diote hitzarmen hau sinatzeko legezko gaitasun nahikoa eta beharrezkoa dutela. Xede horretarako, honako hau</w:t>
      </w:r>
    </w:p>
    <w:p w14:paraId="31C78C93" w14:textId="77777777" w:rsidR="0003627C" w:rsidRPr="00A54BC3" w:rsidRDefault="0003627C" w:rsidP="0003627C">
      <w:pPr>
        <w:spacing w:before="100" w:beforeAutospacing="1" w:after="100" w:afterAutospacing="1"/>
        <w:jc w:val="center"/>
        <w:rPr>
          <w:rFonts w:ascii="Arial" w:hAnsi="Arial" w:cs="Arial"/>
        </w:rPr>
      </w:pPr>
      <w:r w:rsidRPr="00A54BC3">
        <w:rPr>
          <w:rFonts w:ascii="Arial" w:eastAsia="Arial" w:hAnsi="Arial" w:cs="Arial"/>
          <w:lang w:val="eu-ES" w:eastAsia="es-ES"/>
        </w:rPr>
        <w:t>ADIERAZTEN DUTE</w:t>
      </w:r>
    </w:p>
    <w:p w14:paraId="4F68BC0B"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I. Azken urteetan eraldaketa demografikoak gertatzen ari dira, eta horrek ondorio sozioekonomiko nabarmenak izan ditu Espainiako gizartean. Bereziki, garrantzi berezia dute biztanleria lurraldean banatzeko prozesuek, izan ere, biztanleak hiri handien inguruan pilatzeko eta galtzeko joera izateaz gain, lurraldeko zati handi batean despopulazioa gertatzeko arriskua ere badute. Horrez gain, despopulazioa handiagoa izan den lurralde horietan, biztanleak proportzionalki hiri eremuetan baino zahartuago daude, eta gizon gehiago daude emakume baino. Demografia aldaketa horiek nabarmenak dira, lurralde horiek ekonomia eta gizarte arloan garatzeko dituzten aukeretan eragin dezaketelako, eta beraz, herritarren ongizatean eta bizi kalitatean.</w:t>
      </w:r>
    </w:p>
    <w:p w14:paraId="0002C745"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Egoera horri aurre egiteko, gai horren inguruan egiten ari diren gizarte eta politika ekimenen arabera, ezinbestekoa da askotariko ekimenak, baliabideak eta bitartekoak ematen laguntzen duten ekintza adostuak egitea. Horretarako, lankidetza prozesu egonkorra egin beharko litzateke, hartzen ari diren neurriak arrakasta izan dezatela bermatzeko.</w:t>
      </w:r>
    </w:p>
    <w:p w14:paraId="05A34A4F"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 xml:space="preserve">II. “Landa inguruneko lurralde berrikuntzari buruzko Somiedoko adierazpenak”, 2023ko otsailaren 10ean onartu zenak, lurraldeari aplikatutako berrikuntzaren balioa aitortu zuen, tokiko ezagutzan, ezagutza zientifiko eta teknikoan oinarritzen den aldaketa prozesu bat gisa hartuta. Horrela, lurraldeko gizarte, ekonomia, ekologia eta kultura baldintzak hobetzea da helburua. Lurralde Berrikuntzaren kontzeptua paradigma berria da, landa lurraldeek aurrera egin dezaten, eta egiturazko eragozpenetako batzuk gaindi </w:t>
      </w:r>
      <w:r w:rsidRPr="00A54BC3">
        <w:rPr>
          <w:rFonts w:ascii="Arial" w:eastAsia="Arial" w:hAnsi="Arial" w:cs="Arial"/>
          <w:lang w:val="eu-ES" w:eastAsia="es-ES"/>
        </w:rPr>
        <w:lastRenderedPageBreak/>
        <w:t>ditzaten. Horien artean eta oso bereziki, despopulazioa, ingurunea eta paisaia osatzen duten jarduerak uztea, aukera falta, zenbait zerbitzu eskuratzeko zailtasunak, gizarte eta lurralde kohesio gabeziak. Era berean, landa lurraldeen berezko ekonomia jarduera sortzen eta biztanleentzako etorkizuna eraikitzen lagundu behar dute. Lurralde Berrikuntzaren kontzeptu horretatik datozen Lurralde Berrikuntzako Zentroak, beraz, normalean probintzia esparrukoak diren eremu estrategiko gisa eratu behar dira, lankidetza ekosistema gisa. Hor, ekimen berritzaileak garatu behar dituzte, husten ari diren landa lurraldeak suspertzen lagun dezaten. Zentro horiek lurraldean txertatzeko, eta gure landa eremuan garatzen ari diren ekimenez eta proiektuez elikatzeko bokazioa dute. Horrela, gure herrien talentua sustatzen dute.</w:t>
      </w:r>
    </w:p>
    <w:p w14:paraId="64665A91"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III. Maiatzaren 21eko 503/2024 Errege Dekretuak, Trantsizio Ekologikorako eta Erronka Demografikorako Ministerioaren oinarrizko egitura organikoa garatzen duenak, eta abenduaren 5eko 1009/2023 Errege Dekretua, ministerioetako sailen oinarrizko egitura organikoa ezartzen duena, aldatzen duenak, 1. artikuluan, Gobernuak erronka demografikoari aurre egiteko estrategia eta politika</w:t>
      </w:r>
      <w:r w:rsidRPr="00A54BC3">
        <w:rPr>
          <w:rFonts w:ascii="Arial" w:eastAsia="Arial" w:hAnsi="Arial" w:cs="Arial"/>
          <w:color w:val="000000"/>
          <w:shd w:val="clear" w:color="auto" w:fill="FFFFFF"/>
          <w:lang w:val="eu-ES" w:eastAsia="es-ES"/>
        </w:rPr>
        <w:t xml:space="preserve"> </w:t>
      </w:r>
      <w:r w:rsidRPr="00A54BC3">
        <w:rPr>
          <w:rFonts w:ascii="Arial" w:eastAsia="Arial" w:hAnsi="Arial" w:cs="Arial"/>
          <w:lang w:val="eu-ES" w:eastAsia="es-ES"/>
        </w:rPr>
        <w:t>egiteko eta garatzeko ardura ematen dio Trantsizio Ekologikorako eta Erronka Demografikorako Ministerioari; baita despopulazioaren aurka borrokatzeko politika proposatzea eta gauzatzea ere. Halaber, Erronka Demografikorako Idazkaritza Nagusiak besteak beste, inbertsioa, enplegu aukerak, ekonomia dibertsifikazioa eta garapena sustatu behar ditu, ministerioko beste sailen eskumenei kalterik egin gabe. Kasu honetan, helburua da despopulazioak eragindako eremuetan egitura sozioekonomikoa indartzea.</w:t>
      </w:r>
    </w:p>
    <w:p w14:paraId="45AD583F"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 xml:space="preserve">IV. Abian jarritako bestelako ekimenen artean, hitzarmen honen xedeetarako, Gobernuak Erronka Demografikoaren aurrean hartutako neurrien plana nabarmentzen da. Plan hori, Erronka Demografikorako Gobernuaren Ordezko Batzordeak onetsi zuen 2021eko martxoaren 16an. Planak dio gobernu maila desberdinei dagokiela demografikoki babesgabeak diren eremuen ekonomia suspertzea eta eraldatzea, berariazko politikak ezarriz, eta bereziki, jadanik dauden edo gerora sor daitezkeen ekimen ekintzaile eta berritzaileetan lagunduz. Batzuetan, suspertze politiken bidez, eta beste batzuetan, zuzenean laguntzeko neurriekin, eragile ekonomikoen jardueretan lagunduz, edo lurralde babesgabeen dinamika ekonomikoa indarberritzen duten jarduera berriak garatzeko aukera ematen duten baldintza objektiboak sortuz.  </w:t>
      </w:r>
    </w:p>
    <w:p w14:paraId="261F3504" w14:textId="77777777" w:rsidR="0003627C" w:rsidRPr="00A54BC3" w:rsidRDefault="0003627C" w:rsidP="0003627C">
      <w:pPr>
        <w:spacing w:before="100" w:beforeAutospacing="1" w:after="100" w:afterAutospacing="1"/>
        <w:jc w:val="both"/>
        <w:rPr>
          <w:rFonts w:ascii="Arial" w:hAnsi="Arial" w:cs="Arial"/>
          <w:strike/>
        </w:rPr>
      </w:pPr>
      <w:r w:rsidRPr="00A54BC3">
        <w:rPr>
          <w:rFonts w:ascii="Arial" w:eastAsia="Arial" w:hAnsi="Arial" w:cs="Arial"/>
          <w:lang w:val="eu-ES" w:eastAsia="es-ES"/>
        </w:rPr>
        <w:t>Horrela, 3. Ardatzean, lurraldeko garapenari eta berrikuntzari buruzkoan, lurralde berrikuntzako zentroen sare bat (LBZ sarea) garatzeko neurrian barne hartzen da. Zentro horiekin elkarlanean aritzen dira, eta ekintzailetza ekimenak garatzen lagundu ez ezik, proiektuak diseinatu eta gauzatu ere egiten dituzte. Sarea sortzearen helburua da elkarlaneko lan metodologia sistemikoa ezartzea, lurralde berrikuntza horretan laguntzen duten estrategiak hobetuko dituenak. Sarearen eginkizuna da proiektu berritzaileak dinamizatzea, koordinatzea eta bultzatzea, zein lurralde zentroen artean sinergiak sor daitezela sustatzea. LBZ Sare horren funtsezko zati gisa gune nagusi bat sortu da, eta haren eginkizuna da landa garapeneko ekosistemen sareko lan hori erraztea, proiektu berritzaile horiek dinamizatzea, koordinatzea eta bultzatzea, eta lurralde zentroen artean sinergiak sor daitezela sustatzea. Bere helburua da jardunbide egokiak eta esperientzia arrakastatsuak trukatzen laguntzea, eta horretarako, berrikuntza eta eraldaketa irtenbide kolektiboak sustatzen ditu, lurralde osoan ekonomia garapen jasangarria bultzatzen jarrai dezaten.</w:t>
      </w:r>
    </w:p>
    <w:p w14:paraId="1641A2E9"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lastRenderedPageBreak/>
        <w:t>Horrez gain, 2021eko ekainaren 30ean, Europako Batzordeak bere jakinarazpena (“Epe luzerako ikuspegia EBko landa eremuetarako: 2040 baino lehen landa eremu sendoago, lotuago, erresilienteago eta oparoagoen alde”) eman zien Europako Parlamentuari, Kontseiluari, Europako eta Gizarte Komiteari eta Eskualdeen Batzordeari. Jakinarazpen hori, lau oinarri nagusitan egituratuta dago: landa komunitateak indartzea, konektagarritasuna, erresilientzia eta oparotasuna. LBZ Sarearen ekimena bat dator ikuspegi horrekin, eta haien Zentroak katalizatzaile gisa aritzen dira, landa eremuetan berrikuntza eta garapen jasangarria sustatzeko.</w:t>
      </w:r>
    </w:p>
    <w:p w14:paraId="6F1390EB"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V. Arabako Foru Aldundiaren gobernu helburuetako bat da Arabako Lurralde Historikoan lurralde oreka bilatzea, eta horretarako, hainbat programa, zerbitzu eta baliabide jartzen ditu abian. Bere 2023-2027 Gobernu Planaren barruan, hainbat ekimenen helburua da erronka demografikoari aurre egitea, landa inguruneetan bereziki, askotariko esparruetan (ekonomia, hirigintza, ingurumena, gizartea eta abar) esku hartzea kontuan hartzen duen ikuspegi holistiko eta zeharkakoarekin. Horrela, Arabako Foru Aldundiak azken urteetan zenbait politika garatu ditu, Arabako Lurralde Historikoan lurralde oreka lortzeko eta landa ingurunean berrikuntza sustatzeko, landa esparruan biztanleria finkatzeko eta ekonomia jarduera sortzeko hain zuzen ere. Politika horien barruan, bestelako jarduketen artean dago Kuartangoko Udalarekin duen lankidetza, “Kuartango Lab” proiektua sustatzeko, azken urteetan garatzen ari den landa berrikuntza sustatzeko ekimen gisa.</w:t>
      </w:r>
    </w:p>
    <w:p w14:paraId="5CAB8420"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highlight w:val="white"/>
          <w:lang w:val="eu-ES" w:eastAsia="es-ES"/>
        </w:rPr>
        <w:t xml:space="preserve">VI. </w:t>
      </w:r>
      <w:r w:rsidRPr="00A54BC3">
        <w:rPr>
          <w:rFonts w:ascii="Arial" w:eastAsia="Arial" w:hAnsi="Arial" w:cs="Arial"/>
          <w:lang w:val="eu-ES" w:eastAsia="es-ES"/>
        </w:rPr>
        <w:t>40/2015 Legeak, urriaren 1ekoak, Sektore Publikoaren Araubide Juridikoarenak, 48. artikuluan ezartzen du Administrazio publikoek eta haien mendeko organismo publikoek, zeinek bere eskumenen barruan, hitzarmenak sinatu ahalko dituztela zuzenbide publikoko subjektuekin. Horien bidez, kudeaketa publikoaren efizientzia hobetu beharko da, bitarteko eta zerbitzu publikoen baterako erabilera erraztu, erabilgarritasun publikoko jarduerak egin daitezen lagundu, eta aurrekontu egonkortasunerako eta finantza jasangarritasunerako legeria bete.</w:t>
      </w:r>
    </w:p>
    <w:p w14:paraId="3AF8AA19"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VII. Dagozkien eskumenen barruan, eta azaldutako lan ildoen artean dagoen bateratasun maila handia kontuan hartuz, erabaki dute Araban Lurralde Berrikuntzako Zentro (LBZ) bat eratu eta abian jar dadila bultzatzea elkarrekin, lurraldeko berrikuntza zentroen sare bat zabaltzeko helburua duen proiektu gisa. Zentro horiek elkarrekin lotuta lan egingo dute, eta udalerri txikietan, landa eremuetan eta gainbehera demografikoan dauden eremuetan ekimenak garatzen eta ekintzailetza proiektuak diseinatzen eta gauzatzen lagunduko dute.</w:t>
      </w:r>
    </w:p>
    <w:p w14:paraId="70A25F30"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Horrela, LBZk helburu bikoitza du: alde batetik, deskribatutako egoerek eragiten dituzten eskualdeko eremuetan egitura sozioekonomikoa dinamizatzea, besteak beste, lankidetzan, adimen kolektiboan eta gizarte berrikuntzan oinarrituz; bestetik, ezagutza eta esperientzia ematea, halako ekimenak ezartzeko eredua sortzen lagun dezaten, beste lurralde batzuetan kopia daitekeen estrategia bat identifikatuz, betiere haien berezitasunetara egokituta. Lurralde Berrikuntzako Zentroen helburuak bat datoz Erronkoa Demografikorako estatu politikarekin, eta hauek dira: landa egitura sozioekonomikoa dinamizatzea; erronka demografikoen alde lan egitea, lurraldean dauden eragileei lagunduz; landa inguruneetan bizi diren pertsonen bizi kalitatea hobetzea; talentua atxikitzea eta erakartzea; ekintzailetza garatzea eta lurralde ekitatea bilatzea.</w:t>
      </w:r>
    </w:p>
    <w:p w14:paraId="202ABA09"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lastRenderedPageBreak/>
        <w:t>Horrela, Lurralde Berrikuntzako Zentroak lurraldean txertatzeko, landa ingurunean garatzen ari diren ekimenez eta proiektuez elikatzeko bokazioa du, eta horretarako, bertako baliabideak erabiltzen dituzte, bertako talentua sustatu eta kanpokoa erakartzen dute, eta LBZ Sarearen proiektu orokorrarekin bat egiten dute. Azken finean, ziur daude Lurralde Berrikuntzako Zentroen Sare hori lurralde berrikuntzak bere ahalmen guztia hedatzeko balio nagusia dela.</w:t>
      </w:r>
    </w:p>
    <w:p w14:paraId="222FC004"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VIII. Lurralde Berrikuntzako Zentroen sareak gune nagusia du, CIT MITECO CIUDEN hain zuzen, Lurralde Berrikuntzako Zentroen Sarearen (LBZ SAREA) koordinazio eta kudeaketa zentro gisa jarduten duena. Gune horren funtzionamendua Trantsizio Ekologikorako eta Erronka Demografikorako Ministerioak (MITECO) eta CIUDEN-Ciudad de la Energía Fundazioak 2023ko azaroaren 13an sinatu zuten hitzarmenean ezarri zen (ebazpena 2023ko azaroaren 23ko BOEn argitaratu zen).</w:t>
      </w:r>
    </w:p>
    <w:p w14:paraId="1CE61DA4"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Gune hori, LBZ Sarea osatzen duten zentroek bultzatutako jarduketak lurraldean adosteko tresna gisa erabiltzen da.  Gune koordinatzailea izan behar du, Lurralde Berrikuntza Zentroen sarea zabaldu eta heda dadin sustatuz, baterako ekimenen garapenean lagunduz, eta gainbehera demografikoan dauden eremuetan ekintzailetza proiektuak diseinatuz eta gauzatuz. Jardunbide egokiak eta esperientzia arrakastatsuak trukatzen laguntzen duen bideratzaile gisa jarduten du. Elkarlaneko ingurune antolatua sortu eta dinamizatzen du, ikuspegi berritzailea erabiliz, beste aukera batzuk sortzeko. Bestalde, berrikuntza eraldatzailerako irtenbide sistemikoak sustatu eta ekonomia garapen jasangarria sustatzen ditu lurraldean.</w:t>
      </w:r>
    </w:p>
    <w:p w14:paraId="430BDB4B"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IX. Proiektua gauzatzeko, alderdiek oinarrizkotzat jotzen dute udalek eta tokiko erakundeek; eskualdeko elkarte profesional eta enpresarialek; Tokiko Ekintza Taldeek eta Landa Garapeneko Taldeek; eta gizarte zibilaren, ikerketaren eta garapenaren ordezkariak diren bertako eragileek parte hartzea. Hauexek dira helburuak: lurraldeko gizarte eragile publiko eta pribatu esanguratsuenen artean aliantza estrategikoak sortzea, eta berrikuntza eredu batean gizarte kohesioa eta lan kolektiboa sustatzea.</w:t>
      </w:r>
    </w:p>
    <w:p w14:paraId="38E8A75C"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Metodo parte-hartzaile eta sistemiko hori ezinbestekotzat jotzen da bultzatuko diren aldaketen eta hobekuntzen norabidea adosteko, eta beharrezkoak diren jarduketak edota proiektuak elkarlanean definitzeko. Azken batean, helburua da norabide egokian aurrea egitea, berrikuntza arlo guztietan sustatuz, eta bektore nagusiak lerrokatuz, berrikuntza horrek dinamika sozioekonomikoak eta lan, kultura eta prestakuntza arloko dinamikak barne har ditzan. Izan ere, funtsezkoak dira jarduketen emaitzak hobetzeko, eta denboran zehar eusten dioten beharrezko aldaketa sistemikoak sortzeko.</w:t>
      </w:r>
    </w:p>
    <w:p w14:paraId="50694977" w14:textId="77777777" w:rsidR="0003627C" w:rsidRPr="00A54BC3" w:rsidRDefault="0003627C" w:rsidP="0003627C">
      <w:pPr>
        <w:pStyle w:val="Default"/>
        <w:spacing w:before="100" w:beforeAutospacing="1" w:after="100" w:afterAutospacing="1"/>
        <w:jc w:val="both"/>
        <w:rPr>
          <w:color w:val="auto"/>
          <w:sz w:val="22"/>
          <w:szCs w:val="22"/>
        </w:rPr>
      </w:pPr>
      <w:r w:rsidRPr="00A54BC3">
        <w:rPr>
          <w:rFonts w:eastAsia="Arial"/>
          <w:color w:val="auto"/>
          <w:sz w:val="22"/>
          <w:szCs w:val="22"/>
          <w:lang w:val="eu-ES"/>
        </w:rPr>
        <w:t>Horren ondorioz, alderdiek hitzarmen hau egitea erabaki dute. Hauek izango dira</w:t>
      </w:r>
    </w:p>
    <w:p w14:paraId="72343A49" w14:textId="77777777" w:rsidR="0003627C" w:rsidRPr="00A54BC3" w:rsidRDefault="0003627C" w:rsidP="0003627C">
      <w:pPr>
        <w:pStyle w:val="Default"/>
        <w:spacing w:before="100" w:beforeAutospacing="1" w:after="100" w:afterAutospacing="1"/>
        <w:jc w:val="center"/>
        <w:rPr>
          <w:color w:val="auto"/>
          <w:sz w:val="22"/>
          <w:szCs w:val="22"/>
        </w:rPr>
      </w:pPr>
      <w:r w:rsidRPr="00A54BC3">
        <w:rPr>
          <w:rFonts w:eastAsia="Arial"/>
          <w:color w:val="auto"/>
          <w:sz w:val="22"/>
          <w:szCs w:val="22"/>
          <w:lang w:val="eu-ES"/>
        </w:rPr>
        <w:t>KLAUSULAK</w:t>
      </w:r>
    </w:p>
    <w:p w14:paraId="58ACFD7A" w14:textId="77777777" w:rsidR="0003627C" w:rsidRPr="00A54BC3" w:rsidRDefault="0003627C" w:rsidP="0003627C">
      <w:pPr>
        <w:pStyle w:val="Default"/>
        <w:spacing w:before="100" w:beforeAutospacing="1" w:after="100" w:afterAutospacing="1"/>
        <w:rPr>
          <w:color w:val="auto"/>
          <w:sz w:val="22"/>
          <w:szCs w:val="22"/>
        </w:rPr>
      </w:pPr>
      <w:r w:rsidRPr="00A54BC3">
        <w:rPr>
          <w:rFonts w:eastAsia="Arial"/>
          <w:b/>
          <w:bCs/>
          <w:color w:val="auto"/>
          <w:sz w:val="22"/>
          <w:szCs w:val="22"/>
          <w:lang w:val="eu-ES"/>
        </w:rPr>
        <w:t>Lehenengoa.</w:t>
      </w:r>
      <w:r w:rsidRPr="00A54BC3">
        <w:rPr>
          <w:rFonts w:eastAsia="Arial"/>
          <w:color w:val="auto"/>
          <w:sz w:val="22"/>
          <w:szCs w:val="22"/>
          <w:lang w:val="eu-ES"/>
        </w:rPr>
        <w:t xml:space="preserve"> </w:t>
      </w:r>
      <w:r w:rsidRPr="00A54BC3">
        <w:rPr>
          <w:rFonts w:eastAsia="Arial"/>
          <w:i/>
          <w:iCs/>
          <w:color w:val="auto"/>
          <w:sz w:val="22"/>
          <w:szCs w:val="22"/>
          <w:lang w:val="eu-ES"/>
        </w:rPr>
        <w:t>Xedea</w:t>
      </w:r>
      <w:r w:rsidRPr="00A54BC3">
        <w:rPr>
          <w:rFonts w:eastAsia="Arial"/>
          <w:color w:val="auto"/>
          <w:sz w:val="22"/>
          <w:szCs w:val="22"/>
          <w:lang w:val="eu-ES"/>
        </w:rPr>
        <w:t>.</w:t>
      </w:r>
    </w:p>
    <w:p w14:paraId="7F850E01"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Hitzarmen honen xedea da lankidetza esparru bat sortzea Trantsizio Ekologikorako eta Erronda Demografikorako Ministerioaren eta Arabako Foru Aldundiaren artean, lurralde honetan Lurralde Berrikuntzako Zentroaren garapena eta sendotzea elkarrekin bultzatzeko.</w:t>
      </w:r>
    </w:p>
    <w:p w14:paraId="2E7730A7" w14:textId="77777777" w:rsidR="0003627C" w:rsidRPr="00A54BC3" w:rsidRDefault="0003627C" w:rsidP="0003627C">
      <w:pPr>
        <w:spacing w:before="100" w:beforeAutospacing="1" w:after="100" w:afterAutospacing="1"/>
        <w:jc w:val="both"/>
        <w:rPr>
          <w:rFonts w:ascii="Arial" w:hAnsi="Arial" w:cs="Arial"/>
          <w:lang w:val="x-none"/>
        </w:rPr>
      </w:pPr>
      <w:r w:rsidRPr="00A54BC3">
        <w:rPr>
          <w:rFonts w:ascii="Arial" w:eastAsia="Arial" w:hAnsi="Arial" w:cs="Arial"/>
          <w:lang w:val="eu-ES" w:eastAsia="es-ES"/>
        </w:rPr>
        <w:lastRenderedPageBreak/>
        <w:t>Horrela, Lurralde Berrikuntzako Zentroa lurralde kontzertaziorako eta interes sozial eta ekonomikoetarako tresna da, zeinek demografia zailtasun bereziak dituzten eremuetan berrikuntza eraldatzaileko irtenbide sistemikoak garatzea duten helburu.</w:t>
      </w:r>
    </w:p>
    <w:p w14:paraId="2D924CE9"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Hitzarmen honek alderdien arteko lankidetzarako baldintzak ezartzen ditu, Arabako Lurralde Berrikuntzako Zentroa sortu, garatu edota bilakatzeko jarduketak finantzatu eta gauza daitezen.</w:t>
      </w:r>
    </w:p>
    <w:p w14:paraId="609D631B"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b/>
          <w:bCs/>
        </w:rPr>
      </w:pPr>
      <w:r w:rsidRPr="00A54BC3">
        <w:rPr>
          <w:rFonts w:ascii="Arial" w:eastAsia="Arial" w:hAnsi="Arial" w:cs="Arial"/>
          <w:b/>
          <w:bCs/>
          <w:lang w:val="eu-ES" w:eastAsia="es-ES"/>
        </w:rPr>
        <w:t xml:space="preserve">Bigarrena. </w:t>
      </w:r>
      <w:r w:rsidRPr="00A54BC3">
        <w:rPr>
          <w:rFonts w:ascii="Arial" w:eastAsia="Arial" w:hAnsi="Arial" w:cs="Arial"/>
          <w:i/>
          <w:iCs/>
          <w:lang w:val="eu-ES" w:eastAsia="es-ES"/>
        </w:rPr>
        <w:t>Lurralde Berrikuntza Zentroak (LBZ).</w:t>
      </w:r>
    </w:p>
    <w:p w14:paraId="10EFE232"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 xml:space="preserve">Hauek dira LBZren helburuak: </w:t>
      </w:r>
    </w:p>
    <w:p w14:paraId="5DC55468"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 xml:space="preserve">Diagnostiko bat garatzea, indarrak eta ahuleziak antzemanez; helburuak finkatzea eta jarduketa estrategia bat garatzea helburu horiek lortzeko, lurralde bakoitzaren berezitasunetara egokituta. </w:t>
      </w:r>
    </w:p>
    <w:p w14:paraId="7643F51E"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Despopulazioa gertatu den eremuetan egitura sozioekonomikoa dinamizatzea, lankidetzan, adimen kolektiboan eta gizarte berrikuntzan oinarrituz.</w:t>
      </w:r>
    </w:p>
    <w:p w14:paraId="281F69D9"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Talentua sortzea, atxikitzea eta erakartzea, eta ekintzailetzari laguntzea.</w:t>
      </w:r>
    </w:p>
    <w:p w14:paraId="582C7DAD"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Lurraldean dauden eragile publiko eta pribatuekin elkarlanean aritzea, landa inguruneetan bizi diren pertsonen bizi kalitatea hobetzen duten proiektuak egitean.</w:t>
      </w:r>
    </w:p>
    <w:p w14:paraId="3DDE3981"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Lurralde oreka lortzen laguntzea despopulazioak gehien eragindako eremuetan edo populazio dentsitate txikiko eremuetan.</w:t>
      </w:r>
    </w:p>
    <w:p w14:paraId="1150D3AC"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 xml:space="preserve">Sarean lan egitea LBZ sareko gaineko zentroekin eta gune nagusiarekin batera, baliabideak hobeto partekatzeko, eta ikasitakoa eta jardunbide egokiak hedatzeko. </w:t>
      </w:r>
    </w:p>
    <w:p w14:paraId="64D51DBC"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LBZk zenbait jarduketa egin ahal izango ditu lurraldearen ezaugarri berezien arabera, eta horretarako, bertako eragileek parte hartuko dute, Somiedoko Adierazpenean identifikatutako berrikuntza esparruetatik abiatuz. Zehazki, LBZk esparru hauetan egin ahal izango ditu jarduketak:</w:t>
      </w:r>
    </w:p>
    <w:p w14:paraId="5EE2B499"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 xml:space="preserve">Lurraldearen diagnostikoa, indarrak eta ahuleziak antzemanez, garapenerako helburuak ezarriz, eta udalaz gaindiko lurralde estrategiak sortzen lagunduz. </w:t>
      </w:r>
    </w:p>
    <w:p w14:paraId="3A3742B9"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Tokiko eragileen mapa eta lankidetza publiko eta pribatua dinamizatzea eta bideratzea jarduera sozioekonomikoa sustatzen edo despopulazio arriskuan dauden lurraldeetan bizi kalitatea hobetzen duten ekimenetan.</w:t>
      </w:r>
    </w:p>
    <w:p w14:paraId="750797AF"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Ekintzailetzari laguntzeko jarduerak, horien artean elkarlaneko eremuak eta enpresa mintegiak.</w:t>
      </w:r>
    </w:p>
    <w:p w14:paraId="3F5304AB"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 xml:space="preserve">Talentua landa mundura hurbiltzeko ekimenetan laguntzea, hala nola unibertsitate praktiketako Campus </w:t>
      </w:r>
      <w:proofErr w:type="spellStart"/>
      <w:r w:rsidRPr="00A54BC3">
        <w:rPr>
          <w:rFonts w:ascii="Arial" w:eastAsia="Arial" w:hAnsi="Arial" w:cs="Arial"/>
          <w:lang w:val="eu-ES" w:eastAsia="es-ES"/>
        </w:rPr>
        <w:t>Rural</w:t>
      </w:r>
      <w:proofErr w:type="spellEnd"/>
      <w:r w:rsidRPr="00A54BC3">
        <w:rPr>
          <w:rFonts w:ascii="Arial" w:eastAsia="Arial" w:hAnsi="Arial" w:cs="Arial"/>
          <w:lang w:val="eu-ES" w:eastAsia="es-ES"/>
        </w:rPr>
        <w:t xml:space="preserve"> programa landa inguruneetan.</w:t>
      </w:r>
    </w:p>
    <w:p w14:paraId="6EE6E3C4"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 xml:space="preserve">Atzeraeraginezko berrikuntza proiektuak, toki bakoitzerako tokiko kulturaren eta teknika eta metodologia berrien artean elkarrizketa konbinatuz.  </w:t>
      </w:r>
    </w:p>
    <w:p w14:paraId="2ABCD9A1"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Berrikuntza teknologiko eta digitalizazio proiektuak, jarduera berriak landa ingurunean finkatzeko.</w:t>
      </w:r>
    </w:p>
    <w:p w14:paraId="29F5C00B"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 xml:space="preserve">Kultura berrikuntzako proiektuak, tokiaren kultura eta identitate ondarea kontserbatzeko.  </w:t>
      </w:r>
    </w:p>
    <w:p w14:paraId="53D53592"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Berrikuntza komunitarioko proiektuak, tokiaren balio materialaren eta immaterialaren gaineko kontzientzia kolektiboa sustatzea helburu dutenak.</w:t>
      </w:r>
    </w:p>
    <w:p w14:paraId="3574F822"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 xml:space="preserve">Berrikuntza ekologikoko proiektuak, komunitateak inguruneko kultura eta natura ondarea babesten parte hartu eta erantzukizuna izan dezan sustatzen dutenak, </w:t>
      </w:r>
      <w:r w:rsidRPr="00A54BC3">
        <w:rPr>
          <w:rFonts w:ascii="Arial" w:eastAsia="Arial" w:hAnsi="Arial" w:cs="Arial"/>
          <w:lang w:val="eu-ES" w:eastAsia="es-ES"/>
        </w:rPr>
        <w:lastRenderedPageBreak/>
        <w:t xml:space="preserve">ekologia, gizarte eta ekonomia arloko jasangarritasunaren oinarrizko helburu gisa. </w:t>
      </w:r>
    </w:p>
    <w:p w14:paraId="635FFEE0"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Besteak beste, gizarte berrikuntzako proiektuak eta lurraldeko adimen prozesuak sortzekoak; elkarlaneko gobernantza egiturak sortzen laguntzekoak; gazteei, emakumeei edo bereziki ahulak diren taldeei laguntzekoak; lurrraldean biztanle berriak erakartzeko eta laguntzekoak (enplegua edo etxebizitza bilatzeko laguntza barne); prestatzeko eta hedatzekoak; hala nola “silver economy” edo zainketen ekonomia bezalako sektoreetan aukerak baliatzekoak.</w:t>
      </w:r>
    </w:p>
    <w:p w14:paraId="74C1BEFF"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Prestakuntza eta gaikuntza jarduerak, jarduera sozioekonomikoa hedatzen eta indartzen laguntzen dutenak.</w:t>
      </w:r>
    </w:p>
    <w:p w14:paraId="47C944DB"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Tokiko erakundeei baliabideak, prestatzeko aukerak, eta Europako zein Estatuko laguntzak eta dirulaguntzak eskuratzen laguntzeko jarduerak.</w:t>
      </w:r>
    </w:p>
    <w:p w14:paraId="0F636818"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LBZk eta Sareak bultzatutako ekimenak eta proiektuak jakinarazteko eta ikusgai jartzeko jarduerak, baita lurraldeari eskainitako zerbitzuen katalogoa eta irtenbideak ere.</w:t>
      </w:r>
    </w:p>
    <w:p w14:paraId="739D0EB9"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Jardueren urteko txostena, garatutako lan, proiektu eta ekimen nagusiak jasotzen dituena, eta izan dezakeen erabilgarritasuna eta eragina ebaluatzen duena.</w:t>
      </w:r>
    </w:p>
    <w:p w14:paraId="6B4ABD46" w14:textId="77777777" w:rsidR="0003627C" w:rsidRPr="00A54BC3" w:rsidRDefault="0003627C" w:rsidP="0003627C">
      <w:pPr>
        <w:pStyle w:val="Prrafodelista"/>
        <w:numPr>
          <w:ilvl w:val="0"/>
          <w:numId w:val="28"/>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LZB sarearen helburuetan laguntzen duen beste edozein proiektu edo jarduera, eta hitzarmenaren helburuarekin bat datorrena.</w:t>
      </w:r>
    </w:p>
    <w:p w14:paraId="2D4C2031"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Egindako proiektuak sareko kideen artean heda daitezen arduratuko dira, web plataforma baten bidez, sare sozialetan profilak sortuko dira, eta sareko jarduerak jakinarazteko eta zabaltzeko beste modu batzuk bilatuko dira, proiektu arrakastatsuak eta lortutako ezagutzak beste lurralde batzuetan kopia daitezen.</w:t>
      </w:r>
    </w:p>
    <w:p w14:paraId="5C7BB1B8"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b/>
          <w:bCs/>
          <w:lang w:val="eu-ES" w:eastAsia="es-ES"/>
        </w:rPr>
        <w:t xml:space="preserve">Hirugarrena. </w:t>
      </w:r>
      <w:r w:rsidRPr="00A54BC3">
        <w:rPr>
          <w:rFonts w:ascii="Arial" w:eastAsia="Arial" w:hAnsi="Arial" w:cs="Arial"/>
          <w:i/>
          <w:iCs/>
          <w:lang w:val="eu-ES" w:eastAsia="es-ES"/>
        </w:rPr>
        <w:t>Lurralde Berrikuntzako Zentroen Sarea (LBZ Sarea)</w:t>
      </w:r>
    </w:p>
    <w:p w14:paraId="105DC959"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Alderdiek onartzen dute Lurralde Berrikuntzako Zentroa (LBZ) Trantsizio Ekologikorako eta Erronka Demografikorako Ministerioak bultzatutako Lurralde Berrikuntzako Zentroen Sarearen (LBZ Sarea) barruan geratzea, Trantsizio Ekologikorako eta Erronka Demografikorako Ministerioaren eta CIUDEN-Ciudad de la Energía Fundazioaren arteko hitzarmenaren bidez, LBZ Sarearen gune nagusia garatzeko helburuarekin.</w:t>
      </w:r>
    </w:p>
    <w:p w14:paraId="79020537"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LBZ hori, beraz, Saretik sortzen diren jarduera eta harremanetan txertatuko da, eta handik bultzatzen diren ekintza eta ekimenetan parte hartzeaz gain, bere ezagutzak ekarri eta proposamenak ere egingo ditu. Halaber, LBZ Sareak bere tresnak eta gaitasunak jarriko ditu Zentro horren eskura bere gunearen bidez, harreman ekosistema honetan parte hartzeak eskatzen duen ahalmenik handiena lortzen laguntzeko. Barne hartzen dira elkarlaneko plataforma digitala eta webgunea, Sarean egiten diren proiektuak eta jarduerak zabaltzeko.</w:t>
      </w:r>
    </w:p>
    <w:p w14:paraId="5D8EFD6C"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Hauek dira LBZ Sarearen helburuak:</w:t>
      </w:r>
    </w:p>
    <w:p w14:paraId="519D0E8C" w14:textId="77777777" w:rsidR="0003627C" w:rsidRPr="00A54BC3" w:rsidRDefault="0003627C" w:rsidP="0003627C">
      <w:pPr>
        <w:numPr>
          <w:ilvl w:val="0"/>
          <w:numId w:val="28"/>
        </w:numPr>
        <w:spacing w:before="100" w:beforeAutospacing="1" w:after="100" w:afterAutospacing="1" w:line="240" w:lineRule="auto"/>
        <w:jc w:val="both"/>
        <w:rPr>
          <w:rFonts w:ascii="Arial" w:hAnsi="Arial" w:cs="Arial"/>
        </w:rPr>
      </w:pPr>
      <w:r w:rsidRPr="00A54BC3">
        <w:rPr>
          <w:rFonts w:ascii="Arial" w:eastAsia="Arial" w:hAnsi="Arial" w:cs="Arial"/>
          <w:lang w:val="eu-ES" w:eastAsia="es-ES"/>
        </w:rPr>
        <w:t>Elkarlaneko gobernantza eredu bat bultzatzea, lurraldeari buruzko ezagutza trukatzeko.</w:t>
      </w:r>
    </w:p>
    <w:p w14:paraId="1143E36F" w14:textId="77777777" w:rsidR="0003627C" w:rsidRPr="00A54BC3" w:rsidRDefault="0003627C" w:rsidP="0003627C">
      <w:pPr>
        <w:numPr>
          <w:ilvl w:val="0"/>
          <w:numId w:val="28"/>
        </w:numPr>
        <w:spacing w:before="100" w:beforeAutospacing="1" w:after="100" w:afterAutospacing="1" w:line="240" w:lineRule="auto"/>
        <w:jc w:val="both"/>
        <w:rPr>
          <w:rFonts w:ascii="Arial" w:hAnsi="Arial" w:cs="Arial"/>
        </w:rPr>
      </w:pPr>
      <w:r w:rsidRPr="00A54BC3">
        <w:rPr>
          <w:rFonts w:ascii="Arial" w:eastAsia="Arial" w:hAnsi="Arial" w:cs="Arial"/>
          <w:lang w:val="eu-ES" w:eastAsia="es-ES"/>
        </w:rPr>
        <w:t>Ekimen berritzaileak eta haien errepikagarritasuna sustatzea.</w:t>
      </w:r>
    </w:p>
    <w:p w14:paraId="7478D33E" w14:textId="77777777" w:rsidR="0003627C" w:rsidRPr="00A54BC3" w:rsidRDefault="0003627C" w:rsidP="0003627C">
      <w:pPr>
        <w:numPr>
          <w:ilvl w:val="0"/>
          <w:numId w:val="28"/>
        </w:numPr>
        <w:spacing w:before="100" w:beforeAutospacing="1" w:after="100" w:afterAutospacing="1" w:line="240" w:lineRule="auto"/>
        <w:jc w:val="both"/>
        <w:rPr>
          <w:rFonts w:ascii="Arial" w:hAnsi="Arial" w:cs="Arial"/>
        </w:rPr>
      </w:pPr>
      <w:r w:rsidRPr="00A54BC3">
        <w:rPr>
          <w:rFonts w:ascii="Arial" w:eastAsia="Arial" w:hAnsi="Arial" w:cs="Arial"/>
          <w:lang w:val="eu-ES" w:eastAsia="es-ES"/>
        </w:rPr>
        <w:t>Ekonomia jarduera, ekintzailetza eta talentuaren erakartzea sustatzea.</w:t>
      </w:r>
    </w:p>
    <w:p w14:paraId="5A4CDB05" w14:textId="77777777" w:rsidR="0003627C" w:rsidRPr="00A54BC3" w:rsidRDefault="0003627C" w:rsidP="0003627C">
      <w:pPr>
        <w:numPr>
          <w:ilvl w:val="0"/>
          <w:numId w:val="28"/>
        </w:numPr>
        <w:spacing w:before="100" w:beforeAutospacing="1" w:after="100" w:afterAutospacing="1" w:line="240" w:lineRule="auto"/>
        <w:jc w:val="both"/>
        <w:rPr>
          <w:rFonts w:ascii="Arial" w:hAnsi="Arial" w:cs="Arial"/>
        </w:rPr>
      </w:pPr>
      <w:r w:rsidRPr="00A54BC3">
        <w:rPr>
          <w:rFonts w:ascii="Arial" w:eastAsia="Arial" w:hAnsi="Arial" w:cs="Arial"/>
          <w:lang w:val="eu-ES" w:eastAsia="es-ES"/>
        </w:rPr>
        <w:t>Ekimen inspiratzaileen biltegi bateratua sortzea eta mantentzea.</w:t>
      </w:r>
    </w:p>
    <w:p w14:paraId="517B456D" w14:textId="77777777" w:rsidR="0003627C" w:rsidRPr="00A54BC3" w:rsidRDefault="0003627C" w:rsidP="0003627C">
      <w:pPr>
        <w:numPr>
          <w:ilvl w:val="0"/>
          <w:numId w:val="28"/>
        </w:numPr>
        <w:spacing w:before="100" w:beforeAutospacing="1" w:after="100" w:afterAutospacing="1" w:line="240" w:lineRule="auto"/>
        <w:jc w:val="both"/>
        <w:rPr>
          <w:rFonts w:ascii="Arial" w:hAnsi="Arial" w:cs="Arial"/>
        </w:rPr>
      </w:pPr>
      <w:r w:rsidRPr="00A54BC3">
        <w:rPr>
          <w:rFonts w:ascii="Arial" w:eastAsia="Arial" w:hAnsi="Arial" w:cs="Arial"/>
          <w:lang w:val="eu-ES" w:eastAsia="es-ES"/>
        </w:rPr>
        <w:t>Komunikazio eremu bateratu batean parte hartzea, kide izatearen eta errotuta egotearen sentimendua indartzen duena.</w:t>
      </w:r>
    </w:p>
    <w:p w14:paraId="0123550C"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b/>
          <w:bCs/>
          <w:lang w:val="eu-ES" w:eastAsia="es-ES"/>
        </w:rPr>
        <w:lastRenderedPageBreak/>
        <w:t>Laugarrena.</w:t>
      </w:r>
      <w:r w:rsidRPr="00A54BC3">
        <w:rPr>
          <w:rFonts w:ascii="Arial" w:eastAsia="Arial" w:hAnsi="Arial" w:cs="Arial"/>
          <w:lang w:val="eu-ES" w:eastAsia="es-ES"/>
        </w:rPr>
        <w:t xml:space="preserve"> </w:t>
      </w:r>
      <w:r w:rsidRPr="00A54BC3">
        <w:rPr>
          <w:rFonts w:ascii="Arial" w:eastAsia="Arial" w:hAnsi="Arial" w:cs="Arial"/>
          <w:i/>
          <w:iCs/>
          <w:lang w:val="eu-ES" w:eastAsia="es-ES"/>
        </w:rPr>
        <w:t>Alderdien betebeharrak</w:t>
      </w:r>
    </w:p>
    <w:p w14:paraId="438256CB" w14:textId="77777777" w:rsidR="0003627C" w:rsidRPr="00A54BC3" w:rsidRDefault="0003627C" w:rsidP="0003627C">
      <w:pPr>
        <w:pStyle w:val="Prrafodelista"/>
        <w:spacing w:before="100" w:beforeAutospacing="1" w:after="100" w:afterAutospacing="1"/>
        <w:ind w:left="0"/>
        <w:jc w:val="both"/>
        <w:rPr>
          <w:rFonts w:ascii="Arial" w:hAnsi="Arial" w:cs="Arial"/>
        </w:rPr>
      </w:pPr>
      <w:r w:rsidRPr="00A54BC3">
        <w:rPr>
          <w:rFonts w:ascii="Arial" w:eastAsia="Arial" w:hAnsi="Arial" w:cs="Arial"/>
          <w:lang w:val="eu-ES" w:eastAsia="es-ES"/>
        </w:rPr>
        <w:t>Hitzarmen honen bidez, Trantsizio Ekologikorako eta Erronka Demografikorako Ministerioak (“Ministerioa” aurrerantzean), Despopulazioaren aurkako Politiken Zuzendaritza Nagusiaren bidez, eta Arabako Foru Aldundiak (“Aldundia” aurrerantzean)</w:t>
      </w:r>
      <w:r w:rsidRPr="00A54BC3">
        <w:rPr>
          <w:rFonts w:ascii="Arial" w:eastAsia="Arial" w:hAnsi="Arial" w:cs="Arial"/>
          <w:highlight w:val="white"/>
          <w:lang w:val="eu-ES" w:eastAsia="es-ES"/>
        </w:rPr>
        <w:t>,</w:t>
      </w:r>
      <w:r w:rsidRPr="00A54BC3">
        <w:rPr>
          <w:rFonts w:ascii="Arial" w:eastAsia="Arial" w:hAnsi="Arial" w:cs="Arial"/>
          <w:lang w:val="eu-ES" w:eastAsia="es-ES"/>
        </w:rPr>
        <w:t xml:space="preserve"> Arabako Lurralde Berrikuntzako Zentroaren ahalmen guztia sendotu eta zabalduko dutela hitzematen dute. Zentro horren titularra Aldundia da, eta berari dagokio koordinatzea.</w:t>
      </w:r>
    </w:p>
    <w:p w14:paraId="7A4894BE"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 xml:space="preserve">Alderdi bakoitzak, hitzarmen honen klausuletan ezartzen diren edukiaren eta irismenaren arabera, betebehar hauek bere gain hartzen dituzte:  </w:t>
      </w:r>
    </w:p>
    <w:p w14:paraId="4D7F3103"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 xml:space="preserve">1. Ministerioak:  </w:t>
      </w:r>
    </w:p>
    <w:p w14:paraId="238820D3" w14:textId="77777777" w:rsidR="0003627C" w:rsidRPr="00A54BC3" w:rsidRDefault="0003627C" w:rsidP="0003627C">
      <w:pPr>
        <w:pStyle w:val="Prrafodelista"/>
        <w:numPr>
          <w:ilvl w:val="0"/>
          <w:numId w:val="5"/>
        </w:numPr>
        <w:spacing w:before="100" w:beforeAutospacing="1" w:after="100" w:afterAutospacing="1" w:line="240" w:lineRule="auto"/>
        <w:ind w:left="0" w:firstLine="426"/>
        <w:jc w:val="both"/>
        <w:rPr>
          <w:rFonts w:ascii="Arial" w:hAnsi="Arial" w:cs="Arial"/>
        </w:rPr>
      </w:pPr>
      <w:r w:rsidRPr="00A54BC3">
        <w:rPr>
          <w:rFonts w:ascii="Arial" w:eastAsia="Arial" w:hAnsi="Arial" w:cs="Arial"/>
          <w:lang w:val="eu-ES" w:eastAsia="es-ES"/>
        </w:rPr>
        <w:t>Laguntza teknikoa eta langileak ematea hitzarmenaren xedea betetzeko beharrezkoak diren koordinazio jardueretarako, LBZ Sarearen koordinazio gunearen bulegoaren eta bestelako tresna egokien bidez.</w:t>
      </w:r>
    </w:p>
    <w:p w14:paraId="3860053C" w14:textId="77777777" w:rsidR="0003627C" w:rsidRPr="00A54BC3" w:rsidRDefault="0003627C" w:rsidP="0003627C">
      <w:pPr>
        <w:pStyle w:val="Prrafodelista"/>
        <w:numPr>
          <w:ilvl w:val="0"/>
          <w:numId w:val="5"/>
        </w:numPr>
        <w:spacing w:before="100" w:beforeAutospacing="1" w:after="100" w:afterAutospacing="1" w:line="240" w:lineRule="auto"/>
        <w:ind w:left="0" w:firstLine="426"/>
        <w:contextualSpacing w:val="0"/>
        <w:jc w:val="both"/>
        <w:rPr>
          <w:rFonts w:ascii="Arial" w:hAnsi="Arial" w:cs="Arial"/>
        </w:rPr>
      </w:pPr>
      <w:r w:rsidRPr="00A54BC3">
        <w:rPr>
          <w:rFonts w:ascii="Arial" w:eastAsia="Arial" w:hAnsi="Arial" w:cs="Arial"/>
          <w:lang w:val="eu-ES" w:eastAsia="es-ES"/>
        </w:rPr>
        <w:t>Ekintzailetzari laguntzeko edukiak garatzea edo ekartzea (prestakuntza, gaikuntza, aholkularitza eta enpresa kudeaketari laguntzea).</w:t>
      </w:r>
    </w:p>
    <w:p w14:paraId="56B5ACAE" w14:textId="77777777" w:rsidR="0003627C" w:rsidRPr="00A54BC3" w:rsidRDefault="0003627C" w:rsidP="0003627C">
      <w:pPr>
        <w:pStyle w:val="Prrafodelista"/>
        <w:numPr>
          <w:ilvl w:val="0"/>
          <w:numId w:val="5"/>
        </w:numPr>
        <w:spacing w:before="100" w:beforeAutospacing="1" w:after="100" w:afterAutospacing="1" w:line="240" w:lineRule="auto"/>
        <w:ind w:left="0" w:firstLine="426"/>
        <w:contextualSpacing w:val="0"/>
        <w:jc w:val="both"/>
        <w:rPr>
          <w:rFonts w:ascii="Arial" w:hAnsi="Arial" w:cs="Arial"/>
        </w:rPr>
      </w:pPr>
      <w:r w:rsidRPr="00A54BC3">
        <w:rPr>
          <w:rFonts w:ascii="Arial" w:eastAsia="Arial" w:hAnsi="Arial" w:cs="Arial"/>
          <w:lang w:val="eu-ES" w:eastAsia="es-ES"/>
        </w:rPr>
        <w:t xml:space="preserve">Ministerioaren gainerako sailei eta Estatuko Administrazioaren mendeko organoei LBZ proiektuan emandako laguntza koordinatzea. </w:t>
      </w:r>
    </w:p>
    <w:p w14:paraId="12AE7FE8" w14:textId="77777777" w:rsidR="0003627C" w:rsidRPr="00A54BC3" w:rsidRDefault="0003627C" w:rsidP="0003627C">
      <w:pPr>
        <w:pStyle w:val="Prrafodelista"/>
        <w:numPr>
          <w:ilvl w:val="0"/>
          <w:numId w:val="5"/>
        </w:numPr>
        <w:spacing w:before="100" w:beforeAutospacing="1" w:after="100" w:afterAutospacing="1" w:line="240" w:lineRule="auto"/>
        <w:ind w:left="0" w:firstLine="426"/>
        <w:contextualSpacing w:val="0"/>
        <w:jc w:val="both"/>
        <w:rPr>
          <w:rFonts w:ascii="Arial" w:hAnsi="Arial" w:cs="Arial"/>
        </w:rPr>
      </w:pPr>
      <w:r w:rsidRPr="00A54BC3">
        <w:rPr>
          <w:rFonts w:ascii="Arial" w:eastAsia="Arial" w:hAnsi="Arial" w:cs="Arial"/>
          <w:lang w:val="eu-ES" w:eastAsia="es-ES"/>
        </w:rPr>
        <w:t>Hitzarmenaren betebeharren, LBZren jardueraren, eta zortzigarren klausulan ezartzen den Jarraipen Batzordeak onetsitako jarduketa eta proiektuen jarraipenean eta ebaluazioan parte hartzea, Estatuko Administrazio Orokorraren eskumenean dauden erronka demografikoko politiketan txertatzeko.</w:t>
      </w:r>
    </w:p>
    <w:p w14:paraId="4B6DA1F3" w14:textId="77777777" w:rsidR="0003627C" w:rsidRPr="00A54BC3" w:rsidRDefault="0003627C" w:rsidP="0003627C">
      <w:pPr>
        <w:pStyle w:val="Prrafodelista"/>
        <w:numPr>
          <w:ilvl w:val="0"/>
          <w:numId w:val="5"/>
        </w:numPr>
        <w:spacing w:before="100" w:beforeAutospacing="1" w:after="100" w:afterAutospacing="1" w:line="240" w:lineRule="auto"/>
        <w:ind w:left="0" w:firstLine="426"/>
        <w:contextualSpacing w:val="0"/>
        <w:jc w:val="both"/>
        <w:rPr>
          <w:rFonts w:ascii="Arial" w:hAnsi="Arial" w:cs="Arial"/>
        </w:rPr>
      </w:pPr>
      <w:r w:rsidRPr="00A54BC3">
        <w:rPr>
          <w:rFonts w:ascii="Arial" w:eastAsia="Arial" w:hAnsi="Arial" w:cs="Arial"/>
          <w:lang w:val="eu-ES" w:eastAsia="es-ES"/>
        </w:rPr>
        <w:t>LBZ sareko zentroetan garatzen diren eta errepika daitezkeen jarduerak zabaltzea, eta ezartzean ikasitakoaren berri ematea. Hori egiteko zenbait bide erabiliko dira, aldiz antolatzen diren ekitaldiak eta LBZk bultzatutako ekimenak barne.</w:t>
      </w:r>
    </w:p>
    <w:p w14:paraId="47EAC9BC" w14:textId="77777777" w:rsidR="0003627C" w:rsidRPr="00A54BC3" w:rsidRDefault="0003627C" w:rsidP="0003627C">
      <w:pPr>
        <w:pStyle w:val="Prrafodelista"/>
        <w:numPr>
          <w:ilvl w:val="0"/>
          <w:numId w:val="5"/>
        </w:numPr>
        <w:spacing w:before="100" w:beforeAutospacing="1" w:after="100" w:afterAutospacing="1" w:line="240" w:lineRule="auto"/>
        <w:ind w:left="0" w:firstLine="426"/>
        <w:contextualSpacing w:val="0"/>
        <w:jc w:val="both"/>
        <w:rPr>
          <w:rFonts w:ascii="Arial" w:hAnsi="Arial" w:cs="Arial"/>
        </w:rPr>
      </w:pPr>
      <w:r w:rsidRPr="00A54BC3">
        <w:rPr>
          <w:rFonts w:ascii="Arial" w:eastAsia="Arial" w:hAnsi="Arial" w:cs="Arial"/>
          <w:lang w:val="eu-ES" w:eastAsia="es-ES"/>
        </w:rPr>
        <w:t>Hitzarmen honen barruan Lurralde Berrikuntzako Zentroa garatzeko egindako jarduketen kostu osoa batera finantzatzea, bosgarren klausularen arabera.</w:t>
      </w:r>
    </w:p>
    <w:p w14:paraId="1549FEB3"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2. Aldundiak:</w:t>
      </w:r>
    </w:p>
    <w:p w14:paraId="52BCE4DB"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LBZren jardunerako egokiak diren eremuak bere eskura jartzea. LBZk, gutxienez, zentro batez osatuta egon behar du, edo probintziatik hedatutako zentro fisiko batzuen artean banatu beharko da.</w:t>
      </w:r>
    </w:p>
    <w:p w14:paraId="33A47881" w14:textId="77777777" w:rsidR="0003627C" w:rsidRPr="00A54BC3" w:rsidRDefault="0003627C" w:rsidP="0003627C">
      <w:pPr>
        <w:pStyle w:val="Prrafodelista"/>
        <w:numPr>
          <w:ilvl w:val="0"/>
          <w:numId w:val="6"/>
        </w:numPr>
        <w:spacing w:before="100" w:beforeAutospacing="1" w:after="100" w:afterAutospacing="1" w:line="240" w:lineRule="auto"/>
        <w:ind w:left="0" w:firstLine="426"/>
        <w:contextualSpacing w:val="0"/>
        <w:jc w:val="both"/>
        <w:rPr>
          <w:rFonts w:ascii="Arial" w:hAnsi="Arial" w:cs="Arial"/>
        </w:rPr>
      </w:pPr>
      <w:r w:rsidRPr="00A54BC3">
        <w:rPr>
          <w:rFonts w:ascii="Arial" w:eastAsia="Arial" w:hAnsi="Arial" w:cs="Arial"/>
          <w:lang w:val="eu-ES" w:eastAsia="es-ES"/>
        </w:rPr>
        <w:t>Egitura ekonomikoa dinamizatzeko prestatutako eremuak izan beharko ditu, hala nola coworking guneak edo antzekoak, eta jendea zuzenean, edo gutxienez, telefonoz eta emailez artatzeko zerbitzua izan beharko du.</w:t>
      </w:r>
    </w:p>
    <w:p w14:paraId="47AFC9A0" w14:textId="77777777" w:rsidR="0003627C" w:rsidRPr="00A54BC3" w:rsidRDefault="0003627C" w:rsidP="0003627C">
      <w:pPr>
        <w:pStyle w:val="Prrafodelista"/>
        <w:numPr>
          <w:ilvl w:val="0"/>
          <w:numId w:val="6"/>
        </w:numPr>
        <w:spacing w:before="100" w:beforeAutospacing="1" w:after="100" w:afterAutospacing="1" w:line="240" w:lineRule="auto"/>
        <w:ind w:left="0" w:firstLine="426"/>
        <w:contextualSpacing w:val="0"/>
        <w:jc w:val="both"/>
        <w:rPr>
          <w:rFonts w:ascii="Arial" w:hAnsi="Arial" w:cs="Arial"/>
        </w:rPr>
      </w:pPr>
      <w:r w:rsidRPr="00A54BC3">
        <w:rPr>
          <w:rFonts w:ascii="Arial" w:eastAsia="Arial" w:hAnsi="Arial" w:cs="Arial"/>
          <w:lang w:val="eu-ES" w:eastAsia="es-ES"/>
        </w:rPr>
        <w:t xml:space="preserve">Beharrezkoak diren langileak ekarriko ditu, bereak, edo LBZren jardunerako berariaz kontratatutako profesionalak. </w:t>
      </w:r>
    </w:p>
    <w:p w14:paraId="3DD6D405" w14:textId="77777777" w:rsidR="0003627C" w:rsidRPr="00A54BC3" w:rsidRDefault="0003627C" w:rsidP="0003627C">
      <w:pPr>
        <w:pStyle w:val="Prrafodelista"/>
        <w:numPr>
          <w:ilvl w:val="0"/>
          <w:numId w:val="6"/>
        </w:numPr>
        <w:spacing w:before="100" w:beforeAutospacing="1" w:after="100" w:afterAutospacing="1" w:line="240" w:lineRule="auto"/>
        <w:ind w:left="0" w:firstLine="426"/>
        <w:contextualSpacing w:val="0"/>
        <w:jc w:val="both"/>
        <w:rPr>
          <w:rFonts w:ascii="Arial" w:hAnsi="Arial" w:cs="Arial"/>
        </w:rPr>
      </w:pPr>
      <w:r w:rsidRPr="00A54BC3">
        <w:rPr>
          <w:rFonts w:ascii="Arial" w:eastAsia="Arial" w:hAnsi="Arial" w:cs="Arial"/>
          <w:lang w:val="eu-ES" w:eastAsia="es-ES"/>
        </w:rPr>
        <w:t xml:space="preserve">Eskura dituen eta gauzatzeko beharrezkoak diren baliabide teknikoekin eta azpiegiturekin laguntzea; baita antolaketan ere. </w:t>
      </w:r>
    </w:p>
    <w:p w14:paraId="759095EF" w14:textId="77777777" w:rsidR="0003627C" w:rsidRPr="00A54BC3" w:rsidRDefault="0003627C" w:rsidP="0003627C">
      <w:pPr>
        <w:pStyle w:val="Prrafodelista"/>
        <w:numPr>
          <w:ilvl w:val="0"/>
          <w:numId w:val="6"/>
        </w:numPr>
        <w:spacing w:before="100" w:beforeAutospacing="1" w:after="100" w:afterAutospacing="1" w:line="240" w:lineRule="auto"/>
        <w:ind w:left="0" w:firstLine="426"/>
        <w:contextualSpacing w:val="0"/>
        <w:jc w:val="both"/>
        <w:rPr>
          <w:rFonts w:ascii="Arial" w:hAnsi="Arial" w:cs="Arial"/>
        </w:rPr>
      </w:pPr>
      <w:r w:rsidRPr="00A54BC3">
        <w:rPr>
          <w:rFonts w:ascii="Arial" w:eastAsia="Arial" w:hAnsi="Arial" w:cs="Arial"/>
          <w:lang w:val="eu-ES" w:eastAsia="es-ES"/>
        </w:rPr>
        <w:t>Probintzia barruan bere lanaren berri emateko dinamikak sustatzea, zentroen helburua ezagutarazteko, eta gizarte eta ekonomia eragileek parte har dezaten laguntzeko.</w:t>
      </w:r>
    </w:p>
    <w:p w14:paraId="46D4F506" w14:textId="77777777" w:rsidR="0003627C" w:rsidRPr="00A54BC3" w:rsidRDefault="0003627C" w:rsidP="0003627C">
      <w:pPr>
        <w:pStyle w:val="Prrafodelista"/>
        <w:numPr>
          <w:ilvl w:val="0"/>
          <w:numId w:val="6"/>
        </w:numPr>
        <w:spacing w:before="100" w:beforeAutospacing="1" w:after="100" w:afterAutospacing="1" w:line="240" w:lineRule="auto"/>
        <w:ind w:left="0" w:firstLine="426"/>
        <w:contextualSpacing w:val="0"/>
        <w:jc w:val="both"/>
        <w:rPr>
          <w:rFonts w:ascii="Arial" w:hAnsi="Arial" w:cs="Arial"/>
        </w:rPr>
      </w:pPr>
      <w:r w:rsidRPr="00A54BC3">
        <w:rPr>
          <w:rFonts w:ascii="Arial" w:eastAsia="Arial" w:hAnsi="Arial" w:cs="Arial"/>
          <w:lang w:val="eu-ES" w:eastAsia="es-ES"/>
        </w:rPr>
        <w:t>Hitzarmen honen barruan Lurralde Berrikuntzako Zentroa garatzeko egindako jarduketen kostu osoa batera finantzatzea, bosgarren klausularen arabera.</w:t>
      </w:r>
    </w:p>
    <w:p w14:paraId="72C8C31D" w14:textId="77777777" w:rsidR="0003627C" w:rsidRPr="00A54BC3" w:rsidRDefault="0003627C" w:rsidP="0003627C">
      <w:pPr>
        <w:pStyle w:val="Prrafodelista"/>
        <w:numPr>
          <w:ilvl w:val="0"/>
          <w:numId w:val="6"/>
        </w:numPr>
        <w:spacing w:before="100" w:beforeAutospacing="1" w:after="100" w:afterAutospacing="1" w:line="240" w:lineRule="auto"/>
        <w:ind w:left="0" w:firstLine="426"/>
        <w:contextualSpacing w:val="0"/>
        <w:jc w:val="both"/>
        <w:rPr>
          <w:rFonts w:ascii="Arial" w:hAnsi="Arial" w:cs="Arial"/>
        </w:rPr>
      </w:pPr>
      <w:r w:rsidRPr="00A54BC3">
        <w:rPr>
          <w:rFonts w:ascii="Arial" w:eastAsia="Arial" w:hAnsi="Arial" w:cs="Arial"/>
          <w:lang w:val="eu-ES" w:eastAsia="es-ES"/>
        </w:rPr>
        <w:lastRenderedPageBreak/>
        <w:t xml:space="preserve">Despopulazioaren aurkako Politiken Zuzendaritza Nagusiari hitzarmenari dagozkion gastuen justifikazioa eta dokumentazioa aurkeztea, hartarako adierazitako epeen barruan. </w:t>
      </w:r>
    </w:p>
    <w:p w14:paraId="1AF22ADF" w14:textId="77777777" w:rsidR="0003627C" w:rsidRPr="00A54BC3" w:rsidRDefault="0003627C" w:rsidP="0003627C">
      <w:pPr>
        <w:pStyle w:val="Prrafodelista"/>
        <w:numPr>
          <w:ilvl w:val="0"/>
          <w:numId w:val="6"/>
        </w:numPr>
        <w:spacing w:before="100" w:beforeAutospacing="1" w:after="100" w:afterAutospacing="1" w:line="240" w:lineRule="auto"/>
        <w:ind w:left="0" w:firstLine="426"/>
        <w:contextualSpacing w:val="0"/>
        <w:jc w:val="both"/>
        <w:rPr>
          <w:rFonts w:ascii="Arial" w:hAnsi="Arial" w:cs="Arial"/>
        </w:rPr>
      </w:pPr>
      <w:r w:rsidRPr="00A54BC3">
        <w:rPr>
          <w:rFonts w:ascii="Arial" w:eastAsia="Arial" w:hAnsi="Arial" w:cs="Arial"/>
          <w:lang w:val="eu-ES" w:eastAsia="es-ES"/>
        </w:rPr>
        <w:t>Urte bakoitzaren abenduaren 31 baino lehen hurrengo urteko jardueren urteko programa ezartzea, aipatutako Jarraipen Batzordeari eta LBZ Sarearen gune nagusiari bidaliz.</w:t>
      </w:r>
    </w:p>
    <w:p w14:paraId="57635FE3" w14:textId="77777777" w:rsidR="0003627C" w:rsidRPr="00A54BC3" w:rsidRDefault="0003627C" w:rsidP="0003627C">
      <w:pPr>
        <w:pStyle w:val="Prrafodelista"/>
        <w:numPr>
          <w:ilvl w:val="0"/>
          <w:numId w:val="6"/>
        </w:numPr>
        <w:spacing w:before="100" w:beforeAutospacing="1" w:after="100" w:afterAutospacing="1" w:line="240" w:lineRule="auto"/>
        <w:ind w:left="0" w:firstLine="426"/>
        <w:contextualSpacing w:val="0"/>
        <w:jc w:val="both"/>
        <w:rPr>
          <w:rFonts w:ascii="Arial" w:hAnsi="Arial" w:cs="Arial"/>
        </w:rPr>
      </w:pPr>
      <w:r w:rsidRPr="00A54BC3">
        <w:rPr>
          <w:rFonts w:ascii="Arial" w:eastAsia="Arial" w:hAnsi="Arial" w:cs="Arial"/>
          <w:lang w:val="eu-ES" w:eastAsia="es-ES"/>
        </w:rPr>
        <w:t>Lurralde Berrikuntzako Zentroak egindako jarduketen urteko txostena egitea, eta aipatutako Jarraipen Batzordeari eta LBZ Sareko gune nagusiari bidaltzea, hurrengo urteko urtarrilaren 31 baino lehen.</w:t>
      </w:r>
    </w:p>
    <w:p w14:paraId="1A626E1F" w14:textId="77777777" w:rsidR="0003627C" w:rsidRPr="00A54BC3" w:rsidRDefault="0003627C" w:rsidP="0003627C">
      <w:pPr>
        <w:pStyle w:val="Prrafodelista"/>
        <w:numPr>
          <w:ilvl w:val="0"/>
          <w:numId w:val="6"/>
        </w:numPr>
        <w:spacing w:before="100" w:beforeAutospacing="1" w:after="100" w:afterAutospacing="1" w:line="240" w:lineRule="auto"/>
        <w:ind w:left="0" w:firstLine="426"/>
        <w:jc w:val="both"/>
        <w:rPr>
          <w:rFonts w:ascii="Arial" w:hAnsi="Arial" w:cs="Arial"/>
        </w:rPr>
      </w:pPr>
      <w:r w:rsidRPr="00A54BC3">
        <w:rPr>
          <w:rFonts w:ascii="Arial" w:eastAsia="Arial" w:hAnsi="Arial" w:cs="Arial"/>
          <w:lang w:val="eu-ES" w:eastAsia="es-ES"/>
        </w:rPr>
        <w:t>LBZren jarduerak zabaltzeko jardueretan, edo LBZren webaren edukia sortzen laguntzea edo materialak sortzea.</w:t>
      </w:r>
    </w:p>
    <w:p w14:paraId="4D2748E4" w14:textId="77777777" w:rsidR="0003627C" w:rsidRPr="00A54BC3" w:rsidRDefault="0003627C" w:rsidP="0003627C">
      <w:pPr>
        <w:pStyle w:val="Prrafodelista"/>
        <w:numPr>
          <w:ilvl w:val="0"/>
          <w:numId w:val="6"/>
        </w:numPr>
        <w:spacing w:before="100" w:beforeAutospacing="1" w:after="100" w:afterAutospacing="1" w:line="240" w:lineRule="auto"/>
        <w:ind w:left="0" w:firstLine="426"/>
        <w:jc w:val="both"/>
        <w:rPr>
          <w:rFonts w:ascii="Arial" w:hAnsi="Arial" w:cs="Arial"/>
        </w:rPr>
      </w:pPr>
      <w:r w:rsidRPr="00A54BC3">
        <w:rPr>
          <w:rFonts w:ascii="Arial" w:eastAsia="Arial" w:hAnsi="Arial" w:cs="Arial"/>
          <w:lang w:val="eu-ES" w:eastAsia="es-ES"/>
        </w:rPr>
        <w:t>LBZ sarearen dinamika kolektiboetan aktiboki parte hartzea.</w:t>
      </w:r>
    </w:p>
    <w:p w14:paraId="7724446B"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b/>
        </w:rPr>
      </w:pPr>
    </w:p>
    <w:p w14:paraId="4561A4CC"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i/>
          <w:iCs/>
        </w:rPr>
      </w:pPr>
      <w:r w:rsidRPr="00A54BC3">
        <w:rPr>
          <w:rFonts w:ascii="Arial" w:eastAsia="Arial" w:hAnsi="Arial" w:cs="Arial"/>
          <w:b/>
          <w:bCs/>
          <w:lang w:val="eu-ES" w:eastAsia="es-ES"/>
        </w:rPr>
        <w:t>Bosgarrena.</w:t>
      </w:r>
      <w:r w:rsidRPr="00A54BC3">
        <w:rPr>
          <w:rFonts w:ascii="Arial" w:eastAsia="Arial" w:hAnsi="Arial" w:cs="Arial"/>
          <w:lang w:val="eu-ES" w:eastAsia="es-ES"/>
        </w:rPr>
        <w:t xml:space="preserve"> </w:t>
      </w:r>
      <w:r w:rsidRPr="00A54BC3">
        <w:rPr>
          <w:rFonts w:ascii="Arial" w:eastAsia="Arial" w:hAnsi="Arial" w:cs="Arial"/>
          <w:i/>
          <w:iCs/>
          <w:lang w:val="eu-ES" w:eastAsia="es-ES"/>
        </w:rPr>
        <w:t>Finantzazioa.</w:t>
      </w:r>
    </w:p>
    <w:p w14:paraId="4DFBFD8D"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i/>
          <w:iCs/>
        </w:rPr>
      </w:pPr>
      <w:r w:rsidRPr="00A54BC3">
        <w:rPr>
          <w:rFonts w:ascii="Arial" w:eastAsia="Arial" w:hAnsi="Arial" w:cs="Arial"/>
          <w:lang w:val="eu-ES" w:eastAsia="es-ES"/>
        </w:rPr>
        <w:t>Hitzarmen honen barruan Lurralde Berrikuntzako Zentroa garatzeko egindako jarduketen kostu osoa, gehienez, 850.000,00 euro da.</w:t>
      </w:r>
    </w:p>
    <w:p w14:paraId="573AE316"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i/>
          <w:iCs/>
        </w:rPr>
      </w:pPr>
      <w:r w:rsidRPr="00A54BC3">
        <w:rPr>
          <w:rFonts w:ascii="Arial" w:eastAsia="Arial" w:hAnsi="Arial" w:cs="Arial"/>
          <w:lang w:val="eu-ES" w:eastAsia="es-ES"/>
        </w:rPr>
        <w:t>Hitzarmen honetan ezarritako helburuak betetzeko eta jarduketak garatzeko, Ministerioak, gehienez, 510.000,00 euroko laguntza emango du hitzarmena indarrean dagoen bitartean. Aldundiari ordainduko dio, banku transferentzia bidez, klausula honetan agertzen den urteko ordainketen taulan ezarritakoaren arabera. Inbertsioaren kostuari aurre egiteko kreditu egoki eta nahikoa dago Despopulazioaren aurkako Politiken Zuzendaritza Nagusiaren gastuen aurrekontuko 23.14.456E.461.02 eta 23.14.456E.761.02 aurrekontu aplikazioetan. Hitzarmen honen finantzaketa ez dator Berreskuratze, Eraldaketa eta Erresilientzia Planaren funtsetatik, ezta Europako beste funts batzuetatik ere.</w:t>
      </w:r>
    </w:p>
    <w:p w14:paraId="0926AD2B"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Hitzarmen honetan ezarritako helburuak betetzeko eta jarduketak garatzeko, Aldundiak 340.000,00 euroko dirulaguntza emango du hitzarmena indarrean dagoen bitartean, eta hor, bere langileen eta bestelako baliabideen gastua barne hartzen da. Finantzaketa 2026 ekitaldirako ordainketa kredituaren, eta 2027, 2028 eta 2029 ekitaldietarako konpromiso kredituaren kontura egingo da, 15101/433152/46290156, 15101/433152/76290155 eta 15101/433152/22799199 aurrekontu aplikazioetan.</w:t>
      </w:r>
    </w:p>
    <w:p w14:paraId="2BCE0CDC"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rPr>
      </w:pPr>
      <w:r w:rsidRPr="00A54BC3">
        <w:rPr>
          <w:rFonts w:ascii="Arial" w:eastAsia="Arial" w:hAnsi="Arial" w:cs="Arial"/>
          <w:lang w:val="eu-ES" w:eastAsia="es-ES"/>
        </w:rPr>
        <w:t>Urteko ordainketa bakoitzaren zenbatekoak taula honetan agertzen dira:</w:t>
      </w:r>
    </w:p>
    <w:tbl>
      <w:tblPr>
        <w:tblW w:w="8473"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0"/>
        <w:gridCol w:w="1545"/>
        <w:gridCol w:w="2084"/>
        <w:gridCol w:w="1934"/>
        <w:gridCol w:w="1770"/>
      </w:tblGrid>
      <w:tr w:rsidR="0003627C" w:rsidRPr="00A54BC3" w14:paraId="765A0AB7" w14:textId="77777777" w:rsidTr="00991850">
        <w:tc>
          <w:tcPr>
            <w:tcW w:w="1140" w:type="dxa"/>
            <w:vMerge w:val="restart"/>
            <w:tcBorders>
              <w:top w:val="single" w:sz="6" w:space="0" w:color="000000"/>
              <w:left w:val="single" w:sz="6" w:space="0" w:color="000000"/>
              <w:bottom w:val="single" w:sz="6" w:space="0" w:color="000000"/>
              <w:right w:val="single" w:sz="6" w:space="0" w:color="000000"/>
            </w:tcBorders>
            <w:shd w:val="clear" w:color="auto" w:fill="DEEAF6"/>
            <w:vAlign w:val="center"/>
            <w:hideMark/>
          </w:tcPr>
          <w:p w14:paraId="1AD01D47"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Urtea</w:t>
            </w:r>
          </w:p>
        </w:tc>
        <w:tc>
          <w:tcPr>
            <w:tcW w:w="3629" w:type="dxa"/>
            <w:gridSpan w:val="2"/>
            <w:tcBorders>
              <w:top w:val="single" w:sz="6" w:space="0" w:color="000000"/>
              <w:left w:val="single" w:sz="6" w:space="0" w:color="000000"/>
              <w:bottom w:val="single" w:sz="6" w:space="0" w:color="000000"/>
              <w:right w:val="single" w:sz="6" w:space="0" w:color="000000"/>
            </w:tcBorders>
            <w:shd w:val="clear" w:color="auto" w:fill="DEEAF6"/>
            <w:vAlign w:val="center"/>
            <w:hideMark/>
          </w:tcPr>
          <w:p w14:paraId="3CFFFFF7"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Ministerioa</w:t>
            </w:r>
          </w:p>
        </w:tc>
        <w:tc>
          <w:tcPr>
            <w:tcW w:w="1934" w:type="dxa"/>
            <w:vMerge w:val="restart"/>
            <w:tcBorders>
              <w:top w:val="single" w:sz="6" w:space="0" w:color="000000"/>
              <w:left w:val="nil"/>
              <w:bottom w:val="single" w:sz="6" w:space="0" w:color="000000"/>
              <w:right w:val="single" w:sz="6" w:space="0" w:color="000000"/>
            </w:tcBorders>
            <w:shd w:val="clear" w:color="auto" w:fill="DEEAF6"/>
            <w:vAlign w:val="center"/>
            <w:hideMark/>
          </w:tcPr>
          <w:p w14:paraId="440B7209"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Aldundia</w:t>
            </w:r>
          </w:p>
        </w:tc>
        <w:tc>
          <w:tcPr>
            <w:tcW w:w="1770" w:type="dxa"/>
            <w:vMerge w:val="restart"/>
            <w:tcBorders>
              <w:top w:val="single" w:sz="6" w:space="0" w:color="000000"/>
              <w:left w:val="single" w:sz="6" w:space="0" w:color="000000"/>
              <w:bottom w:val="single" w:sz="6" w:space="0" w:color="000000"/>
              <w:right w:val="single" w:sz="6" w:space="0" w:color="000000"/>
            </w:tcBorders>
            <w:shd w:val="clear" w:color="auto" w:fill="DEEAF6"/>
            <w:vAlign w:val="center"/>
            <w:hideMark/>
          </w:tcPr>
          <w:p w14:paraId="06228BCE"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 xml:space="preserve"> Guztira (€)</w:t>
            </w:r>
          </w:p>
        </w:tc>
      </w:tr>
      <w:tr w:rsidR="0003627C" w:rsidRPr="00A54BC3" w14:paraId="68ABAA68" w14:textId="77777777" w:rsidTr="0099185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5A071D" w14:textId="77777777" w:rsidR="0003627C" w:rsidRPr="00A54BC3" w:rsidRDefault="0003627C" w:rsidP="00991850">
            <w:pPr>
              <w:pStyle w:val="Prrafodelista"/>
              <w:spacing w:before="100" w:beforeAutospacing="1" w:after="100" w:afterAutospacing="1"/>
              <w:ind w:left="0"/>
              <w:jc w:val="center"/>
              <w:rPr>
                <w:rFonts w:ascii="Arial" w:hAnsi="Arial" w:cs="Arial"/>
              </w:rPr>
            </w:pPr>
          </w:p>
        </w:tc>
        <w:tc>
          <w:tcPr>
            <w:tcW w:w="1545" w:type="dxa"/>
            <w:tcBorders>
              <w:top w:val="single" w:sz="6" w:space="0" w:color="000000"/>
              <w:left w:val="nil"/>
              <w:bottom w:val="single" w:sz="6" w:space="0" w:color="000000"/>
              <w:right w:val="single" w:sz="6" w:space="0" w:color="000000"/>
            </w:tcBorders>
            <w:shd w:val="clear" w:color="auto" w:fill="DEEAF6"/>
            <w:vAlign w:val="center"/>
            <w:hideMark/>
          </w:tcPr>
          <w:p w14:paraId="53CFCE75"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461.02</w:t>
            </w:r>
          </w:p>
        </w:tc>
        <w:tc>
          <w:tcPr>
            <w:tcW w:w="2084" w:type="dxa"/>
            <w:tcBorders>
              <w:top w:val="nil"/>
              <w:left w:val="single" w:sz="6" w:space="0" w:color="000000"/>
              <w:bottom w:val="single" w:sz="6" w:space="0" w:color="000000"/>
              <w:right w:val="single" w:sz="6" w:space="0" w:color="000000"/>
            </w:tcBorders>
            <w:shd w:val="clear" w:color="auto" w:fill="DEEAF6"/>
            <w:vAlign w:val="center"/>
            <w:hideMark/>
          </w:tcPr>
          <w:p w14:paraId="66304022"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761.02</w:t>
            </w:r>
          </w:p>
        </w:tc>
        <w:tc>
          <w:tcPr>
            <w:tcW w:w="0" w:type="auto"/>
            <w:vMerge/>
            <w:tcBorders>
              <w:top w:val="single" w:sz="6" w:space="0" w:color="000000"/>
              <w:left w:val="nil"/>
              <w:bottom w:val="single" w:sz="6" w:space="0" w:color="000000"/>
              <w:right w:val="single" w:sz="6" w:space="0" w:color="000000"/>
            </w:tcBorders>
            <w:vAlign w:val="center"/>
            <w:hideMark/>
          </w:tcPr>
          <w:p w14:paraId="64194C30" w14:textId="77777777" w:rsidR="0003627C" w:rsidRPr="00A54BC3" w:rsidRDefault="0003627C" w:rsidP="00991850">
            <w:pPr>
              <w:pStyle w:val="Prrafodelista"/>
              <w:spacing w:before="100" w:beforeAutospacing="1" w:after="100" w:afterAutospacing="1"/>
              <w:ind w:left="0"/>
              <w:jc w:val="center"/>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8CC699" w14:textId="77777777" w:rsidR="0003627C" w:rsidRPr="00A54BC3" w:rsidRDefault="0003627C" w:rsidP="00991850">
            <w:pPr>
              <w:pStyle w:val="Prrafodelista"/>
              <w:spacing w:before="100" w:beforeAutospacing="1" w:after="100" w:afterAutospacing="1"/>
              <w:ind w:left="0"/>
              <w:jc w:val="center"/>
              <w:rPr>
                <w:rFonts w:ascii="Arial" w:hAnsi="Arial" w:cs="Arial"/>
              </w:rPr>
            </w:pPr>
          </w:p>
        </w:tc>
      </w:tr>
      <w:tr w:rsidR="0003627C" w:rsidRPr="00A54BC3" w14:paraId="7A7792FA" w14:textId="77777777" w:rsidTr="00991850">
        <w:trPr>
          <w:trHeight w:val="315"/>
        </w:trPr>
        <w:tc>
          <w:tcPr>
            <w:tcW w:w="1140" w:type="dxa"/>
            <w:tcBorders>
              <w:top w:val="nil"/>
              <w:left w:val="single" w:sz="6" w:space="0" w:color="000000"/>
              <w:bottom w:val="single" w:sz="6" w:space="0" w:color="000000"/>
              <w:right w:val="single" w:sz="6" w:space="0" w:color="000000"/>
            </w:tcBorders>
            <w:shd w:val="clear" w:color="auto" w:fill="FFFFFF"/>
            <w:vAlign w:val="center"/>
            <w:hideMark/>
          </w:tcPr>
          <w:p w14:paraId="1CB534EB"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2026</w:t>
            </w:r>
          </w:p>
        </w:tc>
        <w:tc>
          <w:tcPr>
            <w:tcW w:w="15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BBECBE"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101.000,00 €</w:t>
            </w:r>
          </w:p>
        </w:tc>
        <w:tc>
          <w:tcPr>
            <w:tcW w:w="20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7618E7"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26.500,00 €</w:t>
            </w:r>
          </w:p>
        </w:tc>
        <w:tc>
          <w:tcPr>
            <w:tcW w:w="1934" w:type="dxa"/>
            <w:tcBorders>
              <w:top w:val="nil"/>
              <w:left w:val="single" w:sz="6" w:space="0" w:color="000000"/>
              <w:bottom w:val="single" w:sz="6" w:space="0" w:color="000000"/>
              <w:right w:val="single" w:sz="6" w:space="0" w:color="000000"/>
            </w:tcBorders>
            <w:shd w:val="clear" w:color="auto" w:fill="FFFFFF"/>
            <w:vAlign w:val="center"/>
            <w:hideMark/>
          </w:tcPr>
          <w:p w14:paraId="5FA634B3"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85.000,00 €</w:t>
            </w:r>
          </w:p>
        </w:tc>
        <w:tc>
          <w:tcPr>
            <w:tcW w:w="1770" w:type="dxa"/>
            <w:tcBorders>
              <w:top w:val="nil"/>
              <w:left w:val="single" w:sz="6" w:space="0" w:color="000000"/>
              <w:bottom w:val="single" w:sz="6" w:space="0" w:color="000000"/>
              <w:right w:val="single" w:sz="6" w:space="0" w:color="000000"/>
            </w:tcBorders>
            <w:shd w:val="clear" w:color="auto" w:fill="FFFFFF"/>
            <w:vAlign w:val="center"/>
            <w:hideMark/>
          </w:tcPr>
          <w:p w14:paraId="0640AE9E"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212.500,00 €</w:t>
            </w:r>
          </w:p>
        </w:tc>
      </w:tr>
      <w:tr w:rsidR="0003627C" w:rsidRPr="00A54BC3" w14:paraId="3B816AD4" w14:textId="77777777" w:rsidTr="00991850">
        <w:tc>
          <w:tcPr>
            <w:tcW w:w="11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4E67C5"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2027</w:t>
            </w:r>
          </w:p>
        </w:tc>
        <w:tc>
          <w:tcPr>
            <w:tcW w:w="15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EFE095"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101.000,00 €</w:t>
            </w:r>
          </w:p>
        </w:tc>
        <w:tc>
          <w:tcPr>
            <w:tcW w:w="20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87A32C"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26.500,00 €</w:t>
            </w:r>
          </w:p>
        </w:tc>
        <w:tc>
          <w:tcPr>
            <w:tcW w:w="19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8BB02C"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85.000,00 €</w:t>
            </w:r>
          </w:p>
        </w:tc>
        <w:tc>
          <w:tcPr>
            <w:tcW w:w="17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F22BA6"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212.500,00 €</w:t>
            </w:r>
          </w:p>
        </w:tc>
      </w:tr>
      <w:tr w:rsidR="0003627C" w:rsidRPr="00A54BC3" w14:paraId="48CFAB67" w14:textId="77777777" w:rsidTr="00991850">
        <w:tc>
          <w:tcPr>
            <w:tcW w:w="11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EC1397"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2028</w:t>
            </w:r>
          </w:p>
        </w:tc>
        <w:tc>
          <w:tcPr>
            <w:tcW w:w="15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B87A1E"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101.000,00 €</w:t>
            </w:r>
          </w:p>
        </w:tc>
        <w:tc>
          <w:tcPr>
            <w:tcW w:w="20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31D140"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26.500,00 €</w:t>
            </w:r>
          </w:p>
        </w:tc>
        <w:tc>
          <w:tcPr>
            <w:tcW w:w="19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3563F0"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85.000,00 €</w:t>
            </w:r>
          </w:p>
        </w:tc>
        <w:tc>
          <w:tcPr>
            <w:tcW w:w="17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479FF1"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212.500,00 €</w:t>
            </w:r>
          </w:p>
        </w:tc>
      </w:tr>
      <w:tr w:rsidR="0003627C" w:rsidRPr="00A54BC3" w14:paraId="6D4B5D1E" w14:textId="77777777" w:rsidTr="00991850">
        <w:tc>
          <w:tcPr>
            <w:tcW w:w="11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EF79DD"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2029</w:t>
            </w:r>
          </w:p>
        </w:tc>
        <w:tc>
          <w:tcPr>
            <w:tcW w:w="154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22FF42"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101.000,00 €</w:t>
            </w:r>
          </w:p>
        </w:tc>
        <w:tc>
          <w:tcPr>
            <w:tcW w:w="20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A75700"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26.500,00 €</w:t>
            </w:r>
          </w:p>
        </w:tc>
        <w:tc>
          <w:tcPr>
            <w:tcW w:w="19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C1748A"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85.000,00 €</w:t>
            </w:r>
          </w:p>
        </w:tc>
        <w:tc>
          <w:tcPr>
            <w:tcW w:w="17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A0AE4B"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lang w:val="eu-ES" w:eastAsia="es-ES"/>
              </w:rPr>
              <w:t>212.500,00 €</w:t>
            </w:r>
          </w:p>
        </w:tc>
      </w:tr>
      <w:tr w:rsidR="0003627C" w:rsidRPr="00A54BC3" w14:paraId="01E260BB" w14:textId="77777777" w:rsidTr="00991850">
        <w:tc>
          <w:tcPr>
            <w:tcW w:w="114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F403AFC"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GUZTIRA</w:t>
            </w:r>
          </w:p>
        </w:tc>
        <w:tc>
          <w:tcPr>
            <w:tcW w:w="154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E23D5BF"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404.000,00 €</w:t>
            </w:r>
          </w:p>
        </w:tc>
        <w:tc>
          <w:tcPr>
            <w:tcW w:w="2084"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FCBF880"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106.000,00 €</w:t>
            </w:r>
          </w:p>
        </w:tc>
        <w:tc>
          <w:tcPr>
            <w:tcW w:w="1934"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F09007E"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340.000,00 €</w:t>
            </w:r>
          </w:p>
        </w:tc>
        <w:tc>
          <w:tcPr>
            <w:tcW w:w="177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764D23E" w14:textId="77777777" w:rsidR="0003627C" w:rsidRPr="00A54BC3" w:rsidRDefault="0003627C" w:rsidP="00991850">
            <w:pPr>
              <w:pStyle w:val="Prrafodelista"/>
              <w:spacing w:before="100" w:beforeAutospacing="1" w:after="100" w:afterAutospacing="1"/>
              <w:ind w:left="0"/>
              <w:jc w:val="center"/>
              <w:rPr>
                <w:rFonts w:ascii="Arial" w:hAnsi="Arial" w:cs="Arial"/>
              </w:rPr>
            </w:pPr>
            <w:r w:rsidRPr="00A54BC3">
              <w:rPr>
                <w:rFonts w:ascii="Arial" w:eastAsia="Arial" w:hAnsi="Arial" w:cs="Arial"/>
                <w:b/>
                <w:bCs/>
                <w:lang w:val="eu-ES" w:eastAsia="es-ES"/>
              </w:rPr>
              <w:t>850.000,00 €</w:t>
            </w:r>
          </w:p>
        </w:tc>
      </w:tr>
    </w:tbl>
    <w:p w14:paraId="5D414610" w14:textId="77777777" w:rsidR="00A54BC3" w:rsidRDefault="00A54BC3" w:rsidP="0003627C">
      <w:pPr>
        <w:spacing w:before="100" w:beforeAutospacing="1" w:after="100" w:afterAutospacing="1"/>
        <w:outlineLvl w:val="2"/>
        <w:rPr>
          <w:rFonts w:ascii="Arial" w:eastAsia="Arial" w:hAnsi="Arial" w:cs="Arial"/>
          <w:b/>
          <w:bCs/>
          <w:lang w:val="eu-ES" w:eastAsia="es-ES"/>
        </w:rPr>
      </w:pPr>
    </w:p>
    <w:p w14:paraId="592AEC7B" w14:textId="77777777" w:rsidR="00A54BC3" w:rsidRDefault="00A54BC3" w:rsidP="0003627C">
      <w:pPr>
        <w:spacing w:before="100" w:beforeAutospacing="1" w:after="100" w:afterAutospacing="1"/>
        <w:outlineLvl w:val="2"/>
        <w:rPr>
          <w:rFonts w:ascii="Arial" w:eastAsia="Arial" w:hAnsi="Arial" w:cs="Arial"/>
          <w:b/>
          <w:bCs/>
          <w:lang w:val="eu-ES" w:eastAsia="es-ES"/>
        </w:rPr>
      </w:pPr>
    </w:p>
    <w:p w14:paraId="64A58EFE" w14:textId="2C29C302" w:rsidR="0003627C" w:rsidRPr="00A54BC3" w:rsidRDefault="0003627C" w:rsidP="0003627C">
      <w:pPr>
        <w:spacing w:before="100" w:beforeAutospacing="1" w:after="100" w:afterAutospacing="1"/>
        <w:outlineLvl w:val="2"/>
        <w:rPr>
          <w:rFonts w:ascii="Arial" w:hAnsi="Arial" w:cs="Arial"/>
          <w:b/>
          <w:bCs/>
          <w:highlight w:val="yellow"/>
        </w:rPr>
      </w:pPr>
      <w:r w:rsidRPr="00A54BC3">
        <w:rPr>
          <w:rFonts w:ascii="Arial" w:eastAsia="Arial" w:hAnsi="Arial" w:cs="Arial"/>
          <w:b/>
          <w:bCs/>
          <w:lang w:val="eu-ES" w:eastAsia="es-ES"/>
        </w:rPr>
        <w:lastRenderedPageBreak/>
        <w:t xml:space="preserve">Seigarrena. </w:t>
      </w:r>
      <w:r w:rsidRPr="00A54BC3">
        <w:rPr>
          <w:rFonts w:ascii="Arial" w:eastAsia="Arial" w:hAnsi="Arial" w:cs="Arial"/>
          <w:i/>
          <w:iCs/>
          <w:lang w:val="eu-ES" w:eastAsia="es-ES"/>
        </w:rPr>
        <w:t>Betearaztea eta ordaintzeko modua</w:t>
      </w:r>
    </w:p>
    <w:p w14:paraId="3E6B94CC"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Hala eskatzen duten jarduketak izapidetu, fiskalizatu, onetsi eta betearaziko ditu kasuak kasu eskumena duen administrazioaren organo eskudunak, ordenamendu juridikoan ezarritakoaren esparruan. </w:t>
      </w:r>
    </w:p>
    <w:p w14:paraId="40381D84"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Ministerioaren ekarpen ekonomikoak Aldundiari ordainduko zaizkio</w:t>
      </w:r>
      <w:r w:rsidRPr="00A54BC3">
        <w:rPr>
          <w:rFonts w:ascii="Arial" w:eastAsia="Arial" w:hAnsi="Arial" w:cs="Arial"/>
          <w:color w:val="FF0000"/>
          <w:lang w:val="eu-ES" w:eastAsia="es-ES"/>
        </w:rPr>
        <w:t xml:space="preserve"> </w:t>
      </w:r>
      <w:r w:rsidRPr="00A54BC3">
        <w:rPr>
          <w:rFonts w:ascii="Arial" w:eastAsia="Arial" w:hAnsi="Arial" w:cs="Arial"/>
          <w:lang w:val="eu-ES" w:eastAsia="es-ES"/>
        </w:rPr>
        <w:t>hitzarmena indarrean sartzen denean, dagokion ekitaldian zehar, eta banku transferentzia bidez, Aldundiaren izenean dagoen kontuan. Hori egingo da hitzarmenak irauten duen bitartean eta zortzigarren klausulan deskribatutako Jarraipen Batzordeak hitzarmen honetan hartutako konpromiso ekonomikoak behar bezala bete eta justifikatu direla egiaztatzen duenean, bosgarren klausulan ezarritako gehieneko zenbatekoaren mugarekin, azaroaren 26ko 47/2003 Lege Orokorrean, aurrekontuei buruzkoan, 21.3. artikuluan ezarritakoaren arabera. </w:t>
      </w:r>
    </w:p>
    <w:p w14:paraId="43D12EC3"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Aldundiak hitzarmena amaitu eta hurrengo hiru hilabeteen barruan aurkeztuko duen gastuen azken justifikazioan orain adieraziko diren dokumentuak jaso beharko dira: </w:t>
      </w:r>
    </w:p>
    <w:p w14:paraId="4AFBD890" w14:textId="77777777" w:rsidR="0003627C" w:rsidRPr="00A54BC3" w:rsidRDefault="0003627C" w:rsidP="0003627C">
      <w:pPr>
        <w:pStyle w:val="Prrafodelista"/>
        <w:numPr>
          <w:ilvl w:val="0"/>
          <w:numId w:val="35"/>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Aldundiaren kontu hartzailetzaren edo organo baliokidearen ziurtagiria, non benetan gastatutako eta ordaindutako kopuruak jasoko diren, Hitzarmen honetan finantzatzen diren kontzeptuak kontuan hartuz. Halaber, ziurtagiri horretan jasoko da hitzarmen honen jarduketa edo zerbitzuen justifikazioan barne hartutako gastu eta ordainketa guztiak ez direla sartu beste hitzarmen batzuetan, ezta beste erakunde batzuen dirulaguntza, laguntza, sarrera edo baliabideen xede izan ere. Azkenik,  beste erakunde publiko edo pribatuei ere ez zaiela aurkeztu, haiek emandako laguntzen frogagiri gisa. Gastuak hitzarmen hau amaitu baino lehen gauzatuta egon beharko dira. </w:t>
      </w:r>
    </w:p>
    <w:p w14:paraId="3AAFF177" w14:textId="77777777" w:rsidR="0003627C" w:rsidRPr="00A54BC3" w:rsidRDefault="0003627C" w:rsidP="0003627C">
      <w:pPr>
        <w:pStyle w:val="Prrafodelista"/>
        <w:numPr>
          <w:ilvl w:val="0"/>
          <w:numId w:val="35"/>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Aldundiaren organo eskudunaren ziurtagiria. Hor, finantzatutako kontzeptu bakoitzeko gastua banakatuta, eta programen betetze mailari buruzko informazioa jasoko da.  </w:t>
      </w:r>
    </w:p>
    <w:p w14:paraId="0ACF4451"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Nolanahi ere, Aldundiak Ministerioak eskatzen dion informazio guztiak eman behar dio. </w:t>
      </w:r>
    </w:p>
    <w:p w14:paraId="4C7C81FC"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b/>
          <w:bCs/>
          <w:highlight w:val="yellow"/>
        </w:rPr>
      </w:pPr>
      <w:r w:rsidRPr="00A54BC3">
        <w:rPr>
          <w:rFonts w:ascii="Arial" w:eastAsia="Arial" w:hAnsi="Arial" w:cs="Arial"/>
          <w:lang w:val="eu-ES" w:eastAsia="es-ES"/>
        </w:rPr>
        <w:t>Hori egiaztatzeko, beharrezkoa balitz, egindako ordainketen jatorrizko egiaztagiriak edo kopia konpultsatuak gorde beharko ditu Aldundiak, hitzarmen hau amaitu eta hurrengo 4 urteetan gutxienez.</w:t>
      </w:r>
    </w:p>
    <w:p w14:paraId="5F9380FA"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i/>
          <w:iCs/>
        </w:rPr>
      </w:pPr>
      <w:r w:rsidRPr="00A54BC3">
        <w:rPr>
          <w:rFonts w:ascii="Arial" w:eastAsia="Arial" w:hAnsi="Arial" w:cs="Arial"/>
          <w:b/>
          <w:bCs/>
          <w:lang w:val="eu-ES" w:eastAsia="es-ES"/>
        </w:rPr>
        <w:t>Zazpigarrena.</w:t>
      </w:r>
      <w:r w:rsidRPr="00A54BC3">
        <w:rPr>
          <w:rFonts w:ascii="Arial" w:eastAsia="Arial" w:hAnsi="Arial" w:cs="Arial"/>
          <w:lang w:val="eu-ES" w:eastAsia="es-ES"/>
        </w:rPr>
        <w:t xml:space="preserve"> </w:t>
      </w:r>
      <w:r w:rsidRPr="00A54BC3">
        <w:rPr>
          <w:rFonts w:ascii="Arial" w:eastAsia="Arial" w:hAnsi="Arial" w:cs="Arial"/>
          <w:i/>
          <w:iCs/>
          <w:lang w:val="eu-ES" w:eastAsia="es-ES"/>
        </w:rPr>
        <w:t>Publizitatea eta zabalkundea</w:t>
      </w:r>
    </w:p>
    <w:p w14:paraId="38C7EE42"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 xml:space="preserve">Lurralde Berrikuntzako Zentroak lan egiteko erabilitako dokumentu eta material guztiek, seinaleek, komunikatzeko moduek edo hedabideek, fisikoek zein elektronikoek, jarduerek edo proiektuek, informazio hau jaso beharko dute: </w:t>
      </w:r>
    </w:p>
    <w:p w14:paraId="690C21FB" w14:textId="77777777" w:rsidR="0003627C" w:rsidRPr="00A54BC3" w:rsidRDefault="0003627C" w:rsidP="0003627C">
      <w:pPr>
        <w:pStyle w:val="Prrafodelista"/>
        <w:spacing w:before="100" w:beforeAutospacing="1" w:after="100" w:afterAutospacing="1"/>
        <w:ind w:left="0" w:firstLine="426"/>
        <w:jc w:val="both"/>
        <w:rPr>
          <w:rFonts w:ascii="Arial" w:hAnsi="Arial" w:cs="Arial"/>
        </w:rPr>
      </w:pPr>
      <w:r w:rsidRPr="00A54BC3">
        <w:rPr>
          <w:rFonts w:ascii="Arial" w:eastAsia="Arial" w:hAnsi="Arial" w:cs="Arial"/>
          <w:lang w:val="eu-ES" w:eastAsia="es-ES"/>
        </w:rPr>
        <w:t>a) “Arabako Lurralde Berrikuntzako Zentroa” izena.</w:t>
      </w:r>
    </w:p>
    <w:p w14:paraId="11808961" w14:textId="77777777" w:rsidR="0003627C" w:rsidRPr="00A54BC3" w:rsidRDefault="0003627C" w:rsidP="0003627C">
      <w:pPr>
        <w:pStyle w:val="Prrafodelista"/>
        <w:spacing w:before="100" w:beforeAutospacing="1" w:after="100" w:afterAutospacing="1"/>
        <w:ind w:left="0" w:firstLine="426"/>
        <w:jc w:val="both"/>
        <w:rPr>
          <w:rFonts w:ascii="Arial" w:hAnsi="Arial" w:cs="Arial"/>
        </w:rPr>
      </w:pPr>
      <w:r w:rsidRPr="00A54BC3">
        <w:rPr>
          <w:rFonts w:ascii="Arial" w:eastAsia="Arial" w:hAnsi="Arial" w:cs="Arial"/>
          <w:lang w:val="eu-ES" w:eastAsia="es-ES"/>
        </w:rPr>
        <w:t>b) Lurralde Berrikuntzako Zentroen Sarearen – LBZ SAREA logotipoa.</w:t>
      </w:r>
    </w:p>
    <w:p w14:paraId="0B2316FF" w14:textId="77777777" w:rsidR="0003627C" w:rsidRPr="00A54BC3" w:rsidRDefault="0003627C" w:rsidP="0003627C">
      <w:pPr>
        <w:pStyle w:val="Prrafodelista"/>
        <w:spacing w:before="100" w:beforeAutospacing="1" w:after="100" w:afterAutospacing="1"/>
        <w:ind w:left="0" w:firstLine="426"/>
        <w:jc w:val="both"/>
        <w:rPr>
          <w:rFonts w:ascii="Arial" w:hAnsi="Arial" w:cs="Arial"/>
        </w:rPr>
      </w:pPr>
      <w:r w:rsidRPr="00A54BC3">
        <w:rPr>
          <w:rFonts w:ascii="Arial" w:eastAsia="Arial" w:hAnsi="Arial" w:cs="Arial"/>
          <w:lang w:val="eu-ES" w:eastAsia="es-ES"/>
        </w:rPr>
        <w:t>c) Ministerioaren eta Aldundiaren logotipoak.</w:t>
      </w:r>
    </w:p>
    <w:p w14:paraId="5C35F66C" w14:textId="77777777" w:rsidR="0003627C" w:rsidRPr="00A54BC3" w:rsidRDefault="0003627C" w:rsidP="0003627C">
      <w:pPr>
        <w:pStyle w:val="Default"/>
        <w:spacing w:before="100" w:beforeAutospacing="1" w:after="100" w:afterAutospacing="1"/>
        <w:jc w:val="both"/>
        <w:rPr>
          <w:b/>
          <w:color w:val="auto"/>
          <w:sz w:val="22"/>
          <w:szCs w:val="22"/>
        </w:rPr>
      </w:pPr>
    </w:p>
    <w:p w14:paraId="1D3B7982" w14:textId="77777777" w:rsidR="0003627C" w:rsidRPr="00A54BC3" w:rsidRDefault="0003627C" w:rsidP="0003627C">
      <w:pPr>
        <w:pStyle w:val="Default"/>
        <w:spacing w:before="100" w:beforeAutospacing="1" w:after="100" w:afterAutospacing="1"/>
        <w:jc w:val="both"/>
        <w:rPr>
          <w:i/>
          <w:iCs/>
          <w:color w:val="auto"/>
          <w:sz w:val="22"/>
          <w:szCs w:val="22"/>
        </w:rPr>
      </w:pPr>
      <w:r w:rsidRPr="00A54BC3">
        <w:rPr>
          <w:rFonts w:eastAsia="Arial"/>
          <w:b/>
          <w:bCs/>
          <w:color w:val="auto"/>
          <w:sz w:val="22"/>
          <w:szCs w:val="22"/>
          <w:lang w:val="eu-ES"/>
        </w:rPr>
        <w:lastRenderedPageBreak/>
        <w:t>Zortzigarrena.</w:t>
      </w:r>
      <w:r w:rsidRPr="00A54BC3">
        <w:rPr>
          <w:rFonts w:eastAsia="Arial"/>
          <w:color w:val="auto"/>
          <w:sz w:val="22"/>
          <w:szCs w:val="22"/>
          <w:lang w:val="eu-ES"/>
        </w:rPr>
        <w:t xml:space="preserve"> </w:t>
      </w:r>
      <w:r w:rsidRPr="00A54BC3">
        <w:rPr>
          <w:rFonts w:eastAsia="Arial"/>
          <w:i/>
          <w:iCs/>
          <w:color w:val="auto"/>
          <w:sz w:val="22"/>
          <w:szCs w:val="22"/>
          <w:lang w:val="eu-ES"/>
        </w:rPr>
        <w:t>Jarraipena.</w:t>
      </w:r>
    </w:p>
    <w:p w14:paraId="0DB135C3"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Hitzarmen hau aplikatzeko Hitzarmenaren Jarraipen Batzorde bat eratuko da, eta alderdi bakoitzaren bi ordezkarik osatuko dute.</w:t>
      </w:r>
    </w:p>
    <w:p w14:paraId="626842E5"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 xml:space="preserve">Batzordeko lehendakaria Trantsizio Ekologikorako eta Erronka Demografikorako ordezkari bat izango da. Batzordeko idazkaria Ministerioak izendatutako funtzionario bat izango da, eta hitza eta botoa izango ditu. </w:t>
      </w:r>
    </w:p>
    <w:p w14:paraId="54DB28DA"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Gutxienez, urtean behin bilduko da Batzordea, eta sinatzen duen edozein alderdik eskatuz gero, ezohiko bilera ere egingo du.</w:t>
      </w:r>
    </w:p>
    <w:p w14:paraId="76BB0EFB"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Erabakiak ahal den neurrian adostasunez hartuko dira. Desadostasunik egonez gero, lehendakariaren botoa kalitateko botoa izango da.</w:t>
      </w:r>
    </w:p>
    <w:p w14:paraId="013AA095"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rPr>
      </w:pPr>
      <w:r w:rsidRPr="00A54BC3">
        <w:rPr>
          <w:rFonts w:ascii="Arial" w:eastAsia="Arial" w:hAnsi="Arial" w:cs="Arial"/>
          <w:lang w:val="eu-ES" w:eastAsia="es-ES"/>
        </w:rPr>
        <w:t>Jarraipen Batzordeak hitzarmen honetan ezarritakoari jarraituko dio bere jardunean, eta nolanahi ere, urriaren 1eko 40/2015 Legearen, sektore publikoaren araubide juridikoaren, 3. Ataleko, II. Kapituluko atariko tituluan xedatutakoari.</w:t>
      </w:r>
    </w:p>
    <w:p w14:paraId="412F2F19"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rPr>
      </w:pPr>
      <w:r w:rsidRPr="00A54BC3">
        <w:rPr>
          <w:rFonts w:ascii="Arial" w:eastAsia="Arial" w:hAnsi="Arial" w:cs="Arial"/>
          <w:lang w:val="eu-ES" w:eastAsia="es-ES"/>
        </w:rPr>
        <w:t>Eginkizun hauek dagozkio batzordeari:</w:t>
      </w:r>
    </w:p>
    <w:p w14:paraId="4A2EAA0C" w14:textId="77777777" w:rsidR="0003627C" w:rsidRPr="00A54BC3" w:rsidRDefault="0003627C" w:rsidP="0003627C">
      <w:pPr>
        <w:pStyle w:val="Prrafodelista"/>
        <w:numPr>
          <w:ilvl w:val="0"/>
          <w:numId w:val="20"/>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Hitzarmena betetzen dela zaintzea.</w:t>
      </w:r>
    </w:p>
    <w:p w14:paraId="7B3E7D1A" w14:textId="77777777" w:rsidR="0003627C" w:rsidRPr="00A54BC3" w:rsidRDefault="0003627C" w:rsidP="0003627C">
      <w:pPr>
        <w:pStyle w:val="Prrafodelista"/>
        <w:numPr>
          <w:ilvl w:val="0"/>
          <w:numId w:val="20"/>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Ebaztea hitzarmena gauzatzean sor daitezkeen interpretazio arazoak.</w:t>
      </w:r>
    </w:p>
    <w:p w14:paraId="27523A1E" w14:textId="77777777" w:rsidR="0003627C" w:rsidRPr="00A54BC3" w:rsidRDefault="0003627C" w:rsidP="0003627C">
      <w:pPr>
        <w:pStyle w:val="Prrafodelista"/>
        <w:numPr>
          <w:ilvl w:val="0"/>
          <w:numId w:val="20"/>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 xml:space="preserve">Hitzarmen honen barruan garatutako jarduketen jarraipena egitea. Bereziki, urte bakoitzean egindako jardueren memoria eta hurrengo urteko jardueren aurreikuspena berrikustea. </w:t>
      </w:r>
    </w:p>
    <w:p w14:paraId="188C6B7D" w14:textId="77777777" w:rsidR="0003627C" w:rsidRPr="00A54BC3" w:rsidRDefault="0003627C" w:rsidP="0003627C">
      <w:pPr>
        <w:pStyle w:val="Prrafodelista"/>
        <w:numPr>
          <w:ilvl w:val="0"/>
          <w:numId w:val="20"/>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 xml:space="preserve">Hitzarmen honetan hartutako konpromiso ekonomikoak eta gastuak egoki egiaztatu direla ziurtatzea. </w:t>
      </w:r>
    </w:p>
    <w:p w14:paraId="5E04650A" w14:textId="77777777" w:rsidR="0003627C" w:rsidRPr="00A54BC3" w:rsidRDefault="0003627C" w:rsidP="0003627C">
      <w:pPr>
        <w:pStyle w:val="Prrafodelista"/>
        <w:numPr>
          <w:ilvl w:val="0"/>
          <w:numId w:val="20"/>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Lurralde Berrikuntzako Zentroaren emaitzak ebaluatzea, bereziki egindako ekimenei eta lortutako partaidetza eta lankidetza publiko-pribatuari dagokienez.</w:t>
      </w:r>
    </w:p>
    <w:p w14:paraId="69A5072C" w14:textId="77777777" w:rsidR="0003627C" w:rsidRPr="00A54BC3" w:rsidRDefault="0003627C" w:rsidP="0003627C">
      <w:pPr>
        <w:pStyle w:val="Prrafodelista"/>
        <w:numPr>
          <w:ilvl w:val="0"/>
          <w:numId w:val="20"/>
        </w:numPr>
        <w:spacing w:before="100" w:beforeAutospacing="1" w:after="100" w:afterAutospacing="1" w:line="240" w:lineRule="auto"/>
        <w:contextualSpacing w:val="0"/>
        <w:jc w:val="both"/>
        <w:rPr>
          <w:rFonts w:ascii="Arial" w:hAnsi="Arial" w:cs="Arial"/>
        </w:rPr>
      </w:pPr>
      <w:r w:rsidRPr="00A54BC3">
        <w:rPr>
          <w:rFonts w:ascii="Arial" w:eastAsia="Arial" w:hAnsi="Arial" w:cs="Arial"/>
          <w:lang w:val="eu-ES" w:eastAsia="es-ES"/>
        </w:rPr>
        <w:t>Lurralde Berrikuntzako Zentroak garatu beharreko ekimenak modu autonomoan edo LBZ Sareko gainerako kideekin koordinatuz bultzatzea eta proposatzea.</w:t>
      </w:r>
    </w:p>
    <w:p w14:paraId="7B111B51"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rPr>
      </w:pPr>
      <w:r w:rsidRPr="00A54BC3">
        <w:rPr>
          <w:rFonts w:ascii="Arial" w:eastAsia="Arial" w:hAnsi="Arial" w:cs="Arial"/>
          <w:lang w:val="eu-ES" w:eastAsia="es-ES"/>
        </w:rPr>
        <w:t>Jarraipen Batzordeak hala erabakitzen badu, alderdiek urteko ordainketetan doiketak eska eta onets ditzakete, xedearen eta hitzarmen honetan jasotzen diren jarduketen gauzatze mailaren arabera, betiere zenbateko osoa handitzea eta epea luzatzea ekartzen ez badute, eta beti horretarako aurrekontua badago. </w:t>
      </w:r>
    </w:p>
    <w:p w14:paraId="5A51E7B0"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rPr>
      </w:pPr>
      <w:r w:rsidRPr="00A54BC3">
        <w:rPr>
          <w:rFonts w:ascii="Arial" w:eastAsia="Arial" w:hAnsi="Arial" w:cs="Arial"/>
          <w:lang w:val="eu-ES" w:eastAsia="es-ES"/>
        </w:rPr>
        <w:t>Batzordea, urriaren 1eko 40/2015 Legean, Sektore Publikoaren Araubide Juridikoari buruzkoan, 49.f). artikuluan ezarritakoaren arabera, alderdiek hitzarmenaren eta sinatzaileek hartutako konpromisoen jarraipena egiteko, zaintzeko eta kontrolatzeko erabakitako tresna da, eta bere eginkizunak betetzeko Lege horren 51.2.c). eta 52.3. artikuluetan ezarritakoari jarraituko dio.</w:t>
      </w:r>
    </w:p>
    <w:p w14:paraId="13322F1F"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rPr>
      </w:pPr>
      <w:r w:rsidRPr="00A54BC3">
        <w:rPr>
          <w:rFonts w:ascii="Arial" w:eastAsia="Arial" w:hAnsi="Arial" w:cs="Arial"/>
          <w:lang w:val="eu-ES" w:eastAsia="es-ES"/>
        </w:rPr>
        <w:t>Sinatzaileek hitzematen dute hitzarmen hau interpretatzean eta betetzean sor daitezkeen desadostasunak Jarraipen Batzordearen barruan konponduko dituztela, elkarrekin ados jarriz. Hala ere, administrazioarekiko auzien jurisdikzioak eskumena izango du sor daitezkeen kontu eta auzi guztiak ezagutzeko.</w:t>
      </w:r>
    </w:p>
    <w:p w14:paraId="0746661F"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rPr>
      </w:pPr>
      <w:r w:rsidRPr="00A54BC3">
        <w:rPr>
          <w:rFonts w:ascii="Arial" w:eastAsia="Arial" w:hAnsi="Arial" w:cs="Arial"/>
          <w:lang w:val="eu-ES" w:eastAsia="es-ES"/>
        </w:rPr>
        <w:lastRenderedPageBreak/>
        <w:t>Beren eginkizunak garatzeko, Batzordeko kideek beste administrazio publiko batzuetako ordezkariek parte hartzea erabaki dezakete, baita interesa duten ekonomia eta gizarte arloko eragileek ere, proiektua garatzeko egokitzat jotzen badute. Ordezkari horiek, hitza izango dute, baina botorik ez. Era berean, batzordeari aholkatzeko egokitzat hartzen dituzten teknikariek parte ahal izango dute.</w:t>
      </w:r>
    </w:p>
    <w:p w14:paraId="32C86D08"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rPr>
      </w:pPr>
      <w:r w:rsidRPr="00A54BC3">
        <w:rPr>
          <w:rFonts w:ascii="Arial" w:eastAsia="Arial" w:hAnsi="Arial" w:cs="Arial"/>
          <w:b/>
          <w:bCs/>
          <w:lang w:val="eu-ES" w:eastAsia="es-ES"/>
        </w:rPr>
        <w:t>Bederatzigarrena.</w:t>
      </w:r>
      <w:r w:rsidRPr="00A54BC3">
        <w:rPr>
          <w:rFonts w:ascii="Arial" w:eastAsia="Arial" w:hAnsi="Arial" w:cs="Arial"/>
          <w:lang w:val="eu-ES" w:eastAsia="es-ES"/>
        </w:rPr>
        <w:t xml:space="preserve"> </w:t>
      </w:r>
      <w:r w:rsidRPr="00A54BC3">
        <w:rPr>
          <w:rFonts w:ascii="Arial" w:eastAsia="Arial" w:hAnsi="Arial" w:cs="Arial"/>
          <w:i/>
          <w:iCs/>
          <w:lang w:val="eu-ES" w:eastAsia="es-ES"/>
        </w:rPr>
        <w:t>Indarraldia eta luzapena</w:t>
      </w:r>
      <w:r w:rsidRPr="00A54BC3">
        <w:rPr>
          <w:rFonts w:ascii="Arial" w:eastAsia="Arial" w:hAnsi="Arial" w:cs="Arial"/>
          <w:lang w:val="eu-ES" w:eastAsia="es-ES"/>
        </w:rPr>
        <w:t>.</w:t>
      </w:r>
    </w:p>
    <w:p w14:paraId="4E0BA778"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rPr>
      </w:pPr>
      <w:r w:rsidRPr="00A54BC3">
        <w:rPr>
          <w:rFonts w:ascii="Arial" w:eastAsia="Arial" w:hAnsi="Arial" w:cs="Arial"/>
          <w:lang w:val="eu-ES" w:eastAsia="es-ES"/>
        </w:rPr>
        <w:t>Hitzarmen honek lau urteko indarraldia izango du, Estatuko sektore publikoko Lankidetza Organo eta Tresnen Estatuko Erregistro Elektronikoan inskribatzen den egunetik zenbatzen hasita, eta Estatuko Aldizkari Ofizialean argitaratuko da.</w:t>
      </w:r>
    </w:p>
    <w:p w14:paraId="30247F16"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rPr>
      </w:pPr>
      <w:r w:rsidRPr="00A54BC3">
        <w:rPr>
          <w:rFonts w:ascii="Arial" w:eastAsia="Arial" w:hAnsi="Arial" w:cs="Arial"/>
          <w:lang w:val="eu-ES" w:eastAsia="es-ES"/>
        </w:rPr>
        <w:t>Luzapena eskatu ahalko da, gehienez, beste lau urte, urriaren 1eko 40/2015 Legeak, sektore publikoaren araubide juridikoari buruzkoak, 49.h).2. artikuluan ezarritakoaren arabera.</w:t>
      </w:r>
    </w:p>
    <w:p w14:paraId="032C3654"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rPr>
      </w:pPr>
      <w:r w:rsidRPr="00A54BC3">
        <w:rPr>
          <w:rFonts w:ascii="Arial" w:eastAsia="Arial" w:hAnsi="Arial" w:cs="Arial"/>
          <w:lang w:val="eu-ES" w:eastAsia="es-ES"/>
        </w:rPr>
        <w:t>Luzapen gehigarriak hitzarmenaren indarraldia amaitzen den egunean izango ditu ondorioak, araudian ezarritako izapide guztiak egin eta gero. Barne hartzen da hitzarmena azkendu baino lehen sinatzea eta  Lankidetza Organo eta Tresnen Estatuko Erregistro Elektronikoan inskribatzea. Horrez gain, Estatuko Aldizkari Ofizialean argitaratuko da.</w:t>
      </w:r>
    </w:p>
    <w:p w14:paraId="522CE4FE"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i/>
          <w:iCs/>
        </w:rPr>
      </w:pPr>
      <w:r w:rsidRPr="00A54BC3">
        <w:rPr>
          <w:rFonts w:ascii="Arial" w:eastAsia="Arial" w:hAnsi="Arial" w:cs="Arial"/>
          <w:b/>
          <w:bCs/>
          <w:lang w:val="eu-ES" w:eastAsia="es-ES"/>
        </w:rPr>
        <w:t>Hamargarrena.</w:t>
      </w:r>
      <w:r w:rsidRPr="00A54BC3">
        <w:rPr>
          <w:rFonts w:ascii="Arial" w:eastAsia="Arial" w:hAnsi="Arial" w:cs="Arial"/>
          <w:lang w:val="eu-ES" w:eastAsia="es-ES"/>
        </w:rPr>
        <w:t xml:space="preserve"> </w:t>
      </w:r>
      <w:r w:rsidRPr="00A54BC3">
        <w:rPr>
          <w:rFonts w:ascii="Arial" w:eastAsia="Arial" w:hAnsi="Arial" w:cs="Arial"/>
          <w:i/>
          <w:iCs/>
          <w:lang w:val="eu-ES" w:eastAsia="es-ES"/>
        </w:rPr>
        <w:t>Aldatzea, azkentzea eta ebaztea.</w:t>
      </w:r>
    </w:p>
    <w:p w14:paraId="1F59D21F"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 xml:space="preserve">Alderdiek erabakitzen badute, hitzarmen hau aldatu ahalko da. </w:t>
      </w:r>
    </w:p>
    <w:p w14:paraId="53DEC4AE"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 xml:space="preserve">Luzapen gehigarriak ondorioak izango ditu hitzarmena azkendu baino lehen sinatu eta Lankidetza Organo eta Tresnen Estatuko Erregistro Elektronikoan inskribatzen bada, urriaren 1eko 40/2015 Legearen 48. artikuluan, eta Lege horren zazpigarren xedapenaren 2. apartatuan ezarritakoaren arabera. Horrez gain, Estatuko Aldizkari Ofizialean argitaratuko da. </w:t>
      </w:r>
    </w:p>
    <w:p w14:paraId="242C23C0"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 xml:space="preserve">Hitzarmenaren ebazpena eta haren ondorioak Sektore Publikoaren Araubide Juridikoaren urriaren 1eko 40/2015 Legearen 51 eta 52 artikuluetan ezarrita dago. </w:t>
      </w:r>
    </w:p>
    <w:p w14:paraId="4C643CBD"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 xml:space="preserve">Bereziki, hitzarmena azkenduko da xede dituen jarduketak betetzen direnean edo hitzarmena suntsiarazteko arrazoiren bat gertatzen denean. Hitzarmen hau ebazteko arrazoiak izango dira urriaren 1eko 40/2015 Legeak, Sektore Publikoaren Araubide Juridikoari buruzkoak, 51.2. artikuluan ezarritakoak, eta nolanahi ere, honako hauek: </w:t>
      </w:r>
    </w:p>
    <w:p w14:paraId="3C7AFD25" w14:textId="77777777" w:rsidR="0003627C" w:rsidRPr="00A54BC3" w:rsidRDefault="0003627C" w:rsidP="0003627C">
      <w:pPr>
        <w:spacing w:before="100" w:beforeAutospacing="1" w:after="100" w:afterAutospacing="1"/>
        <w:ind w:firstLine="426"/>
        <w:jc w:val="both"/>
        <w:rPr>
          <w:rFonts w:ascii="Arial" w:hAnsi="Arial" w:cs="Arial"/>
        </w:rPr>
      </w:pPr>
      <w:r w:rsidRPr="00A54BC3">
        <w:rPr>
          <w:rFonts w:ascii="Arial" w:eastAsia="Arial" w:hAnsi="Arial" w:cs="Arial"/>
          <w:lang w:val="eu-ES" w:eastAsia="es-ES"/>
        </w:rPr>
        <w:t>a)</w:t>
      </w:r>
      <w:r w:rsidRPr="00A54BC3">
        <w:rPr>
          <w:rFonts w:ascii="Arial" w:eastAsia="Arial" w:hAnsi="Arial" w:cs="Arial"/>
          <w:lang w:val="eu-ES" w:eastAsia="es-ES"/>
        </w:rPr>
        <w:tab/>
        <w:t>Edozein alderdik gerora klausulak ezin betetzea, ezintasun hori legezkoa zein materiala bada ere.</w:t>
      </w:r>
    </w:p>
    <w:p w14:paraId="554E5027" w14:textId="77777777" w:rsidR="0003627C" w:rsidRPr="00A54BC3" w:rsidRDefault="0003627C" w:rsidP="0003627C">
      <w:pPr>
        <w:spacing w:before="100" w:beforeAutospacing="1" w:after="100" w:afterAutospacing="1"/>
        <w:ind w:firstLine="426"/>
        <w:jc w:val="both"/>
        <w:rPr>
          <w:rFonts w:ascii="Arial" w:hAnsi="Arial" w:cs="Arial"/>
        </w:rPr>
      </w:pPr>
      <w:r w:rsidRPr="00A54BC3">
        <w:rPr>
          <w:rFonts w:ascii="Arial" w:eastAsia="Arial" w:hAnsi="Arial" w:cs="Arial"/>
          <w:lang w:val="eu-ES" w:eastAsia="es-ES"/>
        </w:rPr>
        <w:t>b)</w:t>
      </w:r>
      <w:r w:rsidRPr="00A54BC3">
        <w:rPr>
          <w:rFonts w:ascii="Arial" w:eastAsia="Arial" w:hAnsi="Arial" w:cs="Arial"/>
          <w:lang w:val="eu-ES" w:eastAsia="es-ES"/>
        </w:rPr>
        <w:tab/>
        <w:t>Ebazteko arrazoia urriaren 1eko 40/2015 Legearen 51.2 artikuluan jasotzen bada, eta urriaren 1eko 40/2015 Legearen 49.e) artikuluan ezarritakoaren arabera, ez-betetzeagatiko kaltea ordaindu ahal izateko, irizpide hauek kontuan hartuko dira: beste alderdiari eragindako kaltearen larritasuna; ez-betetzearen eta kalteak sortzearen arteko kausa-erlazio zuzena, konpontzeko aukera eta egondako inguruabarrak.</w:t>
      </w:r>
    </w:p>
    <w:p w14:paraId="3865CE99"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lastRenderedPageBreak/>
        <w:t>Edonola ere, hitzarmen honen babespean garatzen ari diren jarduerak edo programak zuzen amaituko direla bermatuko da, luzatu ezingo den epe batean. Epe hori alderdiek finkatuko dute, behin hitzarmena ebatzita.</w:t>
      </w:r>
    </w:p>
    <w:p w14:paraId="34B382AC" w14:textId="77777777" w:rsidR="0003627C" w:rsidRPr="00A54BC3" w:rsidRDefault="0003627C" w:rsidP="0003627C">
      <w:pPr>
        <w:pStyle w:val="Prrafodelista"/>
        <w:spacing w:before="100" w:beforeAutospacing="1" w:after="100" w:afterAutospacing="1"/>
        <w:ind w:left="0"/>
        <w:contextualSpacing w:val="0"/>
        <w:jc w:val="both"/>
        <w:rPr>
          <w:rFonts w:ascii="Arial" w:hAnsi="Arial" w:cs="Arial"/>
          <w:b/>
        </w:rPr>
      </w:pPr>
      <w:r w:rsidRPr="00A54BC3">
        <w:rPr>
          <w:rFonts w:ascii="Arial" w:eastAsia="Arial" w:hAnsi="Arial" w:cs="Arial"/>
          <w:b/>
          <w:bCs/>
          <w:lang w:val="eu-ES" w:eastAsia="es-ES"/>
        </w:rPr>
        <w:t xml:space="preserve">Hamaikagarrena. </w:t>
      </w:r>
      <w:r w:rsidRPr="00A54BC3">
        <w:rPr>
          <w:rFonts w:ascii="Arial" w:eastAsia="Arial" w:hAnsi="Arial" w:cs="Arial"/>
          <w:i/>
          <w:iCs/>
          <w:lang w:val="eu-ES" w:eastAsia="es-ES"/>
        </w:rPr>
        <w:t>Likidazioa </w:t>
      </w:r>
    </w:p>
    <w:p w14:paraId="65A8D813" w14:textId="77777777" w:rsidR="0003627C" w:rsidRPr="00A54BC3" w:rsidRDefault="0003627C" w:rsidP="0003627C">
      <w:pPr>
        <w:spacing w:before="100" w:beforeAutospacing="1" w:after="100" w:afterAutospacing="1"/>
        <w:jc w:val="both"/>
        <w:rPr>
          <w:rFonts w:ascii="Arial" w:hAnsi="Arial" w:cs="Arial"/>
        </w:rPr>
      </w:pPr>
      <w:r w:rsidRPr="00A54BC3">
        <w:rPr>
          <w:rFonts w:ascii="Arial" w:eastAsia="Arial" w:hAnsi="Arial" w:cs="Arial"/>
          <w:lang w:val="eu-ES" w:eastAsia="es-ES"/>
        </w:rPr>
        <w:t xml:space="preserve">Hitzarmena betetzeak eta azkentzeak hitzarmena likidatzea ekarriko du, alde bakoitzaren betebeharrak eta konpromisoak zehazteko. </w:t>
      </w:r>
    </w:p>
    <w:p w14:paraId="197637B5" w14:textId="77777777" w:rsidR="0003627C" w:rsidRPr="00A54BC3" w:rsidRDefault="0003627C" w:rsidP="0003627C">
      <w:pPr>
        <w:spacing w:before="100" w:beforeAutospacing="1" w:after="100" w:afterAutospacing="1"/>
        <w:jc w:val="both"/>
        <w:rPr>
          <w:rFonts w:ascii="Arial" w:hAnsi="Arial" w:cs="Arial"/>
          <w:color w:val="000000"/>
        </w:rPr>
      </w:pPr>
      <w:r w:rsidRPr="00A54BC3">
        <w:rPr>
          <w:rFonts w:ascii="Arial" w:eastAsia="Arial" w:hAnsi="Arial" w:cs="Arial"/>
          <w:color w:val="000000"/>
          <w:lang w:val="eu-ES" w:eastAsia="es-ES"/>
        </w:rPr>
        <w:t>Likidaziotik ateratzen bada alderdietako batek betetako jarduketen zenbatekoa jarduketa horiek finantzatzeko hitzarmenaren gainerako alderdiengandik jasotako funtsena baino txikiagoa bada, alderdi horrek bakoitzari dagokion soberakina ordaindu beharko die, gehienez ere hilabeteko epean, likidazioa onetsi denetik aurrera.</w:t>
      </w:r>
    </w:p>
    <w:p w14:paraId="6743D652" w14:textId="77777777" w:rsidR="0003627C" w:rsidRPr="00A54BC3" w:rsidRDefault="0003627C" w:rsidP="0003627C">
      <w:pPr>
        <w:spacing w:before="100" w:beforeAutospacing="1" w:after="100" w:afterAutospacing="1"/>
        <w:jc w:val="both"/>
        <w:rPr>
          <w:rFonts w:ascii="Arial" w:hAnsi="Arial" w:cs="Arial"/>
          <w:color w:val="000000"/>
        </w:rPr>
      </w:pPr>
      <w:r w:rsidRPr="00A54BC3">
        <w:rPr>
          <w:rFonts w:ascii="Arial" w:eastAsia="Arial" w:hAnsi="Arial" w:cs="Arial"/>
          <w:color w:val="000000"/>
          <w:lang w:val="eu-ES" w:eastAsia="es-ES"/>
        </w:rPr>
        <w:t>Aurreko paragrafoan aipatutako hilabeteko gehieneko epea igarotakoan, diru itzulketarik ez bada egin, aipatutako itzulketari aplikatzeko berandutze interesa ere ordaindu behar die alderdiei, hilabeteko epean ere bai une horretatik aurrera. Nolanahi ere, sektore publikoaren gastu publikoa eta ekonomia eta finantza jarduera arautzen duten xedapen orokorretan jasotzen dena izango da.</w:t>
      </w:r>
    </w:p>
    <w:p w14:paraId="3081F124" w14:textId="77777777" w:rsidR="0003627C" w:rsidRPr="00A54BC3" w:rsidRDefault="0003627C" w:rsidP="0003627C">
      <w:pPr>
        <w:spacing w:before="100" w:beforeAutospacing="1" w:after="100" w:afterAutospacing="1"/>
        <w:jc w:val="both"/>
        <w:rPr>
          <w:rFonts w:ascii="Arial" w:hAnsi="Arial" w:cs="Arial"/>
          <w:color w:val="000000"/>
        </w:rPr>
      </w:pPr>
      <w:r w:rsidRPr="00A54BC3">
        <w:rPr>
          <w:rFonts w:ascii="Arial" w:eastAsia="Arial" w:hAnsi="Arial" w:cs="Arial"/>
          <w:color w:val="000000"/>
          <w:lang w:val="eu-ES" w:eastAsia="es-ES"/>
        </w:rPr>
        <w:t>Handiagoa izango balitz, hitzarmenaren gainerako alderdiek bakoitzari dagokion aldea ordaindu beharko diete alderdi bakoitzari, likidazioa onesten denetik hilabeteko epean. Hala ere, hitzarmenaren arabera alderdi bakoitzak hitzartu duen kopurua izango da gehieneko zenbatekoa. Hitzarmenaren alderdiek ez dute inola ere eskubiderik izango aipatutako gehieneko zenbatekoak gainditzen dituen ezein kopuru eskatzeko.</w:t>
      </w:r>
    </w:p>
    <w:p w14:paraId="040CB465" w14:textId="77777777" w:rsidR="0003627C" w:rsidRPr="00A54BC3" w:rsidRDefault="0003627C" w:rsidP="0003627C">
      <w:pPr>
        <w:spacing w:before="100" w:beforeAutospacing="1" w:after="100" w:afterAutospacing="1"/>
        <w:jc w:val="both"/>
        <w:rPr>
          <w:rFonts w:ascii="Arial" w:hAnsi="Arial" w:cs="Arial"/>
          <w:color w:val="000000"/>
        </w:rPr>
      </w:pPr>
      <w:r w:rsidRPr="00A54BC3">
        <w:rPr>
          <w:rFonts w:ascii="Arial" w:eastAsia="Arial" w:hAnsi="Arial" w:cs="Arial"/>
          <w:color w:val="000000"/>
          <w:lang w:val="eu-ES" w:eastAsia="es-ES"/>
        </w:rPr>
        <w:t>Aurrekoa gorabehera, baldin eta hitzarmena azkentzeko arrazoietako bat gertatzen bada eta artean jarduketaren bat egiten ari bada, aldeek jarduketa batzuekin amaitu arte jarraitzea adostu ahal izango dute, jarraipen batzordeak proposatu ondoren. Hori eginez gero, epealdi luzaezina ezarriko dute jarduketa horiek amaitzeko, eta hori igarotakoan haien likidazioa egin beharko da aurreko apartatuan ezartzen den moduan.</w:t>
      </w:r>
    </w:p>
    <w:p w14:paraId="767130A6" w14:textId="77777777" w:rsidR="0003627C" w:rsidRPr="00A54BC3" w:rsidRDefault="0003627C" w:rsidP="0003627C">
      <w:pPr>
        <w:pStyle w:val="Default"/>
        <w:spacing w:before="100" w:beforeAutospacing="1" w:after="100" w:afterAutospacing="1"/>
        <w:jc w:val="both"/>
        <w:rPr>
          <w:color w:val="auto"/>
          <w:sz w:val="22"/>
          <w:szCs w:val="22"/>
        </w:rPr>
      </w:pPr>
      <w:r w:rsidRPr="00A54BC3">
        <w:rPr>
          <w:rFonts w:eastAsia="Arial"/>
          <w:b/>
          <w:bCs/>
          <w:color w:val="auto"/>
          <w:sz w:val="22"/>
          <w:szCs w:val="22"/>
          <w:lang w:val="eu-ES"/>
        </w:rPr>
        <w:t>Hamabigarrena.</w:t>
      </w:r>
      <w:r w:rsidRPr="00A54BC3">
        <w:rPr>
          <w:rFonts w:eastAsia="Arial"/>
          <w:color w:val="auto"/>
          <w:sz w:val="22"/>
          <w:szCs w:val="22"/>
          <w:lang w:val="eu-ES"/>
        </w:rPr>
        <w:t xml:space="preserve"> </w:t>
      </w:r>
      <w:r w:rsidRPr="00A54BC3">
        <w:rPr>
          <w:rFonts w:eastAsia="Arial"/>
          <w:i/>
          <w:iCs/>
          <w:color w:val="auto"/>
          <w:sz w:val="22"/>
          <w:szCs w:val="22"/>
          <w:lang w:val="eu-ES"/>
        </w:rPr>
        <w:t>Araubide juridikoa.</w:t>
      </w:r>
    </w:p>
    <w:p w14:paraId="6F6445B7" w14:textId="77777777" w:rsidR="0003627C" w:rsidRPr="00A54BC3" w:rsidRDefault="0003627C" w:rsidP="0003627C">
      <w:pPr>
        <w:pStyle w:val="Default"/>
        <w:spacing w:before="100" w:beforeAutospacing="1" w:after="100" w:afterAutospacing="1"/>
        <w:jc w:val="both"/>
        <w:rPr>
          <w:color w:val="auto"/>
          <w:sz w:val="22"/>
          <w:szCs w:val="22"/>
        </w:rPr>
      </w:pPr>
      <w:r w:rsidRPr="00A54BC3">
        <w:rPr>
          <w:rFonts w:eastAsia="Arial"/>
          <w:color w:val="auto"/>
          <w:sz w:val="22"/>
          <w:szCs w:val="22"/>
          <w:lang w:val="eu-ES"/>
        </w:rPr>
        <w:t>Hitzarmen honek administrazio izaera du, eta haren araubide juridikoa Sektore Publikoaren Araubide Juridikoaren urriaren 1eko 40/2015 Legearen Atariko Tituluaren VI. Kapituluan dago araututa.</w:t>
      </w:r>
    </w:p>
    <w:p w14:paraId="74D36F98" w14:textId="77777777" w:rsidR="0003627C" w:rsidRPr="00A54BC3" w:rsidRDefault="0003627C" w:rsidP="0003627C">
      <w:pPr>
        <w:pStyle w:val="Default"/>
        <w:spacing w:before="100" w:beforeAutospacing="1" w:after="100" w:afterAutospacing="1"/>
        <w:jc w:val="both"/>
        <w:rPr>
          <w:color w:val="auto"/>
          <w:sz w:val="22"/>
          <w:szCs w:val="22"/>
        </w:rPr>
      </w:pPr>
      <w:r w:rsidRPr="00A54BC3">
        <w:rPr>
          <w:rFonts w:eastAsia="Arial"/>
          <w:color w:val="auto"/>
          <w:sz w:val="22"/>
          <w:szCs w:val="22"/>
          <w:lang w:val="eu-ES"/>
        </w:rPr>
        <w:t>Hitzarmen hau interpretatzean, betetzean eta ondorioetan sor daitezkeen auziak, zortzigarren klausulan ezarritako Jarraipen Batzordean alderdiak ados jarrita konpontzen ez badira, administrazioarekiko auzien jurisdikzioaren ardurapekoak eta eskumenekoak izango dira.</w:t>
      </w:r>
    </w:p>
    <w:p w14:paraId="6E6D0CA2" w14:textId="77777777" w:rsidR="0003627C" w:rsidRPr="00A54BC3" w:rsidRDefault="0003627C" w:rsidP="0003627C">
      <w:pPr>
        <w:pStyle w:val="Default"/>
        <w:spacing w:before="100" w:beforeAutospacing="1" w:after="100" w:afterAutospacing="1"/>
        <w:jc w:val="both"/>
        <w:rPr>
          <w:color w:val="auto"/>
          <w:sz w:val="22"/>
          <w:szCs w:val="22"/>
        </w:rPr>
      </w:pPr>
      <w:r w:rsidRPr="00A54BC3">
        <w:rPr>
          <w:rFonts w:eastAsia="Arial"/>
          <w:b/>
          <w:bCs/>
          <w:color w:val="auto"/>
          <w:sz w:val="22"/>
          <w:szCs w:val="22"/>
          <w:lang w:val="eu-ES"/>
        </w:rPr>
        <w:t>Hamahirugarrena.</w:t>
      </w:r>
      <w:r w:rsidRPr="00A54BC3">
        <w:rPr>
          <w:rFonts w:eastAsia="Arial"/>
          <w:color w:val="auto"/>
          <w:sz w:val="22"/>
          <w:szCs w:val="22"/>
          <w:lang w:val="eu-ES"/>
        </w:rPr>
        <w:t xml:space="preserve"> </w:t>
      </w:r>
      <w:r w:rsidRPr="00A54BC3">
        <w:rPr>
          <w:rFonts w:eastAsia="Arial"/>
          <w:i/>
          <w:iCs/>
          <w:color w:val="auto"/>
          <w:sz w:val="22"/>
          <w:szCs w:val="22"/>
          <w:lang w:val="eu-ES"/>
        </w:rPr>
        <w:t>Datu pertsonalen babesa eta isilpekotasuna</w:t>
      </w:r>
    </w:p>
    <w:p w14:paraId="688A8AC6" w14:textId="77777777" w:rsidR="0003627C" w:rsidRPr="00A54BC3" w:rsidRDefault="0003627C" w:rsidP="0003627C">
      <w:pPr>
        <w:pStyle w:val="Default"/>
        <w:spacing w:before="100" w:beforeAutospacing="1" w:after="100" w:afterAutospacing="1"/>
        <w:jc w:val="both"/>
        <w:rPr>
          <w:color w:val="auto"/>
          <w:sz w:val="22"/>
          <w:szCs w:val="22"/>
        </w:rPr>
      </w:pPr>
      <w:r w:rsidRPr="00A54BC3">
        <w:rPr>
          <w:rFonts w:eastAsia="Arial"/>
          <w:color w:val="auto"/>
          <w:sz w:val="22"/>
          <w:szCs w:val="22"/>
          <w:lang w:val="eu-ES"/>
        </w:rPr>
        <w:t xml:space="preserve">Hitzarmen honetan ezarritako eginkizunak betetzean, alde batetik, abenduaren 5eko 3/2018 Lege  Organikora, datu pertsonalen babesari eta eskubide digitalen bermeari buruzkora, egokituko dituzte jarduketak alderdiek; bestetik, Europako Parlamentuak eta Kontseiluak 2016ko apirilaren 27an ezarritako 2016/679 Erregelamendura (EB), datu </w:t>
      </w:r>
      <w:r w:rsidRPr="00A54BC3">
        <w:rPr>
          <w:rFonts w:eastAsia="Arial"/>
          <w:color w:val="auto"/>
          <w:sz w:val="22"/>
          <w:szCs w:val="22"/>
          <w:lang w:val="eu-ES"/>
        </w:rPr>
        <w:lastRenderedPageBreak/>
        <w:t>pertsonalen tratamenduari eta datu horien zirkulazio askeari dagokionez pertsona fisikoak babesteari buruzkora, zeinaren bidez 95/46/EE Zuzentaraua indargabetzen den (datuen babesari buruzko arautegi orokorra).</w:t>
      </w:r>
    </w:p>
    <w:p w14:paraId="25FACBBC" w14:textId="77777777" w:rsidR="0003627C" w:rsidRPr="00A54BC3" w:rsidRDefault="0003627C" w:rsidP="0003627C">
      <w:pPr>
        <w:pStyle w:val="Default"/>
        <w:spacing w:before="100" w:beforeAutospacing="1" w:after="100" w:afterAutospacing="1"/>
        <w:jc w:val="both"/>
        <w:rPr>
          <w:color w:val="auto"/>
          <w:sz w:val="22"/>
          <w:szCs w:val="22"/>
        </w:rPr>
      </w:pPr>
      <w:r w:rsidRPr="00A54BC3">
        <w:rPr>
          <w:rFonts w:eastAsia="Arial"/>
          <w:color w:val="auto"/>
          <w:sz w:val="22"/>
          <w:szCs w:val="22"/>
          <w:lang w:val="eu-ES"/>
        </w:rPr>
        <w:t>Halaber, sinatzaileek, hitzarmen honetan aurreikusitako jarduketak garatzean erabiltzen duten informazioaren konfidentzialtasuna bermatzen dute.</w:t>
      </w:r>
    </w:p>
    <w:p w14:paraId="2166C42A" w14:textId="77777777" w:rsidR="0003627C" w:rsidRPr="00A54BC3" w:rsidRDefault="0003627C" w:rsidP="0003627C">
      <w:pPr>
        <w:rPr>
          <w:rFonts w:ascii="Arial" w:hAnsi="Arial" w:cs="Arial"/>
        </w:rPr>
      </w:pPr>
      <w:r w:rsidRPr="00A54BC3">
        <w:rPr>
          <w:rFonts w:ascii="Arial" w:eastAsia="Arial" w:hAnsi="Arial" w:cs="Arial"/>
          <w:lang w:val="eu-ES" w:eastAsia="es-ES"/>
        </w:rPr>
        <w:t>Eta aurreko guztiarekin ados daudela egiaztatzeko, alderdiek elektronikoki sinatzen dute hitzarmen hau, goiburuan adierazitako tokietan, eta sinadura elektronikoetan adierazitako egunetan. Azken sinatzailearena hartuko da hitzarmena formalizatzeko datatzat.</w:t>
      </w:r>
    </w:p>
    <w:p w14:paraId="48282925" w14:textId="5EBF12D5" w:rsidR="00497D79" w:rsidRDefault="00497D79" w:rsidP="694946D4">
      <w:pPr>
        <w:pStyle w:val="Default"/>
        <w:spacing w:before="100" w:beforeAutospacing="1" w:after="100" w:afterAutospacing="1"/>
        <w:jc w:val="both"/>
        <w:rPr>
          <w:sz w:val="22"/>
          <w:szCs w:val="22"/>
        </w:rPr>
      </w:pPr>
    </w:p>
    <w:p w14:paraId="04A90935" w14:textId="77777777" w:rsidR="00A54BC3" w:rsidRDefault="00A54BC3" w:rsidP="694946D4">
      <w:pPr>
        <w:pStyle w:val="Default"/>
        <w:spacing w:before="100" w:beforeAutospacing="1" w:after="100" w:afterAutospacing="1"/>
        <w:jc w:val="both"/>
        <w:rPr>
          <w:sz w:val="22"/>
          <w:szCs w:val="22"/>
        </w:rPr>
      </w:pPr>
    </w:p>
    <w:p w14:paraId="2AD99993" w14:textId="77777777" w:rsidR="00A54BC3" w:rsidRDefault="00A54BC3" w:rsidP="694946D4">
      <w:pPr>
        <w:pStyle w:val="Default"/>
        <w:spacing w:before="100" w:beforeAutospacing="1" w:after="100" w:afterAutospacing="1"/>
        <w:jc w:val="both"/>
        <w:rPr>
          <w:sz w:val="22"/>
          <w:szCs w:val="22"/>
        </w:rPr>
      </w:pPr>
    </w:p>
    <w:p w14:paraId="1640B6D6" w14:textId="77777777" w:rsidR="00A54BC3" w:rsidRDefault="00A54BC3" w:rsidP="694946D4">
      <w:pPr>
        <w:pStyle w:val="Default"/>
        <w:spacing w:before="100" w:beforeAutospacing="1" w:after="100" w:afterAutospacing="1"/>
        <w:jc w:val="both"/>
        <w:rPr>
          <w:sz w:val="22"/>
          <w:szCs w:val="22"/>
        </w:rPr>
      </w:pPr>
    </w:p>
    <w:p w14:paraId="5483D648" w14:textId="77777777" w:rsidR="00A55F76" w:rsidRPr="00A54BC3" w:rsidRDefault="00A55F76" w:rsidP="694946D4">
      <w:pPr>
        <w:pStyle w:val="Default"/>
        <w:spacing w:before="100" w:beforeAutospacing="1" w:after="100" w:afterAutospacing="1"/>
        <w:jc w:val="both"/>
        <w:rPr>
          <w:sz w:val="22"/>
          <w:szCs w:val="22"/>
        </w:rPr>
      </w:pPr>
    </w:p>
    <w:tbl>
      <w:tblPr>
        <w:tblStyle w:val="Tablaconcuadrcula"/>
        <w:tblpPr w:leftFromText="141" w:rightFromText="141" w:vertAnchor="text" w:horzAnchor="margin" w:tblpY="333"/>
        <w:tblW w:w="9072" w:type="dxa"/>
        <w:tblLook w:val="04A0" w:firstRow="1" w:lastRow="0" w:firstColumn="1" w:lastColumn="0" w:noHBand="0" w:noVBand="1"/>
      </w:tblPr>
      <w:tblGrid>
        <w:gridCol w:w="4537"/>
        <w:gridCol w:w="4535"/>
      </w:tblGrid>
      <w:tr w:rsidR="00034E73" w:rsidRPr="00A54BC3" w14:paraId="07E08CA3" w14:textId="77777777" w:rsidTr="694946D4">
        <w:trPr>
          <w:trHeight w:val="20"/>
        </w:trPr>
        <w:tc>
          <w:tcPr>
            <w:tcW w:w="4537" w:type="dxa"/>
            <w:tcBorders>
              <w:top w:val="nil"/>
              <w:left w:val="nil"/>
              <w:bottom w:val="nil"/>
              <w:right w:val="nil"/>
            </w:tcBorders>
          </w:tcPr>
          <w:p w14:paraId="411BCDD5" w14:textId="77777777" w:rsidR="00A54BC3" w:rsidRDefault="00A54BC3" w:rsidP="00E97A8A">
            <w:pPr>
              <w:pStyle w:val="Default"/>
              <w:spacing w:before="100" w:beforeAutospacing="1" w:after="100" w:afterAutospacing="1"/>
              <w:jc w:val="center"/>
              <w:rPr>
                <w:color w:val="auto"/>
                <w:sz w:val="22"/>
                <w:szCs w:val="22"/>
              </w:rPr>
            </w:pPr>
            <w:r w:rsidRPr="00A54BC3">
              <w:rPr>
                <w:color w:val="auto"/>
                <w:sz w:val="22"/>
                <w:szCs w:val="22"/>
              </w:rPr>
              <w:t>Trantsizio Ekologikorako eta Erronka Demografikorako Ministerioaren titularra</w:t>
            </w:r>
          </w:p>
          <w:p w14:paraId="5FAE5DB3" w14:textId="3F4D812E" w:rsidR="00A54BC3" w:rsidRDefault="00A54BC3" w:rsidP="00E97A8A">
            <w:pPr>
              <w:pStyle w:val="Default"/>
              <w:spacing w:before="100" w:beforeAutospacing="1" w:after="100" w:afterAutospacing="1"/>
              <w:jc w:val="center"/>
              <w:rPr>
                <w:color w:val="auto"/>
                <w:sz w:val="22"/>
                <w:szCs w:val="22"/>
              </w:rPr>
            </w:pPr>
            <w:r w:rsidRPr="00A54BC3">
              <w:rPr>
                <w:color w:val="auto"/>
                <w:sz w:val="22"/>
                <w:szCs w:val="22"/>
              </w:rPr>
              <w:t>P.D: TED/533/2021 Agindua, maiatzaren 20koa</w:t>
            </w:r>
          </w:p>
          <w:p w14:paraId="72A5484B" w14:textId="4B97992A" w:rsidR="00A54BC3" w:rsidRDefault="00A54BC3" w:rsidP="00F631D9">
            <w:pPr>
              <w:pStyle w:val="Default"/>
              <w:spacing w:before="100" w:beforeAutospacing="1" w:after="100" w:afterAutospacing="1"/>
              <w:jc w:val="center"/>
              <w:rPr>
                <w:color w:val="auto"/>
                <w:sz w:val="22"/>
                <w:szCs w:val="22"/>
              </w:rPr>
            </w:pPr>
            <w:r w:rsidRPr="00A54BC3">
              <w:rPr>
                <w:color w:val="auto"/>
                <w:sz w:val="22"/>
                <w:szCs w:val="22"/>
              </w:rPr>
              <w:t xml:space="preserve">Despopulazioaren aurkako Politiken zuzendari </w:t>
            </w:r>
            <w:r>
              <w:rPr>
                <w:color w:val="auto"/>
                <w:sz w:val="22"/>
                <w:szCs w:val="22"/>
              </w:rPr>
              <w:t>Nagusia</w:t>
            </w:r>
          </w:p>
          <w:p w14:paraId="39F67C31" w14:textId="7A037B7C" w:rsidR="00497D79" w:rsidRPr="00A54BC3" w:rsidRDefault="000D3713" w:rsidP="00F631D9">
            <w:pPr>
              <w:pStyle w:val="Default"/>
              <w:spacing w:before="100" w:beforeAutospacing="1" w:after="100" w:afterAutospacing="1"/>
              <w:jc w:val="center"/>
              <w:rPr>
                <w:color w:val="auto"/>
                <w:sz w:val="22"/>
                <w:szCs w:val="22"/>
              </w:rPr>
            </w:pPr>
            <w:r w:rsidRPr="00A54BC3">
              <w:rPr>
                <w:color w:val="auto"/>
                <w:sz w:val="22"/>
                <w:szCs w:val="22"/>
              </w:rPr>
              <w:t>Doña Ana de los Ángeles Marín Andreu</w:t>
            </w:r>
            <w:r w:rsidRPr="00A54BC3" w:rsidDel="000D3713">
              <w:rPr>
                <w:color w:val="auto"/>
                <w:sz w:val="22"/>
                <w:szCs w:val="22"/>
              </w:rPr>
              <w:t xml:space="preserve"> </w:t>
            </w:r>
          </w:p>
        </w:tc>
        <w:tc>
          <w:tcPr>
            <w:tcW w:w="4535" w:type="dxa"/>
            <w:tcBorders>
              <w:top w:val="nil"/>
              <w:left w:val="nil"/>
              <w:bottom w:val="nil"/>
              <w:right w:val="nil"/>
            </w:tcBorders>
          </w:tcPr>
          <w:p w14:paraId="353F139D" w14:textId="62AE8B3F" w:rsidR="00186271" w:rsidRPr="00A54BC3" w:rsidRDefault="00A55F76" w:rsidP="694946D4">
            <w:pPr>
              <w:pStyle w:val="Default"/>
              <w:spacing w:before="100" w:beforeAutospacing="1" w:after="100" w:afterAutospacing="1"/>
              <w:jc w:val="center"/>
              <w:rPr>
                <w:rFonts w:eastAsia="Arial"/>
                <w:color w:val="auto"/>
                <w:sz w:val="22"/>
                <w:szCs w:val="22"/>
              </w:rPr>
            </w:pPr>
            <w:r>
              <w:rPr>
                <w:rFonts w:eastAsia="Arial"/>
                <w:color w:val="auto"/>
                <w:sz w:val="22"/>
                <w:szCs w:val="22"/>
              </w:rPr>
              <w:t>Diputatu nagusia</w:t>
            </w:r>
          </w:p>
          <w:p w14:paraId="3FC37753" w14:textId="77777777" w:rsidR="00A55F76" w:rsidRDefault="00A55F76" w:rsidP="694946D4">
            <w:pPr>
              <w:pStyle w:val="Prrafodelista"/>
              <w:spacing w:before="100" w:beforeAutospacing="1" w:after="100" w:afterAutospacing="1" w:line="240" w:lineRule="auto"/>
              <w:ind w:left="0"/>
              <w:jc w:val="center"/>
              <w:rPr>
                <w:rFonts w:ascii="Arial" w:eastAsia="Arial" w:hAnsi="Arial" w:cs="Arial"/>
              </w:rPr>
            </w:pPr>
            <w:r w:rsidRPr="00A55F76">
              <w:rPr>
                <w:rFonts w:ascii="Arial" w:eastAsia="Arial" w:hAnsi="Arial" w:cs="Arial"/>
              </w:rPr>
              <w:t>Arabako Foru Aldundia</w:t>
            </w:r>
          </w:p>
          <w:p w14:paraId="5CC5535B" w14:textId="77777777" w:rsidR="00A55F76" w:rsidRDefault="00A55F76" w:rsidP="694946D4">
            <w:pPr>
              <w:pStyle w:val="Prrafodelista"/>
              <w:spacing w:before="100" w:beforeAutospacing="1" w:after="100" w:afterAutospacing="1" w:line="240" w:lineRule="auto"/>
              <w:ind w:left="0"/>
              <w:jc w:val="center"/>
              <w:rPr>
                <w:rFonts w:ascii="Arial" w:eastAsia="Times New Roman" w:hAnsi="Arial" w:cs="Arial"/>
              </w:rPr>
            </w:pPr>
          </w:p>
          <w:p w14:paraId="40FB6864" w14:textId="191BC41F" w:rsidR="00497D79" w:rsidRPr="00A54BC3" w:rsidRDefault="00365F2F" w:rsidP="694946D4">
            <w:pPr>
              <w:pStyle w:val="Prrafodelista"/>
              <w:spacing w:before="100" w:beforeAutospacing="1" w:after="100" w:afterAutospacing="1" w:line="240" w:lineRule="auto"/>
              <w:ind w:left="0"/>
              <w:jc w:val="center"/>
              <w:rPr>
                <w:rFonts w:ascii="Arial" w:eastAsia="Arial" w:hAnsi="Arial" w:cs="Arial"/>
              </w:rPr>
            </w:pPr>
            <w:r w:rsidRPr="00A54BC3">
              <w:rPr>
                <w:rFonts w:ascii="Arial" w:eastAsia="Times New Roman" w:hAnsi="Arial" w:cs="Arial"/>
              </w:rPr>
              <w:t>Don Ramiro González Vicente</w:t>
            </w:r>
          </w:p>
        </w:tc>
      </w:tr>
    </w:tbl>
    <w:p w14:paraId="2E9D1122" w14:textId="77777777" w:rsidR="00A97503" w:rsidRPr="00A54BC3" w:rsidRDefault="00A97503" w:rsidP="00E97A8A">
      <w:pPr>
        <w:pStyle w:val="Default"/>
        <w:spacing w:before="100" w:beforeAutospacing="1" w:after="100" w:afterAutospacing="1"/>
        <w:jc w:val="center"/>
        <w:rPr>
          <w:b/>
          <w:color w:val="auto"/>
          <w:sz w:val="22"/>
          <w:szCs w:val="22"/>
        </w:rPr>
      </w:pPr>
    </w:p>
    <w:sectPr w:rsidR="00A97503" w:rsidRPr="00A54BC3" w:rsidSect="00B778AF">
      <w:headerReference w:type="even" r:id="rId12"/>
      <w:headerReference w:type="default" r:id="rId13"/>
      <w:footerReference w:type="even" r:id="rId14"/>
      <w:footerReference w:type="default" r:id="rId15"/>
      <w:pgSz w:w="11906" w:h="16838"/>
      <w:pgMar w:top="1985" w:right="1701" w:bottom="1417" w:left="1701" w:header="1644"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0AB0C" w14:textId="77777777" w:rsidR="00DC729E" w:rsidRDefault="00DC729E">
      <w:pPr>
        <w:spacing w:after="0" w:line="240" w:lineRule="auto"/>
      </w:pPr>
      <w:r>
        <w:separator/>
      </w:r>
    </w:p>
    <w:p w14:paraId="42AEE485" w14:textId="77777777" w:rsidR="00DC729E" w:rsidRDefault="00DC729E"/>
    <w:p w14:paraId="4A819124" w14:textId="77777777" w:rsidR="00DC729E" w:rsidRDefault="00DC729E"/>
    <w:p w14:paraId="67A9EF36" w14:textId="77777777" w:rsidR="00DC729E" w:rsidRDefault="00DC729E"/>
  </w:endnote>
  <w:endnote w:type="continuationSeparator" w:id="0">
    <w:p w14:paraId="3CDA7A93" w14:textId="77777777" w:rsidR="00DC729E" w:rsidRDefault="00DC729E">
      <w:pPr>
        <w:spacing w:after="0" w:line="240" w:lineRule="auto"/>
      </w:pPr>
      <w:r>
        <w:continuationSeparator/>
      </w:r>
    </w:p>
    <w:p w14:paraId="249D3830" w14:textId="77777777" w:rsidR="00DC729E" w:rsidRDefault="00DC729E"/>
    <w:p w14:paraId="3E815AA9" w14:textId="77777777" w:rsidR="00DC729E" w:rsidRDefault="00DC729E"/>
    <w:p w14:paraId="037FDB57" w14:textId="77777777" w:rsidR="00DC729E" w:rsidRDefault="00DC729E"/>
  </w:endnote>
  <w:endnote w:type="continuationNotice" w:id="1">
    <w:p w14:paraId="50809CAB" w14:textId="77777777" w:rsidR="00DC729E" w:rsidRDefault="00DC72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BE898" w14:textId="77777777" w:rsidR="00925D32" w:rsidRDefault="00925D32">
    <w:pPr>
      <w:pStyle w:val="Piedepgina"/>
    </w:pPr>
  </w:p>
  <w:p w14:paraId="6156D4D4" w14:textId="77777777" w:rsidR="00925D32" w:rsidRDefault="00925D32"/>
  <w:p w14:paraId="160E7AFE" w14:textId="77777777" w:rsidR="00925D32" w:rsidRDefault="00925D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4495517"/>
      <w:docPartObj>
        <w:docPartGallery w:val="AutoText"/>
      </w:docPartObj>
    </w:sdtPr>
    <w:sdtEndPr/>
    <w:sdtContent>
      <w:p w14:paraId="373ABBEB" w14:textId="5BF36E39" w:rsidR="002624E1" w:rsidRDefault="00FA62B6">
        <w:pPr>
          <w:pStyle w:val="Piedepgina"/>
          <w:jc w:val="center"/>
        </w:pPr>
        <w:r>
          <w:fldChar w:fldCharType="begin"/>
        </w:r>
        <w:r>
          <w:instrText>PAGE</w:instrText>
        </w:r>
        <w:r>
          <w:fldChar w:fldCharType="separate"/>
        </w:r>
        <w:r w:rsidR="004B0386">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623B" w14:textId="77777777" w:rsidR="00DC729E" w:rsidRDefault="00DC729E">
      <w:pPr>
        <w:spacing w:after="0" w:line="240" w:lineRule="auto"/>
      </w:pPr>
      <w:r>
        <w:separator/>
      </w:r>
    </w:p>
    <w:p w14:paraId="176260DB" w14:textId="77777777" w:rsidR="00DC729E" w:rsidRDefault="00DC729E"/>
    <w:p w14:paraId="342A68EF" w14:textId="77777777" w:rsidR="00DC729E" w:rsidRDefault="00DC729E"/>
    <w:p w14:paraId="5A085537" w14:textId="77777777" w:rsidR="00DC729E" w:rsidRDefault="00DC729E"/>
  </w:footnote>
  <w:footnote w:type="continuationSeparator" w:id="0">
    <w:p w14:paraId="57DB8752" w14:textId="77777777" w:rsidR="00DC729E" w:rsidRDefault="00DC729E">
      <w:pPr>
        <w:spacing w:after="0" w:line="240" w:lineRule="auto"/>
      </w:pPr>
      <w:r>
        <w:continuationSeparator/>
      </w:r>
    </w:p>
    <w:p w14:paraId="1BE3293C" w14:textId="77777777" w:rsidR="00DC729E" w:rsidRDefault="00DC729E"/>
    <w:p w14:paraId="74B1B178" w14:textId="77777777" w:rsidR="00DC729E" w:rsidRDefault="00DC729E"/>
    <w:p w14:paraId="5FF23E28" w14:textId="77777777" w:rsidR="00DC729E" w:rsidRDefault="00DC729E"/>
  </w:footnote>
  <w:footnote w:type="continuationNotice" w:id="1">
    <w:p w14:paraId="2BF67472" w14:textId="77777777" w:rsidR="00DC729E" w:rsidRDefault="00DC72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ECA0" w14:textId="77777777" w:rsidR="00925D32" w:rsidRDefault="00925D32">
    <w:pPr>
      <w:pStyle w:val="Encabezado"/>
    </w:pPr>
  </w:p>
  <w:p w14:paraId="335368B7" w14:textId="77777777" w:rsidR="00925D32" w:rsidRDefault="00925D32"/>
  <w:p w14:paraId="465F9E37" w14:textId="77777777" w:rsidR="00925D32" w:rsidRDefault="00925D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9985690"/>
      <w:docPartObj>
        <w:docPartGallery w:val="AutoText"/>
      </w:docPartObj>
    </w:sdtPr>
    <w:sdtEndPr/>
    <w:sdtContent>
      <w:p w14:paraId="42E450B7" w14:textId="72419E5A" w:rsidR="002624E1" w:rsidRDefault="00BA070B">
        <w:pPr>
          <w:pStyle w:val="Encabezado"/>
        </w:pPr>
        <w:r>
          <w:rPr>
            <w:noProof/>
          </w:rPr>
          <w:drawing>
            <wp:anchor distT="0" distB="0" distL="114300" distR="114300" simplePos="0" relativeHeight="251660291" behindDoc="0" locked="0" layoutInCell="0" allowOverlap="1" wp14:anchorId="41A25657" wp14:editId="06C445D3">
              <wp:simplePos x="0" y="0"/>
              <wp:positionH relativeFrom="margin">
                <wp:align>right</wp:align>
              </wp:positionH>
              <wp:positionV relativeFrom="paragraph">
                <wp:posOffset>-619760</wp:posOffset>
              </wp:positionV>
              <wp:extent cx="2055571" cy="592404"/>
              <wp:effectExtent l="0" t="0" r="1905" b="0"/>
              <wp:wrapNone/>
              <wp:docPr id="1447414742" name="Imagen 144741474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14742" name="Imagen 1447414742" descr="Text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5571" cy="59240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_tradnl" w:eastAsia="es-ES_tradnl"/>
          </w:rPr>
          <w:drawing>
            <wp:anchor distT="0" distB="0" distL="114300" distR="114300" simplePos="0" relativeHeight="251658241" behindDoc="0" locked="0" layoutInCell="1" allowOverlap="1" wp14:anchorId="6A759A71" wp14:editId="642154D2">
              <wp:simplePos x="0" y="0"/>
              <wp:positionH relativeFrom="margin">
                <wp:posOffset>2071370</wp:posOffset>
              </wp:positionH>
              <wp:positionV relativeFrom="paragraph">
                <wp:posOffset>-739140</wp:posOffset>
              </wp:positionV>
              <wp:extent cx="1142365" cy="770255"/>
              <wp:effectExtent l="0" t="0" r="635" b="0"/>
              <wp:wrapThrough wrapText="bothSides">
                <wp:wrapPolygon edited="0">
                  <wp:start x="0" y="0"/>
                  <wp:lineTo x="0" y="20834"/>
                  <wp:lineTo x="21252" y="20834"/>
                  <wp:lineTo x="21252" y="18697"/>
                  <wp:lineTo x="20531" y="17629"/>
                  <wp:lineTo x="19451" y="17095"/>
                  <wp:lineTo x="21252" y="11753"/>
                  <wp:lineTo x="21252" y="0"/>
                  <wp:lineTo x="0" y="0"/>
                </wp:wrapPolygon>
              </wp:wrapThrough>
              <wp:docPr id="1" name="Imagen 1" descr="Z:\_CIT\RED CIT logo kit\RGB - uso digital\HORIZONTAL\POSITIVA\COMPLETA\REDCIT_H_POS_COMP_RGB.png"/>
              <wp:cNvGraphicFramePr/>
              <a:graphic xmlns:a="http://schemas.openxmlformats.org/drawingml/2006/main">
                <a:graphicData uri="http://schemas.openxmlformats.org/drawingml/2006/picture">
                  <pic:pic xmlns:pic="http://schemas.openxmlformats.org/drawingml/2006/picture">
                    <pic:nvPicPr>
                      <pic:cNvPr id="1" name="Imagen 1" descr="Z:\_CIT\RED CIT logo kit\RGB - uso digital\HORIZONTAL\POSITIVA\COMPLETA\REDCIT_H_POS_COMP_RGB.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42365" cy="770255"/>
                      </a:xfrm>
                      <a:prstGeom prst="rect">
                        <a:avLst/>
                      </a:prstGeom>
                      <a:noFill/>
                      <a:ln>
                        <a:noFill/>
                      </a:ln>
                    </pic:spPr>
                  </pic:pic>
                </a:graphicData>
              </a:graphic>
            </wp:anchor>
          </w:drawing>
        </w:r>
        <w:r w:rsidR="00925D32" w:rsidRPr="00877954">
          <w:rPr>
            <w:noProof/>
            <w:lang w:val="es-ES_tradnl" w:eastAsia="es-ES_tradnl"/>
          </w:rPr>
          <w:drawing>
            <wp:anchor distT="0" distB="0" distL="114300" distR="114300" simplePos="0" relativeHeight="251658243" behindDoc="0" locked="0" layoutInCell="1" allowOverlap="1" wp14:anchorId="1BD9B53F" wp14:editId="2A263404">
              <wp:simplePos x="0" y="0"/>
              <wp:positionH relativeFrom="margin">
                <wp:align>left</wp:align>
              </wp:positionH>
              <wp:positionV relativeFrom="paragraph">
                <wp:posOffset>-586740</wp:posOffset>
              </wp:positionV>
              <wp:extent cx="1938020" cy="494030"/>
              <wp:effectExtent l="0" t="0" r="5080" b="1270"/>
              <wp:wrapNone/>
              <wp:docPr id="1094437909" name="Imagen 1094437909" descr="C:\Users\gvalencia\Desktop\Modelos\2021-VICE3bis2.Go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valencia\Desktop\Modelos\2021-VICE3bis2.Gob.gif"/>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938020" cy="494030"/>
                      </a:xfrm>
                      <a:prstGeom prst="rect">
                        <a:avLst/>
                      </a:prstGeom>
                      <a:noFill/>
                      <a:ln>
                        <a:noFill/>
                      </a:ln>
                    </pic:spPr>
                  </pic:pic>
                </a:graphicData>
              </a:graphic>
              <wp14:sizeRelH relativeFrom="page">
                <wp14:pctWidth>0</wp14:pctWidth>
              </wp14:sizeRelH>
              <wp14:sizeRelV relativeFrom="page">
                <wp14:pctHeight>0</wp14:pctHeight>
              </wp14:sizeRelV>
            </wp:anchor>
          </w:drawing>
        </w:r>
        <w:r w:rsidR="0003627C">
          <w:rPr>
            <w:noProof/>
          </w:rPr>
          <mc:AlternateContent>
            <mc:Choice Requires="wps">
              <w:drawing>
                <wp:anchor distT="0" distB="0" distL="114300" distR="114300" simplePos="0" relativeHeight="251658240" behindDoc="0" locked="0" layoutInCell="1" allowOverlap="1" wp14:anchorId="6CBA1FB2" wp14:editId="535EADE2">
                  <wp:simplePos x="0" y="0"/>
                  <wp:positionH relativeFrom="column">
                    <wp:posOffset>0</wp:posOffset>
                  </wp:positionH>
                  <wp:positionV relativeFrom="paragraph">
                    <wp:posOffset>0</wp:posOffset>
                  </wp:positionV>
                  <wp:extent cx="635000" cy="635000"/>
                  <wp:effectExtent l="9525" t="9525" r="12700" b="12700"/>
                  <wp:wrapNone/>
                  <wp:docPr id="1469677225" name="Forma libre: forma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635000 w 21600"/>
                              <a:gd name="T3" fmla="*/ 0 h 21600"/>
                              <a:gd name="T4" fmla="*/ 0 w 21600"/>
                              <a:gd name="T5" fmla="*/ 635000 h 21600"/>
                              <a:gd name="T6" fmla="*/ 635000 w 21600"/>
                              <a:gd name="T7" fmla="*/ 635000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C9CC7" id="Forma libre: forma 1"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" path="m,l21600,em,21600r21600,e">
                  <v:stroke joinstyle="miter"/>
                  <v:path o:connecttype="custom" o:connectlocs="0,0;18667824,0;0,18667824;18667824,18667824" o:connectangles="0,0,0,0"/>
                  <o:lock v:ext="edit" selection="t"/>
                </v:shape>
              </w:pict>
            </mc:Fallback>
          </mc:AlternateContent>
        </w:r>
      </w:p>
    </w:sdtContent>
  </w:sdt>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7F57"/>
    <w:multiLevelType w:val="multilevel"/>
    <w:tmpl w:val="08DADC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D5782"/>
    <w:multiLevelType w:val="multilevel"/>
    <w:tmpl w:val="367230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556E11"/>
    <w:multiLevelType w:val="hybridMultilevel"/>
    <w:tmpl w:val="86DC41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683DA2"/>
    <w:multiLevelType w:val="hybridMultilevel"/>
    <w:tmpl w:val="718C92E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0C69416E"/>
    <w:multiLevelType w:val="multilevel"/>
    <w:tmpl w:val="D7D468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A70F9"/>
    <w:multiLevelType w:val="hybridMultilevel"/>
    <w:tmpl w:val="894CAB0E"/>
    <w:lvl w:ilvl="0" w:tplc="CCD0E200">
      <w:start w:val="1"/>
      <w:numFmt w:val="lowerLetter"/>
      <w:lvlText w:val="%1)"/>
      <w:lvlJc w:val="left"/>
      <w:pPr>
        <w:ind w:left="720" w:hanging="360"/>
      </w:pPr>
    </w:lvl>
    <w:lvl w:ilvl="1" w:tplc="9AEE1D1A">
      <w:start w:val="1"/>
      <w:numFmt w:val="lowerLetter"/>
      <w:lvlText w:val="%2."/>
      <w:lvlJc w:val="left"/>
      <w:pPr>
        <w:ind w:left="1440" w:hanging="360"/>
      </w:pPr>
    </w:lvl>
    <w:lvl w:ilvl="2" w:tplc="EF9A9FB2">
      <w:start w:val="1"/>
      <w:numFmt w:val="lowerRoman"/>
      <w:lvlText w:val="%3."/>
      <w:lvlJc w:val="right"/>
      <w:pPr>
        <w:ind w:left="2160" w:hanging="180"/>
      </w:pPr>
    </w:lvl>
    <w:lvl w:ilvl="3" w:tplc="FEE4F698">
      <w:start w:val="1"/>
      <w:numFmt w:val="decimal"/>
      <w:lvlText w:val="%4."/>
      <w:lvlJc w:val="left"/>
      <w:pPr>
        <w:ind w:left="2880" w:hanging="360"/>
      </w:pPr>
    </w:lvl>
    <w:lvl w:ilvl="4" w:tplc="C7F48A2A">
      <w:start w:val="1"/>
      <w:numFmt w:val="lowerLetter"/>
      <w:lvlText w:val="%5."/>
      <w:lvlJc w:val="left"/>
      <w:pPr>
        <w:ind w:left="3600" w:hanging="360"/>
      </w:pPr>
    </w:lvl>
    <w:lvl w:ilvl="5" w:tplc="11C63FEA">
      <w:start w:val="1"/>
      <w:numFmt w:val="lowerRoman"/>
      <w:lvlText w:val="%6."/>
      <w:lvlJc w:val="right"/>
      <w:pPr>
        <w:ind w:left="4320" w:hanging="180"/>
      </w:pPr>
    </w:lvl>
    <w:lvl w:ilvl="6" w:tplc="5BB2270E">
      <w:start w:val="1"/>
      <w:numFmt w:val="decimal"/>
      <w:lvlText w:val="%7."/>
      <w:lvlJc w:val="left"/>
      <w:pPr>
        <w:ind w:left="5040" w:hanging="360"/>
      </w:pPr>
    </w:lvl>
    <w:lvl w:ilvl="7" w:tplc="BEFA29EE">
      <w:start w:val="1"/>
      <w:numFmt w:val="lowerLetter"/>
      <w:lvlText w:val="%8."/>
      <w:lvlJc w:val="left"/>
      <w:pPr>
        <w:ind w:left="5760" w:hanging="360"/>
      </w:pPr>
    </w:lvl>
    <w:lvl w:ilvl="8" w:tplc="F91A0C94">
      <w:start w:val="1"/>
      <w:numFmt w:val="lowerRoman"/>
      <w:lvlText w:val="%9."/>
      <w:lvlJc w:val="right"/>
      <w:pPr>
        <w:ind w:left="6480" w:hanging="180"/>
      </w:pPr>
    </w:lvl>
  </w:abstractNum>
  <w:abstractNum w:abstractNumId="6" w15:restartNumberingAfterBreak="0">
    <w:nsid w:val="10D56938"/>
    <w:multiLevelType w:val="hybridMultilevel"/>
    <w:tmpl w:val="91525884"/>
    <w:lvl w:ilvl="0" w:tplc="0C0A0017">
      <w:start w:val="1"/>
      <w:numFmt w:val="lowerLetter"/>
      <w:lvlText w:val="%1)"/>
      <w:lvlJc w:val="left"/>
      <w:pPr>
        <w:tabs>
          <w:tab w:val="num" w:pos="720"/>
        </w:tabs>
        <w:ind w:left="72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287D5E"/>
    <w:multiLevelType w:val="multilevel"/>
    <w:tmpl w:val="D29C3562"/>
    <w:lvl w:ilvl="0">
      <w:start w:val="1"/>
      <w:numFmt w:val="decimal"/>
      <w:lvlText w:val="%1."/>
      <w:lvlJc w:val="left"/>
      <w:pPr>
        <w:ind w:left="4329" w:hanging="360"/>
      </w:pPr>
    </w:lvl>
    <w:lvl w:ilvl="1">
      <w:start w:val="1"/>
      <w:numFmt w:val="lowerLetter"/>
      <w:lvlText w:val="%2."/>
      <w:lvlJc w:val="left"/>
      <w:pPr>
        <w:ind w:left="5049" w:hanging="360"/>
      </w:pPr>
    </w:lvl>
    <w:lvl w:ilvl="2">
      <w:start w:val="1"/>
      <w:numFmt w:val="lowerRoman"/>
      <w:lvlText w:val="%3."/>
      <w:lvlJc w:val="right"/>
      <w:pPr>
        <w:ind w:left="5769" w:hanging="180"/>
      </w:pPr>
    </w:lvl>
    <w:lvl w:ilvl="3">
      <w:start w:val="1"/>
      <w:numFmt w:val="decimal"/>
      <w:lvlText w:val="%4."/>
      <w:lvlJc w:val="left"/>
      <w:pPr>
        <w:ind w:left="6489" w:hanging="360"/>
      </w:pPr>
    </w:lvl>
    <w:lvl w:ilvl="4">
      <w:start w:val="1"/>
      <w:numFmt w:val="lowerLetter"/>
      <w:lvlText w:val="%5."/>
      <w:lvlJc w:val="left"/>
      <w:pPr>
        <w:ind w:left="7209" w:hanging="360"/>
      </w:pPr>
    </w:lvl>
    <w:lvl w:ilvl="5">
      <w:start w:val="1"/>
      <w:numFmt w:val="lowerRoman"/>
      <w:lvlText w:val="%6."/>
      <w:lvlJc w:val="right"/>
      <w:pPr>
        <w:ind w:left="7929" w:hanging="180"/>
      </w:pPr>
    </w:lvl>
    <w:lvl w:ilvl="6">
      <w:start w:val="1"/>
      <w:numFmt w:val="decimal"/>
      <w:lvlText w:val="%7."/>
      <w:lvlJc w:val="left"/>
      <w:pPr>
        <w:ind w:left="8649" w:hanging="360"/>
      </w:pPr>
    </w:lvl>
    <w:lvl w:ilvl="7">
      <w:start w:val="1"/>
      <w:numFmt w:val="lowerLetter"/>
      <w:lvlText w:val="%8."/>
      <w:lvlJc w:val="left"/>
      <w:pPr>
        <w:ind w:left="9369" w:hanging="360"/>
      </w:pPr>
    </w:lvl>
    <w:lvl w:ilvl="8">
      <w:start w:val="1"/>
      <w:numFmt w:val="lowerRoman"/>
      <w:lvlText w:val="%9."/>
      <w:lvlJc w:val="right"/>
      <w:pPr>
        <w:ind w:left="10089" w:hanging="180"/>
      </w:pPr>
    </w:lvl>
  </w:abstractNum>
  <w:abstractNum w:abstractNumId="8" w15:restartNumberingAfterBreak="0">
    <w:nsid w:val="16A60A84"/>
    <w:multiLevelType w:val="hybridMultilevel"/>
    <w:tmpl w:val="A006760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1769468A"/>
    <w:multiLevelType w:val="hybridMultilevel"/>
    <w:tmpl w:val="DDF81232"/>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15:restartNumberingAfterBreak="0">
    <w:nsid w:val="250B4323"/>
    <w:multiLevelType w:val="multilevel"/>
    <w:tmpl w:val="9926F0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4871DC"/>
    <w:multiLevelType w:val="multilevel"/>
    <w:tmpl w:val="92FA1A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C51270"/>
    <w:multiLevelType w:val="hybridMultilevel"/>
    <w:tmpl w:val="1BFCDEDA"/>
    <w:lvl w:ilvl="0" w:tplc="FFFFFFFF">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24131E7"/>
    <w:multiLevelType w:val="multilevel"/>
    <w:tmpl w:val="6F52FC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04391"/>
    <w:multiLevelType w:val="hybridMultilevel"/>
    <w:tmpl w:val="4C6EAB3A"/>
    <w:lvl w:ilvl="0" w:tplc="EE363582">
      <w:start w:val="7"/>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8DF0746"/>
    <w:multiLevelType w:val="multilevel"/>
    <w:tmpl w:val="8340B1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A7D06AF"/>
    <w:multiLevelType w:val="hybridMultilevel"/>
    <w:tmpl w:val="96BC1C8E"/>
    <w:lvl w:ilvl="0" w:tplc="DA302772">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40F539DD"/>
    <w:multiLevelType w:val="hybridMultilevel"/>
    <w:tmpl w:val="11BA92D4"/>
    <w:lvl w:ilvl="0" w:tplc="6DC22E1A">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4C4B1124"/>
    <w:multiLevelType w:val="multilevel"/>
    <w:tmpl w:val="684ED8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DED4C2D"/>
    <w:multiLevelType w:val="multilevel"/>
    <w:tmpl w:val="4E5C79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F55603"/>
    <w:multiLevelType w:val="multilevel"/>
    <w:tmpl w:val="179AB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1E479A"/>
    <w:multiLevelType w:val="multilevel"/>
    <w:tmpl w:val="646AB3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CF45A5"/>
    <w:multiLevelType w:val="multilevel"/>
    <w:tmpl w:val="0530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25A286"/>
    <w:multiLevelType w:val="hybridMultilevel"/>
    <w:tmpl w:val="85F21F38"/>
    <w:lvl w:ilvl="0" w:tplc="321AA022">
      <w:start w:val="1"/>
      <w:numFmt w:val="bullet"/>
      <w:lvlText w:val=""/>
      <w:lvlJc w:val="left"/>
      <w:pPr>
        <w:ind w:left="720" w:hanging="360"/>
      </w:pPr>
      <w:rPr>
        <w:rFonts w:ascii="Symbol" w:hAnsi="Symbol" w:hint="default"/>
      </w:rPr>
    </w:lvl>
    <w:lvl w:ilvl="1" w:tplc="E67EF256">
      <w:start w:val="1"/>
      <w:numFmt w:val="bullet"/>
      <w:lvlText w:val="o"/>
      <w:lvlJc w:val="left"/>
      <w:pPr>
        <w:ind w:left="1440" w:hanging="360"/>
      </w:pPr>
      <w:rPr>
        <w:rFonts w:ascii="Courier New" w:hAnsi="Courier New" w:hint="default"/>
      </w:rPr>
    </w:lvl>
    <w:lvl w:ilvl="2" w:tplc="7E10C496">
      <w:start w:val="1"/>
      <w:numFmt w:val="bullet"/>
      <w:lvlText w:val=""/>
      <w:lvlJc w:val="left"/>
      <w:pPr>
        <w:ind w:left="2160" w:hanging="360"/>
      </w:pPr>
      <w:rPr>
        <w:rFonts w:ascii="Wingdings" w:hAnsi="Wingdings" w:hint="default"/>
      </w:rPr>
    </w:lvl>
    <w:lvl w:ilvl="3" w:tplc="67B2A198">
      <w:start w:val="1"/>
      <w:numFmt w:val="bullet"/>
      <w:lvlText w:val=""/>
      <w:lvlJc w:val="left"/>
      <w:pPr>
        <w:ind w:left="2880" w:hanging="360"/>
      </w:pPr>
      <w:rPr>
        <w:rFonts w:ascii="Symbol" w:hAnsi="Symbol" w:hint="default"/>
      </w:rPr>
    </w:lvl>
    <w:lvl w:ilvl="4" w:tplc="D46E0EC0">
      <w:start w:val="1"/>
      <w:numFmt w:val="bullet"/>
      <w:lvlText w:val="o"/>
      <w:lvlJc w:val="left"/>
      <w:pPr>
        <w:ind w:left="3600" w:hanging="360"/>
      </w:pPr>
      <w:rPr>
        <w:rFonts w:ascii="Courier New" w:hAnsi="Courier New" w:hint="default"/>
      </w:rPr>
    </w:lvl>
    <w:lvl w:ilvl="5" w:tplc="1A823050">
      <w:start w:val="1"/>
      <w:numFmt w:val="bullet"/>
      <w:lvlText w:val=""/>
      <w:lvlJc w:val="left"/>
      <w:pPr>
        <w:ind w:left="4320" w:hanging="360"/>
      </w:pPr>
      <w:rPr>
        <w:rFonts w:ascii="Wingdings" w:hAnsi="Wingdings" w:hint="default"/>
      </w:rPr>
    </w:lvl>
    <w:lvl w:ilvl="6" w:tplc="DFFC7A7E">
      <w:start w:val="1"/>
      <w:numFmt w:val="bullet"/>
      <w:lvlText w:val=""/>
      <w:lvlJc w:val="left"/>
      <w:pPr>
        <w:ind w:left="5040" w:hanging="360"/>
      </w:pPr>
      <w:rPr>
        <w:rFonts w:ascii="Symbol" w:hAnsi="Symbol" w:hint="default"/>
      </w:rPr>
    </w:lvl>
    <w:lvl w:ilvl="7" w:tplc="92CADAA6">
      <w:start w:val="1"/>
      <w:numFmt w:val="bullet"/>
      <w:lvlText w:val="o"/>
      <w:lvlJc w:val="left"/>
      <w:pPr>
        <w:ind w:left="5760" w:hanging="360"/>
      </w:pPr>
      <w:rPr>
        <w:rFonts w:ascii="Courier New" w:hAnsi="Courier New" w:hint="default"/>
      </w:rPr>
    </w:lvl>
    <w:lvl w:ilvl="8" w:tplc="8E2EF180">
      <w:start w:val="1"/>
      <w:numFmt w:val="bullet"/>
      <w:lvlText w:val=""/>
      <w:lvlJc w:val="left"/>
      <w:pPr>
        <w:ind w:left="6480" w:hanging="360"/>
      </w:pPr>
      <w:rPr>
        <w:rFonts w:ascii="Wingdings" w:hAnsi="Wingdings" w:hint="default"/>
      </w:rPr>
    </w:lvl>
  </w:abstractNum>
  <w:abstractNum w:abstractNumId="24" w15:restartNumberingAfterBreak="0">
    <w:nsid w:val="569E41DE"/>
    <w:multiLevelType w:val="hybridMultilevel"/>
    <w:tmpl w:val="258A8592"/>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59491A13"/>
    <w:multiLevelType w:val="multilevel"/>
    <w:tmpl w:val="05107A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2691FF4"/>
    <w:multiLevelType w:val="hybridMultilevel"/>
    <w:tmpl w:val="345293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70E3E97"/>
    <w:multiLevelType w:val="multilevel"/>
    <w:tmpl w:val="EFECEA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9577DAE"/>
    <w:multiLevelType w:val="multilevel"/>
    <w:tmpl w:val="BD24B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8C7DE6"/>
    <w:multiLevelType w:val="multilevel"/>
    <w:tmpl w:val="532084E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71C97947"/>
    <w:multiLevelType w:val="hybridMultilevel"/>
    <w:tmpl w:val="C6089BEA"/>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7CCF5873"/>
    <w:multiLevelType w:val="hybridMultilevel"/>
    <w:tmpl w:val="5B983AA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7EAA05CD"/>
    <w:multiLevelType w:val="hybridMultilevel"/>
    <w:tmpl w:val="980C9334"/>
    <w:lvl w:ilvl="0" w:tplc="0C0A0001">
      <w:start w:val="1"/>
      <w:numFmt w:val="bullet"/>
      <w:lvlText w:val=""/>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33" w15:restartNumberingAfterBreak="0">
    <w:nsid w:val="7EC63E4D"/>
    <w:multiLevelType w:val="multilevel"/>
    <w:tmpl w:val="A8344A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D33730"/>
    <w:multiLevelType w:val="hybridMultilevel"/>
    <w:tmpl w:val="289E834E"/>
    <w:lvl w:ilvl="0" w:tplc="D6F4D620">
      <w:numFmt w:val="bullet"/>
      <w:lvlText w:val="•"/>
      <w:lvlJc w:val="left"/>
      <w:pPr>
        <w:ind w:left="1410" w:hanging="69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1813325887">
    <w:abstractNumId w:val="5"/>
  </w:num>
  <w:num w:numId="2" w16cid:durableId="851837410">
    <w:abstractNumId w:val="7"/>
  </w:num>
  <w:num w:numId="3" w16cid:durableId="1260871484">
    <w:abstractNumId w:val="25"/>
  </w:num>
  <w:num w:numId="4" w16cid:durableId="607664340">
    <w:abstractNumId w:val="1"/>
  </w:num>
  <w:num w:numId="5" w16cid:durableId="839931610">
    <w:abstractNumId w:val="21"/>
  </w:num>
  <w:num w:numId="6" w16cid:durableId="810949744">
    <w:abstractNumId w:val="10"/>
  </w:num>
  <w:num w:numId="7" w16cid:durableId="1870020656">
    <w:abstractNumId w:val="29"/>
  </w:num>
  <w:num w:numId="8" w16cid:durableId="1477651345">
    <w:abstractNumId w:val="27"/>
  </w:num>
  <w:num w:numId="9" w16cid:durableId="799495859">
    <w:abstractNumId w:val="30"/>
  </w:num>
  <w:num w:numId="10" w16cid:durableId="909271062">
    <w:abstractNumId w:val="24"/>
  </w:num>
  <w:num w:numId="11" w16cid:durableId="960650248">
    <w:abstractNumId w:val="8"/>
  </w:num>
  <w:num w:numId="12" w16cid:durableId="5226678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393697">
    <w:abstractNumId w:val="16"/>
  </w:num>
  <w:num w:numId="14" w16cid:durableId="1537623379">
    <w:abstractNumId w:val="31"/>
  </w:num>
  <w:num w:numId="15" w16cid:durableId="63643646">
    <w:abstractNumId w:val="9"/>
  </w:num>
  <w:num w:numId="16" w16cid:durableId="959918444">
    <w:abstractNumId w:val="6"/>
    <w:lvlOverride w:ilvl="0">
      <w:startOverride w:val="1"/>
    </w:lvlOverride>
    <w:lvlOverride w:ilvl="1"/>
    <w:lvlOverride w:ilvl="2"/>
    <w:lvlOverride w:ilvl="3"/>
    <w:lvlOverride w:ilvl="4"/>
    <w:lvlOverride w:ilvl="5"/>
    <w:lvlOverride w:ilvl="6"/>
    <w:lvlOverride w:ilvl="7"/>
    <w:lvlOverride w:ilvl="8"/>
  </w:num>
  <w:num w:numId="17" w16cid:durableId="1123426361">
    <w:abstractNumId w:val="6"/>
  </w:num>
  <w:num w:numId="18" w16cid:durableId="972560736">
    <w:abstractNumId w:val="3"/>
  </w:num>
  <w:num w:numId="19" w16cid:durableId="2104567052">
    <w:abstractNumId w:val="32"/>
  </w:num>
  <w:num w:numId="20" w16cid:durableId="1758360244">
    <w:abstractNumId w:val="17"/>
  </w:num>
  <w:num w:numId="21" w16cid:durableId="641614435">
    <w:abstractNumId w:val="19"/>
  </w:num>
  <w:num w:numId="22" w16cid:durableId="981469122">
    <w:abstractNumId w:val="13"/>
  </w:num>
  <w:num w:numId="23" w16cid:durableId="787434942">
    <w:abstractNumId w:val="33"/>
  </w:num>
  <w:num w:numId="24" w16cid:durableId="607393363">
    <w:abstractNumId w:val="11"/>
  </w:num>
  <w:num w:numId="25" w16cid:durableId="1717197808">
    <w:abstractNumId w:val="0"/>
  </w:num>
  <w:num w:numId="26" w16cid:durableId="502626036">
    <w:abstractNumId w:val="4"/>
  </w:num>
  <w:num w:numId="27" w16cid:durableId="283123633">
    <w:abstractNumId w:val="14"/>
  </w:num>
  <w:num w:numId="28" w16cid:durableId="1887834430">
    <w:abstractNumId w:val="12"/>
  </w:num>
  <w:num w:numId="29" w16cid:durableId="2024164342">
    <w:abstractNumId w:val="23"/>
  </w:num>
  <w:num w:numId="30" w16cid:durableId="706295245">
    <w:abstractNumId w:val="22"/>
  </w:num>
  <w:num w:numId="31" w16cid:durableId="1576208453">
    <w:abstractNumId w:val="28"/>
  </w:num>
  <w:num w:numId="32" w16cid:durableId="509414431">
    <w:abstractNumId w:val="20"/>
  </w:num>
  <w:num w:numId="33" w16cid:durableId="966542235">
    <w:abstractNumId w:val="18"/>
  </w:num>
  <w:num w:numId="34" w16cid:durableId="1914120148">
    <w:abstractNumId w:val="15"/>
  </w:num>
  <w:num w:numId="35" w16cid:durableId="1770858137">
    <w:abstractNumId w:val="26"/>
  </w:num>
  <w:num w:numId="36" w16cid:durableId="791900981">
    <w:abstractNumId w:val="2"/>
  </w:num>
  <w:num w:numId="37" w16cid:durableId="90279042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4E1"/>
    <w:rsid w:val="00000F0C"/>
    <w:rsid w:val="000032F0"/>
    <w:rsid w:val="000034D5"/>
    <w:rsid w:val="00005EF9"/>
    <w:rsid w:val="000072FE"/>
    <w:rsid w:val="0001475F"/>
    <w:rsid w:val="000152B0"/>
    <w:rsid w:val="00016F92"/>
    <w:rsid w:val="00021597"/>
    <w:rsid w:val="00030574"/>
    <w:rsid w:val="00034E73"/>
    <w:rsid w:val="00035760"/>
    <w:rsid w:val="00036146"/>
    <w:rsid w:val="0003627C"/>
    <w:rsid w:val="000362AD"/>
    <w:rsid w:val="0004026B"/>
    <w:rsid w:val="000402E8"/>
    <w:rsid w:val="000417A4"/>
    <w:rsid w:val="000420ED"/>
    <w:rsid w:val="00042467"/>
    <w:rsid w:val="0004370B"/>
    <w:rsid w:val="00043826"/>
    <w:rsid w:val="00045702"/>
    <w:rsid w:val="00047440"/>
    <w:rsid w:val="00056CA9"/>
    <w:rsid w:val="00061A01"/>
    <w:rsid w:val="000631E3"/>
    <w:rsid w:val="0006791C"/>
    <w:rsid w:val="00067A1C"/>
    <w:rsid w:val="0007200D"/>
    <w:rsid w:val="00072FA9"/>
    <w:rsid w:val="00073AC1"/>
    <w:rsid w:val="000744D6"/>
    <w:rsid w:val="00075760"/>
    <w:rsid w:val="00076542"/>
    <w:rsid w:val="00076925"/>
    <w:rsid w:val="00077CE8"/>
    <w:rsid w:val="00077EF7"/>
    <w:rsid w:val="00082AA8"/>
    <w:rsid w:val="00082F0C"/>
    <w:rsid w:val="000831C4"/>
    <w:rsid w:val="00085C58"/>
    <w:rsid w:val="00087095"/>
    <w:rsid w:val="000931DF"/>
    <w:rsid w:val="00094AD2"/>
    <w:rsid w:val="000A1B35"/>
    <w:rsid w:val="000A215A"/>
    <w:rsid w:val="000A63EF"/>
    <w:rsid w:val="000A7817"/>
    <w:rsid w:val="000B2854"/>
    <w:rsid w:val="000B78F6"/>
    <w:rsid w:val="000B7F4A"/>
    <w:rsid w:val="000C0148"/>
    <w:rsid w:val="000C1CF3"/>
    <w:rsid w:val="000C225B"/>
    <w:rsid w:val="000C262A"/>
    <w:rsid w:val="000C412E"/>
    <w:rsid w:val="000C6AA8"/>
    <w:rsid w:val="000D1C05"/>
    <w:rsid w:val="000D3384"/>
    <w:rsid w:val="000D3713"/>
    <w:rsid w:val="000D76B5"/>
    <w:rsid w:val="000E27F7"/>
    <w:rsid w:val="000E568A"/>
    <w:rsid w:val="000F15C2"/>
    <w:rsid w:val="000F26F7"/>
    <w:rsid w:val="000F649A"/>
    <w:rsid w:val="000F7DDA"/>
    <w:rsid w:val="00101719"/>
    <w:rsid w:val="00101CB4"/>
    <w:rsid w:val="00101D3C"/>
    <w:rsid w:val="001032FE"/>
    <w:rsid w:val="00104D05"/>
    <w:rsid w:val="00105EFB"/>
    <w:rsid w:val="0010796E"/>
    <w:rsid w:val="00110624"/>
    <w:rsid w:val="00113392"/>
    <w:rsid w:val="0011488A"/>
    <w:rsid w:val="00116404"/>
    <w:rsid w:val="0011749E"/>
    <w:rsid w:val="001214E1"/>
    <w:rsid w:val="001257F2"/>
    <w:rsid w:val="00126B21"/>
    <w:rsid w:val="001305F9"/>
    <w:rsid w:val="0013333F"/>
    <w:rsid w:val="0013366F"/>
    <w:rsid w:val="00133D72"/>
    <w:rsid w:val="00134F63"/>
    <w:rsid w:val="00135D99"/>
    <w:rsid w:val="00140681"/>
    <w:rsid w:val="001419C6"/>
    <w:rsid w:val="0014359A"/>
    <w:rsid w:val="001529AD"/>
    <w:rsid w:val="00155806"/>
    <w:rsid w:val="001623FF"/>
    <w:rsid w:val="00163001"/>
    <w:rsid w:val="00164F1D"/>
    <w:rsid w:val="00167393"/>
    <w:rsid w:val="001708FA"/>
    <w:rsid w:val="00172C3F"/>
    <w:rsid w:val="00181253"/>
    <w:rsid w:val="00182A27"/>
    <w:rsid w:val="001839AF"/>
    <w:rsid w:val="001857DF"/>
    <w:rsid w:val="00186271"/>
    <w:rsid w:val="00186536"/>
    <w:rsid w:val="00186E2E"/>
    <w:rsid w:val="0018731A"/>
    <w:rsid w:val="00191726"/>
    <w:rsid w:val="0019461B"/>
    <w:rsid w:val="00194C63"/>
    <w:rsid w:val="001A2C1B"/>
    <w:rsid w:val="001A494C"/>
    <w:rsid w:val="001A5E97"/>
    <w:rsid w:val="001B0998"/>
    <w:rsid w:val="001B33D7"/>
    <w:rsid w:val="001B472E"/>
    <w:rsid w:val="001C13E4"/>
    <w:rsid w:val="001C14C8"/>
    <w:rsid w:val="001C23ED"/>
    <w:rsid w:val="001C4A84"/>
    <w:rsid w:val="001C51D9"/>
    <w:rsid w:val="001C60D9"/>
    <w:rsid w:val="001C7CD9"/>
    <w:rsid w:val="001C7D6B"/>
    <w:rsid w:val="001D1A38"/>
    <w:rsid w:val="001D3153"/>
    <w:rsid w:val="001D387B"/>
    <w:rsid w:val="001D6004"/>
    <w:rsid w:val="001D7706"/>
    <w:rsid w:val="001D77CA"/>
    <w:rsid w:val="001D7CEF"/>
    <w:rsid w:val="001E1D67"/>
    <w:rsid w:val="001E2785"/>
    <w:rsid w:val="001E3B34"/>
    <w:rsid w:val="001E3D62"/>
    <w:rsid w:val="001E5275"/>
    <w:rsid w:val="001E6373"/>
    <w:rsid w:val="001E7454"/>
    <w:rsid w:val="001F121E"/>
    <w:rsid w:val="001F1E99"/>
    <w:rsid w:val="001F2588"/>
    <w:rsid w:val="001F3730"/>
    <w:rsid w:val="001F3AAE"/>
    <w:rsid w:val="001F45D3"/>
    <w:rsid w:val="001F520A"/>
    <w:rsid w:val="001F620F"/>
    <w:rsid w:val="002029E0"/>
    <w:rsid w:val="002142BF"/>
    <w:rsid w:val="002157E2"/>
    <w:rsid w:val="00216754"/>
    <w:rsid w:val="0021691F"/>
    <w:rsid w:val="00216EA6"/>
    <w:rsid w:val="0022095D"/>
    <w:rsid w:val="002213B2"/>
    <w:rsid w:val="00224940"/>
    <w:rsid w:val="0022500E"/>
    <w:rsid w:val="00225ED6"/>
    <w:rsid w:val="00231AC5"/>
    <w:rsid w:val="00237588"/>
    <w:rsid w:val="00242509"/>
    <w:rsid w:val="00242A03"/>
    <w:rsid w:val="00244C6B"/>
    <w:rsid w:val="00245F77"/>
    <w:rsid w:val="002461E7"/>
    <w:rsid w:val="002476E3"/>
    <w:rsid w:val="002519B3"/>
    <w:rsid w:val="002531BA"/>
    <w:rsid w:val="00261B94"/>
    <w:rsid w:val="002624E1"/>
    <w:rsid w:val="00270DF9"/>
    <w:rsid w:val="00270EA9"/>
    <w:rsid w:val="00271F69"/>
    <w:rsid w:val="00274380"/>
    <w:rsid w:val="00274657"/>
    <w:rsid w:val="00274CAB"/>
    <w:rsid w:val="00283C55"/>
    <w:rsid w:val="00284152"/>
    <w:rsid w:val="00284425"/>
    <w:rsid w:val="002873E0"/>
    <w:rsid w:val="00287CEF"/>
    <w:rsid w:val="00287E92"/>
    <w:rsid w:val="00296501"/>
    <w:rsid w:val="002A4932"/>
    <w:rsid w:val="002A62EE"/>
    <w:rsid w:val="002B4D32"/>
    <w:rsid w:val="002B5510"/>
    <w:rsid w:val="002C170F"/>
    <w:rsid w:val="002C2B0A"/>
    <w:rsid w:val="002C5DCA"/>
    <w:rsid w:val="002C61FA"/>
    <w:rsid w:val="002C76BE"/>
    <w:rsid w:val="002D0E07"/>
    <w:rsid w:val="002D3AAE"/>
    <w:rsid w:val="002D4BFE"/>
    <w:rsid w:val="002D5894"/>
    <w:rsid w:val="002D7217"/>
    <w:rsid w:val="002D7C4B"/>
    <w:rsid w:val="002E3835"/>
    <w:rsid w:val="002E45A9"/>
    <w:rsid w:val="002E467C"/>
    <w:rsid w:val="002E67DD"/>
    <w:rsid w:val="002F077E"/>
    <w:rsid w:val="002F137C"/>
    <w:rsid w:val="002F1826"/>
    <w:rsid w:val="002F2089"/>
    <w:rsid w:val="002F3029"/>
    <w:rsid w:val="002F3BCD"/>
    <w:rsid w:val="002F4A8D"/>
    <w:rsid w:val="002F593F"/>
    <w:rsid w:val="002F7F33"/>
    <w:rsid w:val="003005CE"/>
    <w:rsid w:val="0030294B"/>
    <w:rsid w:val="003046D3"/>
    <w:rsid w:val="00305B84"/>
    <w:rsid w:val="003127B8"/>
    <w:rsid w:val="00316445"/>
    <w:rsid w:val="003166F0"/>
    <w:rsid w:val="0032168F"/>
    <w:rsid w:val="00346669"/>
    <w:rsid w:val="00351B2F"/>
    <w:rsid w:val="00352696"/>
    <w:rsid w:val="00353BF3"/>
    <w:rsid w:val="00364DB1"/>
    <w:rsid w:val="00365F2F"/>
    <w:rsid w:val="00366D0D"/>
    <w:rsid w:val="00371F6A"/>
    <w:rsid w:val="00372D27"/>
    <w:rsid w:val="003739CE"/>
    <w:rsid w:val="003757BF"/>
    <w:rsid w:val="00381743"/>
    <w:rsid w:val="00381D0C"/>
    <w:rsid w:val="00384239"/>
    <w:rsid w:val="00384DFF"/>
    <w:rsid w:val="0038523E"/>
    <w:rsid w:val="0039009B"/>
    <w:rsid w:val="003916A2"/>
    <w:rsid w:val="003919C1"/>
    <w:rsid w:val="00392FE0"/>
    <w:rsid w:val="0039443D"/>
    <w:rsid w:val="00395671"/>
    <w:rsid w:val="00397714"/>
    <w:rsid w:val="003A1F77"/>
    <w:rsid w:val="003A1FD1"/>
    <w:rsid w:val="003A69B3"/>
    <w:rsid w:val="003B0530"/>
    <w:rsid w:val="003B3661"/>
    <w:rsid w:val="003B38F3"/>
    <w:rsid w:val="003B3A84"/>
    <w:rsid w:val="003B4984"/>
    <w:rsid w:val="003B4A8F"/>
    <w:rsid w:val="003B7F5C"/>
    <w:rsid w:val="003C5F30"/>
    <w:rsid w:val="003D1A5A"/>
    <w:rsid w:val="003E3C7A"/>
    <w:rsid w:val="003E3F43"/>
    <w:rsid w:val="003E4C29"/>
    <w:rsid w:val="003E6263"/>
    <w:rsid w:val="003E7466"/>
    <w:rsid w:val="003E773D"/>
    <w:rsid w:val="003F330F"/>
    <w:rsid w:val="003F3C4F"/>
    <w:rsid w:val="003F4C23"/>
    <w:rsid w:val="003F7E3F"/>
    <w:rsid w:val="004000A6"/>
    <w:rsid w:val="004055AB"/>
    <w:rsid w:val="004072D9"/>
    <w:rsid w:val="00407C5C"/>
    <w:rsid w:val="00411E99"/>
    <w:rsid w:val="0041226A"/>
    <w:rsid w:val="00412779"/>
    <w:rsid w:val="00413358"/>
    <w:rsid w:val="004145B9"/>
    <w:rsid w:val="004162D7"/>
    <w:rsid w:val="00416D38"/>
    <w:rsid w:val="00416EE6"/>
    <w:rsid w:val="00420061"/>
    <w:rsid w:val="0042179E"/>
    <w:rsid w:val="004235BB"/>
    <w:rsid w:val="0042473F"/>
    <w:rsid w:val="00425F74"/>
    <w:rsid w:val="00426C5A"/>
    <w:rsid w:val="00432842"/>
    <w:rsid w:val="004337CE"/>
    <w:rsid w:val="004410FE"/>
    <w:rsid w:val="0044227E"/>
    <w:rsid w:val="00444B79"/>
    <w:rsid w:val="004452BE"/>
    <w:rsid w:val="00445D19"/>
    <w:rsid w:val="00450728"/>
    <w:rsid w:val="0045201C"/>
    <w:rsid w:val="00452A8D"/>
    <w:rsid w:val="00453459"/>
    <w:rsid w:val="004542E5"/>
    <w:rsid w:val="00454E30"/>
    <w:rsid w:val="00457EB5"/>
    <w:rsid w:val="00460483"/>
    <w:rsid w:val="00461131"/>
    <w:rsid w:val="00462E17"/>
    <w:rsid w:val="004632F0"/>
    <w:rsid w:val="00465AC8"/>
    <w:rsid w:val="00472743"/>
    <w:rsid w:val="00474800"/>
    <w:rsid w:val="004748E3"/>
    <w:rsid w:val="00475FBE"/>
    <w:rsid w:val="004764FE"/>
    <w:rsid w:val="00477436"/>
    <w:rsid w:val="004815C1"/>
    <w:rsid w:val="0048224E"/>
    <w:rsid w:val="00483C6A"/>
    <w:rsid w:val="004854D8"/>
    <w:rsid w:val="00486703"/>
    <w:rsid w:val="004876F8"/>
    <w:rsid w:val="00487AD8"/>
    <w:rsid w:val="00491DA2"/>
    <w:rsid w:val="004926F0"/>
    <w:rsid w:val="00492DCB"/>
    <w:rsid w:val="00495746"/>
    <w:rsid w:val="00497D79"/>
    <w:rsid w:val="00497E90"/>
    <w:rsid w:val="004A055A"/>
    <w:rsid w:val="004A0C11"/>
    <w:rsid w:val="004A4D62"/>
    <w:rsid w:val="004B0386"/>
    <w:rsid w:val="004B0EC4"/>
    <w:rsid w:val="004B33BB"/>
    <w:rsid w:val="004B3C4A"/>
    <w:rsid w:val="004B5174"/>
    <w:rsid w:val="004C1C23"/>
    <w:rsid w:val="004C3E5F"/>
    <w:rsid w:val="004C6C09"/>
    <w:rsid w:val="004D07A8"/>
    <w:rsid w:val="004D48E0"/>
    <w:rsid w:val="004D6454"/>
    <w:rsid w:val="004D679C"/>
    <w:rsid w:val="004D7A3E"/>
    <w:rsid w:val="004E3B31"/>
    <w:rsid w:val="004E4CD9"/>
    <w:rsid w:val="004F1511"/>
    <w:rsid w:val="004F23DC"/>
    <w:rsid w:val="00500029"/>
    <w:rsid w:val="0050225C"/>
    <w:rsid w:val="00502704"/>
    <w:rsid w:val="005035D3"/>
    <w:rsid w:val="00506080"/>
    <w:rsid w:val="00506C42"/>
    <w:rsid w:val="005119A7"/>
    <w:rsid w:val="00517564"/>
    <w:rsid w:val="005176F5"/>
    <w:rsid w:val="0052288E"/>
    <w:rsid w:val="00522979"/>
    <w:rsid w:val="00524051"/>
    <w:rsid w:val="00527051"/>
    <w:rsid w:val="005273AC"/>
    <w:rsid w:val="00527751"/>
    <w:rsid w:val="00530744"/>
    <w:rsid w:val="0053250E"/>
    <w:rsid w:val="00537E14"/>
    <w:rsid w:val="005410CD"/>
    <w:rsid w:val="00542C91"/>
    <w:rsid w:val="00544727"/>
    <w:rsid w:val="005455AE"/>
    <w:rsid w:val="005459EA"/>
    <w:rsid w:val="00545B82"/>
    <w:rsid w:val="00551E8A"/>
    <w:rsid w:val="00554058"/>
    <w:rsid w:val="00556294"/>
    <w:rsid w:val="0055694C"/>
    <w:rsid w:val="005602FC"/>
    <w:rsid w:val="00567290"/>
    <w:rsid w:val="005704D2"/>
    <w:rsid w:val="005775FD"/>
    <w:rsid w:val="00577EF3"/>
    <w:rsid w:val="00583DB6"/>
    <w:rsid w:val="00584A0C"/>
    <w:rsid w:val="00584DBB"/>
    <w:rsid w:val="0059212F"/>
    <w:rsid w:val="00592FA4"/>
    <w:rsid w:val="00596A84"/>
    <w:rsid w:val="00596D36"/>
    <w:rsid w:val="005A3557"/>
    <w:rsid w:val="005A7362"/>
    <w:rsid w:val="005A7D1A"/>
    <w:rsid w:val="005B2232"/>
    <w:rsid w:val="005B2DEC"/>
    <w:rsid w:val="005B30DE"/>
    <w:rsid w:val="005B3E5B"/>
    <w:rsid w:val="005B3FD1"/>
    <w:rsid w:val="005B6870"/>
    <w:rsid w:val="005B6EDB"/>
    <w:rsid w:val="005C0A1D"/>
    <w:rsid w:val="005C1184"/>
    <w:rsid w:val="005C2C67"/>
    <w:rsid w:val="005C573A"/>
    <w:rsid w:val="005D4107"/>
    <w:rsid w:val="005D79E6"/>
    <w:rsid w:val="005E315F"/>
    <w:rsid w:val="005E4575"/>
    <w:rsid w:val="005F2693"/>
    <w:rsid w:val="005F414B"/>
    <w:rsid w:val="005F6092"/>
    <w:rsid w:val="005F67E4"/>
    <w:rsid w:val="00602B2E"/>
    <w:rsid w:val="00603072"/>
    <w:rsid w:val="00612192"/>
    <w:rsid w:val="00615012"/>
    <w:rsid w:val="006157AB"/>
    <w:rsid w:val="0062140E"/>
    <w:rsid w:val="00623759"/>
    <w:rsid w:val="006237A3"/>
    <w:rsid w:val="0062548D"/>
    <w:rsid w:val="00625E2A"/>
    <w:rsid w:val="006273B5"/>
    <w:rsid w:val="00627D36"/>
    <w:rsid w:val="00630D9E"/>
    <w:rsid w:val="0063324A"/>
    <w:rsid w:val="00633588"/>
    <w:rsid w:val="006350A7"/>
    <w:rsid w:val="00635D0B"/>
    <w:rsid w:val="00645571"/>
    <w:rsid w:val="0064614D"/>
    <w:rsid w:val="00647581"/>
    <w:rsid w:val="00653127"/>
    <w:rsid w:val="00657A84"/>
    <w:rsid w:val="00660CD8"/>
    <w:rsid w:val="00661C82"/>
    <w:rsid w:val="00666063"/>
    <w:rsid w:val="00666845"/>
    <w:rsid w:val="006701B9"/>
    <w:rsid w:val="0067138B"/>
    <w:rsid w:val="0067248C"/>
    <w:rsid w:val="006766E5"/>
    <w:rsid w:val="00677571"/>
    <w:rsid w:val="00684C4C"/>
    <w:rsid w:val="006857BE"/>
    <w:rsid w:val="00686D01"/>
    <w:rsid w:val="00690A51"/>
    <w:rsid w:val="00690FCC"/>
    <w:rsid w:val="0069142E"/>
    <w:rsid w:val="006914E7"/>
    <w:rsid w:val="00691D07"/>
    <w:rsid w:val="006921C9"/>
    <w:rsid w:val="00694647"/>
    <w:rsid w:val="006A1A62"/>
    <w:rsid w:val="006A49EE"/>
    <w:rsid w:val="006A6AE8"/>
    <w:rsid w:val="006B1BDD"/>
    <w:rsid w:val="006B3391"/>
    <w:rsid w:val="006B39F8"/>
    <w:rsid w:val="006B497D"/>
    <w:rsid w:val="006B61AB"/>
    <w:rsid w:val="006B65C3"/>
    <w:rsid w:val="006B7A12"/>
    <w:rsid w:val="006B7C58"/>
    <w:rsid w:val="006C0C64"/>
    <w:rsid w:val="006C4D6A"/>
    <w:rsid w:val="006C6945"/>
    <w:rsid w:val="006C7A09"/>
    <w:rsid w:val="006D2295"/>
    <w:rsid w:val="006D36ED"/>
    <w:rsid w:val="006D5210"/>
    <w:rsid w:val="006D5407"/>
    <w:rsid w:val="006D5B86"/>
    <w:rsid w:val="006D616F"/>
    <w:rsid w:val="006E195F"/>
    <w:rsid w:val="006F0A99"/>
    <w:rsid w:val="006F47FC"/>
    <w:rsid w:val="00701B4F"/>
    <w:rsid w:val="00702287"/>
    <w:rsid w:val="00706A22"/>
    <w:rsid w:val="00707595"/>
    <w:rsid w:val="00710CA0"/>
    <w:rsid w:val="00713225"/>
    <w:rsid w:val="0071466C"/>
    <w:rsid w:val="0071521E"/>
    <w:rsid w:val="007170A2"/>
    <w:rsid w:val="00721601"/>
    <w:rsid w:val="00723191"/>
    <w:rsid w:val="00724DD2"/>
    <w:rsid w:val="00724E52"/>
    <w:rsid w:val="007268E7"/>
    <w:rsid w:val="007275C2"/>
    <w:rsid w:val="00730C4C"/>
    <w:rsid w:val="0073395B"/>
    <w:rsid w:val="00735047"/>
    <w:rsid w:val="00735323"/>
    <w:rsid w:val="007402B7"/>
    <w:rsid w:val="007416D6"/>
    <w:rsid w:val="00741EA8"/>
    <w:rsid w:val="00742ECE"/>
    <w:rsid w:val="0074671E"/>
    <w:rsid w:val="00750748"/>
    <w:rsid w:val="007520D7"/>
    <w:rsid w:val="00752213"/>
    <w:rsid w:val="00752BCA"/>
    <w:rsid w:val="0075492E"/>
    <w:rsid w:val="00761F58"/>
    <w:rsid w:val="00765D44"/>
    <w:rsid w:val="00766C50"/>
    <w:rsid w:val="00766DDF"/>
    <w:rsid w:val="00770C3F"/>
    <w:rsid w:val="0077434A"/>
    <w:rsid w:val="007761E6"/>
    <w:rsid w:val="007767B4"/>
    <w:rsid w:val="00777B3F"/>
    <w:rsid w:val="00780267"/>
    <w:rsid w:val="0078240D"/>
    <w:rsid w:val="007863A4"/>
    <w:rsid w:val="00786B53"/>
    <w:rsid w:val="00791881"/>
    <w:rsid w:val="007971E7"/>
    <w:rsid w:val="007A1B9E"/>
    <w:rsid w:val="007A5994"/>
    <w:rsid w:val="007A6DD1"/>
    <w:rsid w:val="007B04C5"/>
    <w:rsid w:val="007B054C"/>
    <w:rsid w:val="007B2C71"/>
    <w:rsid w:val="007B6070"/>
    <w:rsid w:val="007B64D4"/>
    <w:rsid w:val="007C27AA"/>
    <w:rsid w:val="007C4D96"/>
    <w:rsid w:val="007C6758"/>
    <w:rsid w:val="007C6891"/>
    <w:rsid w:val="007C7BCC"/>
    <w:rsid w:val="007C7CB3"/>
    <w:rsid w:val="007D32C1"/>
    <w:rsid w:val="007D5EC8"/>
    <w:rsid w:val="007D6300"/>
    <w:rsid w:val="007D722A"/>
    <w:rsid w:val="007F3045"/>
    <w:rsid w:val="007F5550"/>
    <w:rsid w:val="007F5557"/>
    <w:rsid w:val="00800D48"/>
    <w:rsid w:val="00801BF5"/>
    <w:rsid w:val="00801F08"/>
    <w:rsid w:val="00804732"/>
    <w:rsid w:val="008071DB"/>
    <w:rsid w:val="00811EEC"/>
    <w:rsid w:val="00812EFB"/>
    <w:rsid w:val="008216DA"/>
    <w:rsid w:val="00822756"/>
    <w:rsid w:val="008236D0"/>
    <w:rsid w:val="0082371D"/>
    <w:rsid w:val="008252A4"/>
    <w:rsid w:val="00826337"/>
    <w:rsid w:val="00831BDF"/>
    <w:rsid w:val="00831FF7"/>
    <w:rsid w:val="00834CD2"/>
    <w:rsid w:val="00835A9B"/>
    <w:rsid w:val="008371BC"/>
    <w:rsid w:val="0084296F"/>
    <w:rsid w:val="0084321B"/>
    <w:rsid w:val="00844CF3"/>
    <w:rsid w:val="00844F88"/>
    <w:rsid w:val="00846837"/>
    <w:rsid w:val="00846A26"/>
    <w:rsid w:val="00846E7C"/>
    <w:rsid w:val="00851671"/>
    <w:rsid w:val="00851B41"/>
    <w:rsid w:val="00851C94"/>
    <w:rsid w:val="00852D6A"/>
    <w:rsid w:val="00854CC7"/>
    <w:rsid w:val="0085603D"/>
    <w:rsid w:val="00862456"/>
    <w:rsid w:val="00862C72"/>
    <w:rsid w:val="00863720"/>
    <w:rsid w:val="0086463A"/>
    <w:rsid w:val="00864FA9"/>
    <w:rsid w:val="00867799"/>
    <w:rsid w:val="00867C42"/>
    <w:rsid w:val="0087022C"/>
    <w:rsid w:val="00870EB5"/>
    <w:rsid w:val="00871145"/>
    <w:rsid w:val="00872BC4"/>
    <w:rsid w:val="00873492"/>
    <w:rsid w:val="00873AF2"/>
    <w:rsid w:val="00877954"/>
    <w:rsid w:val="008831BB"/>
    <w:rsid w:val="0088321A"/>
    <w:rsid w:val="008857F1"/>
    <w:rsid w:val="00891B39"/>
    <w:rsid w:val="008921EB"/>
    <w:rsid w:val="00895936"/>
    <w:rsid w:val="0089786B"/>
    <w:rsid w:val="008A19D3"/>
    <w:rsid w:val="008A2362"/>
    <w:rsid w:val="008A3322"/>
    <w:rsid w:val="008A46A3"/>
    <w:rsid w:val="008A46E6"/>
    <w:rsid w:val="008A7159"/>
    <w:rsid w:val="008B1B96"/>
    <w:rsid w:val="008B5219"/>
    <w:rsid w:val="008B558F"/>
    <w:rsid w:val="008B5FC1"/>
    <w:rsid w:val="008C0434"/>
    <w:rsid w:val="008C1349"/>
    <w:rsid w:val="008C1E1D"/>
    <w:rsid w:val="008C4237"/>
    <w:rsid w:val="008C60AC"/>
    <w:rsid w:val="008C712D"/>
    <w:rsid w:val="008D006B"/>
    <w:rsid w:val="008D01C3"/>
    <w:rsid w:val="008D0B96"/>
    <w:rsid w:val="008D1790"/>
    <w:rsid w:val="008D1C2C"/>
    <w:rsid w:val="008D3AC9"/>
    <w:rsid w:val="008D41AF"/>
    <w:rsid w:val="008D6283"/>
    <w:rsid w:val="008D6F66"/>
    <w:rsid w:val="008D71B7"/>
    <w:rsid w:val="008D7340"/>
    <w:rsid w:val="008D73DA"/>
    <w:rsid w:val="008D756D"/>
    <w:rsid w:val="008E062B"/>
    <w:rsid w:val="008E4124"/>
    <w:rsid w:val="008E4678"/>
    <w:rsid w:val="008E4D3B"/>
    <w:rsid w:val="008E72BC"/>
    <w:rsid w:val="009000F0"/>
    <w:rsid w:val="009005B0"/>
    <w:rsid w:val="00903303"/>
    <w:rsid w:val="00905A75"/>
    <w:rsid w:val="009071CB"/>
    <w:rsid w:val="0091296B"/>
    <w:rsid w:val="00912FE4"/>
    <w:rsid w:val="00913398"/>
    <w:rsid w:val="00915348"/>
    <w:rsid w:val="00916F1E"/>
    <w:rsid w:val="009214D1"/>
    <w:rsid w:val="0092154D"/>
    <w:rsid w:val="00921F4B"/>
    <w:rsid w:val="00923A00"/>
    <w:rsid w:val="00923A3E"/>
    <w:rsid w:val="00925D32"/>
    <w:rsid w:val="00926099"/>
    <w:rsid w:val="00932072"/>
    <w:rsid w:val="009328A3"/>
    <w:rsid w:val="009328D1"/>
    <w:rsid w:val="00941D65"/>
    <w:rsid w:val="00941DEC"/>
    <w:rsid w:val="009422D0"/>
    <w:rsid w:val="009451DB"/>
    <w:rsid w:val="0095193F"/>
    <w:rsid w:val="009522EA"/>
    <w:rsid w:val="00952324"/>
    <w:rsid w:val="00953037"/>
    <w:rsid w:val="00954AC0"/>
    <w:rsid w:val="00956908"/>
    <w:rsid w:val="00962AAA"/>
    <w:rsid w:val="00965725"/>
    <w:rsid w:val="00965AC1"/>
    <w:rsid w:val="00966725"/>
    <w:rsid w:val="009712AC"/>
    <w:rsid w:val="00972ACE"/>
    <w:rsid w:val="00974A2C"/>
    <w:rsid w:val="00974F44"/>
    <w:rsid w:val="00975D78"/>
    <w:rsid w:val="00980ECE"/>
    <w:rsid w:val="00986CE7"/>
    <w:rsid w:val="009876A3"/>
    <w:rsid w:val="00987918"/>
    <w:rsid w:val="009903F9"/>
    <w:rsid w:val="00993531"/>
    <w:rsid w:val="00993586"/>
    <w:rsid w:val="00996C60"/>
    <w:rsid w:val="00997973"/>
    <w:rsid w:val="00997FCF"/>
    <w:rsid w:val="009A2457"/>
    <w:rsid w:val="009A271E"/>
    <w:rsid w:val="009B7B73"/>
    <w:rsid w:val="009C0E17"/>
    <w:rsid w:val="009C0E1A"/>
    <w:rsid w:val="009C4FE8"/>
    <w:rsid w:val="009C6A4E"/>
    <w:rsid w:val="009C7352"/>
    <w:rsid w:val="009C75D0"/>
    <w:rsid w:val="009D2D30"/>
    <w:rsid w:val="009D47D7"/>
    <w:rsid w:val="009D54CD"/>
    <w:rsid w:val="009D6786"/>
    <w:rsid w:val="009D7D72"/>
    <w:rsid w:val="009D7EF7"/>
    <w:rsid w:val="009E2757"/>
    <w:rsid w:val="009E33EF"/>
    <w:rsid w:val="009E4925"/>
    <w:rsid w:val="009E6940"/>
    <w:rsid w:val="009E7F50"/>
    <w:rsid w:val="009F5F26"/>
    <w:rsid w:val="009F6136"/>
    <w:rsid w:val="00A01C06"/>
    <w:rsid w:val="00A025CD"/>
    <w:rsid w:val="00A05CF6"/>
    <w:rsid w:val="00A070E2"/>
    <w:rsid w:val="00A07D5A"/>
    <w:rsid w:val="00A101E2"/>
    <w:rsid w:val="00A101F1"/>
    <w:rsid w:val="00A15AD8"/>
    <w:rsid w:val="00A16E29"/>
    <w:rsid w:val="00A22969"/>
    <w:rsid w:val="00A26AF6"/>
    <w:rsid w:val="00A271E3"/>
    <w:rsid w:val="00A32C03"/>
    <w:rsid w:val="00A340A5"/>
    <w:rsid w:val="00A36B95"/>
    <w:rsid w:val="00A3784D"/>
    <w:rsid w:val="00A418D4"/>
    <w:rsid w:val="00A43324"/>
    <w:rsid w:val="00A437D9"/>
    <w:rsid w:val="00A45589"/>
    <w:rsid w:val="00A50C36"/>
    <w:rsid w:val="00A54BC3"/>
    <w:rsid w:val="00A54C7B"/>
    <w:rsid w:val="00A54ECE"/>
    <w:rsid w:val="00A55A1C"/>
    <w:rsid w:val="00A55F76"/>
    <w:rsid w:val="00A572EC"/>
    <w:rsid w:val="00A57F5F"/>
    <w:rsid w:val="00A6439E"/>
    <w:rsid w:val="00A67BDE"/>
    <w:rsid w:val="00A70348"/>
    <w:rsid w:val="00A715C1"/>
    <w:rsid w:val="00A72E84"/>
    <w:rsid w:val="00A7344F"/>
    <w:rsid w:val="00A760B6"/>
    <w:rsid w:val="00A76388"/>
    <w:rsid w:val="00A777B4"/>
    <w:rsid w:val="00A80A36"/>
    <w:rsid w:val="00A81D3E"/>
    <w:rsid w:val="00A81F9C"/>
    <w:rsid w:val="00A919FB"/>
    <w:rsid w:val="00A934E1"/>
    <w:rsid w:val="00A94BBF"/>
    <w:rsid w:val="00A969F6"/>
    <w:rsid w:val="00A96B10"/>
    <w:rsid w:val="00A97503"/>
    <w:rsid w:val="00AA0D6D"/>
    <w:rsid w:val="00AA16FA"/>
    <w:rsid w:val="00AA1E7D"/>
    <w:rsid w:val="00AA1F9E"/>
    <w:rsid w:val="00AA3401"/>
    <w:rsid w:val="00AA3837"/>
    <w:rsid w:val="00AA4859"/>
    <w:rsid w:val="00AA4CAA"/>
    <w:rsid w:val="00AA5D36"/>
    <w:rsid w:val="00AB0AB2"/>
    <w:rsid w:val="00AB3044"/>
    <w:rsid w:val="00AB4304"/>
    <w:rsid w:val="00AC567A"/>
    <w:rsid w:val="00AD0F49"/>
    <w:rsid w:val="00AD3272"/>
    <w:rsid w:val="00AD523E"/>
    <w:rsid w:val="00AD7ECC"/>
    <w:rsid w:val="00AF0255"/>
    <w:rsid w:val="00AF0761"/>
    <w:rsid w:val="00AF2B94"/>
    <w:rsid w:val="00AF47FB"/>
    <w:rsid w:val="00AF7717"/>
    <w:rsid w:val="00AF7975"/>
    <w:rsid w:val="00AF7B41"/>
    <w:rsid w:val="00B0372B"/>
    <w:rsid w:val="00B07F7D"/>
    <w:rsid w:val="00B106E3"/>
    <w:rsid w:val="00B10A71"/>
    <w:rsid w:val="00B134CA"/>
    <w:rsid w:val="00B13A1F"/>
    <w:rsid w:val="00B15F22"/>
    <w:rsid w:val="00B1712B"/>
    <w:rsid w:val="00B20921"/>
    <w:rsid w:val="00B26461"/>
    <w:rsid w:val="00B266A3"/>
    <w:rsid w:val="00B26B16"/>
    <w:rsid w:val="00B3021D"/>
    <w:rsid w:val="00B30396"/>
    <w:rsid w:val="00B33402"/>
    <w:rsid w:val="00B33EFE"/>
    <w:rsid w:val="00B3435B"/>
    <w:rsid w:val="00B37016"/>
    <w:rsid w:val="00B37E23"/>
    <w:rsid w:val="00B37E8C"/>
    <w:rsid w:val="00B40576"/>
    <w:rsid w:val="00B426F3"/>
    <w:rsid w:val="00B46758"/>
    <w:rsid w:val="00B472A8"/>
    <w:rsid w:val="00B505ED"/>
    <w:rsid w:val="00B50785"/>
    <w:rsid w:val="00B53B26"/>
    <w:rsid w:val="00B559F1"/>
    <w:rsid w:val="00B61332"/>
    <w:rsid w:val="00B61A23"/>
    <w:rsid w:val="00B62DEE"/>
    <w:rsid w:val="00B66C28"/>
    <w:rsid w:val="00B6763A"/>
    <w:rsid w:val="00B70EA1"/>
    <w:rsid w:val="00B71949"/>
    <w:rsid w:val="00B71A66"/>
    <w:rsid w:val="00B74AC0"/>
    <w:rsid w:val="00B770A2"/>
    <w:rsid w:val="00B7762F"/>
    <w:rsid w:val="00B778AF"/>
    <w:rsid w:val="00B77EFC"/>
    <w:rsid w:val="00B80C1A"/>
    <w:rsid w:val="00B80E7F"/>
    <w:rsid w:val="00B8139A"/>
    <w:rsid w:val="00B83D55"/>
    <w:rsid w:val="00B84D34"/>
    <w:rsid w:val="00B859AD"/>
    <w:rsid w:val="00B86729"/>
    <w:rsid w:val="00B87167"/>
    <w:rsid w:val="00B91C01"/>
    <w:rsid w:val="00B95432"/>
    <w:rsid w:val="00B95B7A"/>
    <w:rsid w:val="00B9686E"/>
    <w:rsid w:val="00BA070B"/>
    <w:rsid w:val="00BA333E"/>
    <w:rsid w:val="00BA71A6"/>
    <w:rsid w:val="00BA7379"/>
    <w:rsid w:val="00BB00B6"/>
    <w:rsid w:val="00BB5F13"/>
    <w:rsid w:val="00BC021F"/>
    <w:rsid w:val="00BC29CC"/>
    <w:rsid w:val="00BC6255"/>
    <w:rsid w:val="00BD079D"/>
    <w:rsid w:val="00BD2FCA"/>
    <w:rsid w:val="00BD546B"/>
    <w:rsid w:val="00BE21C8"/>
    <w:rsid w:val="00BE41ED"/>
    <w:rsid w:val="00BE4332"/>
    <w:rsid w:val="00BE703B"/>
    <w:rsid w:val="00BF3DD7"/>
    <w:rsid w:val="00BF3E14"/>
    <w:rsid w:val="00BF68E5"/>
    <w:rsid w:val="00BF77DE"/>
    <w:rsid w:val="00C01046"/>
    <w:rsid w:val="00C019CA"/>
    <w:rsid w:val="00C0591E"/>
    <w:rsid w:val="00C05C17"/>
    <w:rsid w:val="00C118E9"/>
    <w:rsid w:val="00C1312D"/>
    <w:rsid w:val="00C14428"/>
    <w:rsid w:val="00C17890"/>
    <w:rsid w:val="00C2141F"/>
    <w:rsid w:val="00C2784B"/>
    <w:rsid w:val="00C30386"/>
    <w:rsid w:val="00C32077"/>
    <w:rsid w:val="00C423DD"/>
    <w:rsid w:val="00C473CC"/>
    <w:rsid w:val="00C51CAA"/>
    <w:rsid w:val="00C521C9"/>
    <w:rsid w:val="00C52799"/>
    <w:rsid w:val="00C55755"/>
    <w:rsid w:val="00C6229C"/>
    <w:rsid w:val="00C64E2A"/>
    <w:rsid w:val="00C665CE"/>
    <w:rsid w:val="00C701A8"/>
    <w:rsid w:val="00C70390"/>
    <w:rsid w:val="00C7106D"/>
    <w:rsid w:val="00C72B30"/>
    <w:rsid w:val="00C73D0F"/>
    <w:rsid w:val="00C807FE"/>
    <w:rsid w:val="00C81D4D"/>
    <w:rsid w:val="00C824B0"/>
    <w:rsid w:val="00C83328"/>
    <w:rsid w:val="00C83512"/>
    <w:rsid w:val="00C87923"/>
    <w:rsid w:val="00C90E33"/>
    <w:rsid w:val="00C91517"/>
    <w:rsid w:val="00C92A98"/>
    <w:rsid w:val="00C92F20"/>
    <w:rsid w:val="00C93ABE"/>
    <w:rsid w:val="00C94C2F"/>
    <w:rsid w:val="00C94DF9"/>
    <w:rsid w:val="00CA0825"/>
    <w:rsid w:val="00CA4DB7"/>
    <w:rsid w:val="00CA6F5F"/>
    <w:rsid w:val="00CA713B"/>
    <w:rsid w:val="00CB2253"/>
    <w:rsid w:val="00CC0BD9"/>
    <w:rsid w:val="00CC1C2E"/>
    <w:rsid w:val="00CC3888"/>
    <w:rsid w:val="00CC4328"/>
    <w:rsid w:val="00CC67B6"/>
    <w:rsid w:val="00CC6BA1"/>
    <w:rsid w:val="00CD07CA"/>
    <w:rsid w:val="00CD10CF"/>
    <w:rsid w:val="00CD5487"/>
    <w:rsid w:val="00CD61D1"/>
    <w:rsid w:val="00CD64AC"/>
    <w:rsid w:val="00CD6C2E"/>
    <w:rsid w:val="00CE08DF"/>
    <w:rsid w:val="00CE2727"/>
    <w:rsid w:val="00CE31D5"/>
    <w:rsid w:val="00CE321F"/>
    <w:rsid w:val="00CE48BA"/>
    <w:rsid w:val="00CE594E"/>
    <w:rsid w:val="00CE64EC"/>
    <w:rsid w:val="00CE771A"/>
    <w:rsid w:val="00CE7D35"/>
    <w:rsid w:val="00CE7DDB"/>
    <w:rsid w:val="00CF0741"/>
    <w:rsid w:val="00CF1E73"/>
    <w:rsid w:val="00CF44DF"/>
    <w:rsid w:val="00CF68BD"/>
    <w:rsid w:val="00D029D4"/>
    <w:rsid w:val="00D05F85"/>
    <w:rsid w:val="00D06016"/>
    <w:rsid w:val="00D06148"/>
    <w:rsid w:val="00D084B6"/>
    <w:rsid w:val="00D11A2A"/>
    <w:rsid w:val="00D21121"/>
    <w:rsid w:val="00D2232D"/>
    <w:rsid w:val="00D22924"/>
    <w:rsid w:val="00D22DE8"/>
    <w:rsid w:val="00D25F11"/>
    <w:rsid w:val="00D26F86"/>
    <w:rsid w:val="00D270F7"/>
    <w:rsid w:val="00D306E8"/>
    <w:rsid w:val="00D337F3"/>
    <w:rsid w:val="00D35315"/>
    <w:rsid w:val="00D3545A"/>
    <w:rsid w:val="00D35DF7"/>
    <w:rsid w:val="00D37674"/>
    <w:rsid w:val="00D40E7D"/>
    <w:rsid w:val="00D415E2"/>
    <w:rsid w:val="00D46C63"/>
    <w:rsid w:val="00D50462"/>
    <w:rsid w:val="00D51BC8"/>
    <w:rsid w:val="00D5413B"/>
    <w:rsid w:val="00D54321"/>
    <w:rsid w:val="00D558D2"/>
    <w:rsid w:val="00D56A2D"/>
    <w:rsid w:val="00D610E0"/>
    <w:rsid w:val="00D612D2"/>
    <w:rsid w:val="00D6475B"/>
    <w:rsid w:val="00D64B23"/>
    <w:rsid w:val="00D66911"/>
    <w:rsid w:val="00D66A0D"/>
    <w:rsid w:val="00D67F23"/>
    <w:rsid w:val="00D7074B"/>
    <w:rsid w:val="00D71E3E"/>
    <w:rsid w:val="00D7297B"/>
    <w:rsid w:val="00D73CFC"/>
    <w:rsid w:val="00D8222E"/>
    <w:rsid w:val="00D83E1D"/>
    <w:rsid w:val="00D8733D"/>
    <w:rsid w:val="00D93264"/>
    <w:rsid w:val="00D93390"/>
    <w:rsid w:val="00D94514"/>
    <w:rsid w:val="00D95A96"/>
    <w:rsid w:val="00D97EC3"/>
    <w:rsid w:val="00DA3261"/>
    <w:rsid w:val="00DB231A"/>
    <w:rsid w:val="00DB4F49"/>
    <w:rsid w:val="00DB50CC"/>
    <w:rsid w:val="00DB562A"/>
    <w:rsid w:val="00DB6850"/>
    <w:rsid w:val="00DC0079"/>
    <w:rsid w:val="00DC5121"/>
    <w:rsid w:val="00DC6529"/>
    <w:rsid w:val="00DC729E"/>
    <w:rsid w:val="00DD05BD"/>
    <w:rsid w:val="00DD4BF2"/>
    <w:rsid w:val="00DD5B97"/>
    <w:rsid w:val="00DD6B72"/>
    <w:rsid w:val="00DD715F"/>
    <w:rsid w:val="00DD79F0"/>
    <w:rsid w:val="00DE1235"/>
    <w:rsid w:val="00DE2D2D"/>
    <w:rsid w:val="00DE4A4D"/>
    <w:rsid w:val="00DE6EE3"/>
    <w:rsid w:val="00DF0582"/>
    <w:rsid w:val="00DF1D21"/>
    <w:rsid w:val="00DF1D4E"/>
    <w:rsid w:val="00DF5F7E"/>
    <w:rsid w:val="00DF623D"/>
    <w:rsid w:val="00E005CF"/>
    <w:rsid w:val="00E0091E"/>
    <w:rsid w:val="00E009DC"/>
    <w:rsid w:val="00E0205A"/>
    <w:rsid w:val="00E04116"/>
    <w:rsid w:val="00E06520"/>
    <w:rsid w:val="00E07210"/>
    <w:rsid w:val="00E116D4"/>
    <w:rsid w:val="00E129F4"/>
    <w:rsid w:val="00E1307A"/>
    <w:rsid w:val="00E13E94"/>
    <w:rsid w:val="00E16977"/>
    <w:rsid w:val="00E22191"/>
    <w:rsid w:val="00E26AB9"/>
    <w:rsid w:val="00E27D16"/>
    <w:rsid w:val="00E30412"/>
    <w:rsid w:val="00E30A79"/>
    <w:rsid w:val="00E30E04"/>
    <w:rsid w:val="00E326B0"/>
    <w:rsid w:val="00E32700"/>
    <w:rsid w:val="00E33508"/>
    <w:rsid w:val="00E37697"/>
    <w:rsid w:val="00E40E02"/>
    <w:rsid w:val="00E42CFE"/>
    <w:rsid w:val="00E44DDB"/>
    <w:rsid w:val="00E53AD9"/>
    <w:rsid w:val="00E54351"/>
    <w:rsid w:val="00E54393"/>
    <w:rsid w:val="00E54F8C"/>
    <w:rsid w:val="00E60492"/>
    <w:rsid w:val="00E607FD"/>
    <w:rsid w:val="00E62458"/>
    <w:rsid w:val="00E63162"/>
    <w:rsid w:val="00E638DE"/>
    <w:rsid w:val="00E647CC"/>
    <w:rsid w:val="00E73173"/>
    <w:rsid w:val="00E740D4"/>
    <w:rsid w:val="00E7524E"/>
    <w:rsid w:val="00E77AB7"/>
    <w:rsid w:val="00E77FC5"/>
    <w:rsid w:val="00E82D65"/>
    <w:rsid w:val="00E8471A"/>
    <w:rsid w:val="00E919A6"/>
    <w:rsid w:val="00E9254C"/>
    <w:rsid w:val="00E9559B"/>
    <w:rsid w:val="00E958AF"/>
    <w:rsid w:val="00E96456"/>
    <w:rsid w:val="00E965F6"/>
    <w:rsid w:val="00E97A8A"/>
    <w:rsid w:val="00E97BFB"/>
    <w:rsid w:val="00EB1328"/>
    <w:rsid w:val="00EB182D"/>
    <w:rsid w:val="00EB37AF"/>
    <w:rsid w:val="00EB5910"/>
    <w:rsid w:val="00EB762D"/>
    <w:rsid w:val="00EB77C4"/>
    <w:rsid w:val="00EC4B2F"/>
    <w:rsid w:val="00EC5B63"/>
    <w:rsid w:val="00ED1C02"/>
    <w:rsid w:val="00ED1C9A"/>
    <w:rsid w:val="00ED258D"/>
    <w:rsid w:val="00ED603F"/>
    <w:rsid w:val="00EE1543"/>
    <w:rsid w:val="00EE2916"/>
    <w:rsid w:val="00EE30E7"/>
    <w:rsid w:val="00EF0543"/>
    <w:rsid w:val="00EF422F"/>
    <w:rsid w:val="00EF6AE3"/>
    <w:rsid w:val="00F01743"/>
    <w:rsid w:val="00F050D2"/>
    <w:rsid w:val="00F0571F"/>
    <w:rsid w:val="00F105B9"/>
    <w:rsid w:val="00F10B2B"/>
    <w:rsid w:val="00F11C5E"/>
    <w:rsid w:val="00F11EB2"/>
    <w:rsid w:val="00F12F60"/>
    <w:rsid w:val="00F13C32"/>
    <w:rsid w:val="00F14990"/>
    <w:rsid w:val="00F16DAA"/>
    <w:rsid w:val="00F177A4"/>
    <w:rsid w:val="00F242B2"/>
    <w:rsid w:val="00F25EF9"/>
    <w:rsid w:val="00F27739"/>
    <w:rsid w:val="00F305E8"/>
    <w:rsid w:val="00F30CF0"/>
    <w:rsid w:val="00F31CF7"/>
    <w:rsid w:val="00F33167"/>
    <w:rsid w:val="00F33BE1"/>
    <w:rsid w:val="00F34A68"/>
    <w:rsid w:val="00F424C5"/>
    <w:rsid w:val="00F42C5F"/>
    <w:rsid w:val="00F4344B"/>
    <w:rsid w:val="00F4348F"/>
    <w:rsid w:val="00F43F6E"/>
    <w:rsid w:val="00F4461D"/>
    <w:rsid w:val="00F46953"/>
    <w:rsid w:val="00F47A13"/>
    <w:rsid w:val="00F51483"/>
    <w:rsid w:val="00F57BF6"/>
    <w:rsid w:val="00F631D9"/>
    <w:rsid w:val="00F63D78"/>
    <w:rsid w:val="00F652D1"/>
    <w:rsid w:val="00F65A50"/>
    <w:rsid w:val="00F73D99"/>
    <w:rsid w:val="00F754E1"/>
    <w:rsid w:val="00F82437"/>
    <w:rsid w:val="00F8541D"/>
    <w:rsid w:val="00F8700F"/>
    <w:rsid w:val="00F9126D"/>
    <w:rsid w:val="00F91CE3"/>
    <w:rsid w:val="00F95ED8"/>
    <w:rsid w:val="00F9778B"/>
    <w:rsid w:val="00FA0577"/>
    <w:rsid w:val="00FA5079"/>
    <w:rsid w:val="00FA62B6"/>
    <w:rsid w:val="00FB0E3F"/>
    <w:rsid w:val="00FB173B"/>
    <w:rsid w:val="00FB2C70"/>
    <w:rsid w:val="00FB2FA4"/>
    <w:rsid w:val="00FB49AD"/>
    <w:rsid w:val="00FB5C8E"/>
    <w:rsid w:val="00FB6630"/>
    <w:rsid w:val="00FB7599"/>
    <w:rsid w:val="00FC2E46"/>
    <w:rsid w:val="00FD0A35"/>
    <w:rsid w:val="00FD0AFB"/>
    <w:rsid w:val="00FD0DAB"/>
    <w:rsid w:val="00FD2499"/>
    <w:rsid w:val="00FE0036"/>
    <w:rsid w:val="00FE0FC2"/>
    <w:rsid w:val="00FE361B"/>
    <w:rsid w:val="00FE3B2E"/>
    <w:rsid w:val="00FE7B4C"/>
    <w:rsid w:val="00FF2315"/>
    <w:rsid w:val="00FF3FDB"/>
    <w:rsid w:val="00FF6B32"/>
    <w:rsid w:val="00FF7F32"/>
    <w:rsid w:val="021C55D7"/>
    <w:rsid w:val="021E88F9"/>
    <w:rsid w:val="023DF68F"/>
    <w:rsid w:val="079E78C8"/>
    <w:rsid w:val="07C704A3"/>
    <w:rsid w:val="080763B8"/>
    <w:rsid w:val="0A068276"/>
    <w:rsid w:val="0A35B371"/>
    <w:rsid w:val="0BAF826F"/>
    <w:rsid w:val="0BED1285"/>
    <w:rsid w:val="0D29CD66"/>
    <w:rsid w:val="0D7A9B49"/>
    <w:rsid w:val="0DE37559"/>
    <w:rsid w:val="1043F4FB"/>
    <w:rsid w:val="14AC8865"/>
    <w:rsid w:val="176C90C6"/>
    <w:rsid w:val="17963083"/>
    <w:rsid w:val="1890963C"/>
    <w:rsid w:val="1D5122CA"/>
    <w:rsid w:val="1DD8B016"/>
    <w:rsid w:val="2048209F"/>
    <w:rsid w:val="2158424C"/>
    <w:rsid w:val="24505479"/>
    <w:rsid w:val="2477D3B3"/>
    <w:rsid w:val="2555E17E"/>
    <w:rsid w:val="26C5D28A"/>
    <w:rsid w:val="272E7A93"/>
    <w:rsid w:val="28EB9E7F"/>
    <w:rsid w:val="292AA1B4"/>
    <w:rsid w:val="2A0D009C"/>
    <w:rsid w:val="3072E8FA"/>
    <w:rsid w:val="31806705"/>
    <w:rsid w:val="32601CAC"/>
    <w:rsid w:val="32C3CF82"/>
    <w:rsid w:val="33677ED1"/>
    <w:rsid w:val="33B810FD"/>
    <w:rsid w:val="378E3C2E"/>
    <w:rsid w:val="37991E46"/>
    <w:rsid w:val="38D92FFF"/>
    <w:rsid w:val="3941751C"/>
    <w:rsid w:val="3D2A96D3"/>
    <w:rsid w:val="3DD10330"/>
    <w:rsid w:val="3EE25632"/>
    <w:rsid w:val="41ACA408"/>
    <w:rsid w:val="41F1E1F9"/>
    <w:rsid w:val="43C0431A"/>
    <w:rsid w:val="451D89BB"/>
    <w:rsid w:val="453C188C"/>
    <w:rsid w:val="462C216A"/>
    <w:rsid w:val="468DB069"/>
    <w:rsid w:val="471FEE4F"/>
    <w:rsid w:val="4803EAC8"/>
    <w:rsid w:val="480CA9F4"/>
    <w:rsid w:val="4B66FEB9"/>
    <w:rsid w:val="4CB04692"/>
    <w:rsid w:val="4D676ACC"/>
    <w:rsid w:val="4DFADB9D"/>
    <w:rsid w:val="5210487E"/>
    <w:rsid w:val="576806A8"/>
    <w:rsid w:val="5C368E26"/>
    <w:rsid w:val="5C796378"/>
    <w:rsid w:val="5C9189BB"/>
    <w:rsid w:val="5CC0B133"/>
    <w:rsid w:val="5D356A8A"/>
    <w:rsid w:val="5DFC802D"/>
    <w:rsid w:val="5E6B51E0"/>
    <w:rsid w:val="5F28F634"/>
    <w:rsid w:val="60A77FAF"/>
    <w:rsid w:val="6153A555"/>
    <w:rsid w:val="6221F3CD"/>
    <w:rsid w:val="62FD8C0E"/>
    <w:rsid w:val="6322B53A"/>
    <w:rsid w:val="65879279"/>
    <w:rsid w:val="66C68C07"/>
    <w:rsid w:val="67934BA8"/>
    <w:rsid w:val="679A969E"/>
    <w:rsid w:val="67EAC180"/>
    <w:rsid w:val="681E2FF9"/>
    <w:rsid w:val="68FC2591"/>
    <w:rsid w:val="694946D4"/>
    <w:rsid w:val="69EB36EB"/>
    <w:rsid w:val="6AE13250"/>
    <w:rsid w:val="6D9EE28C"/>
    <w:rsid w:val="6DA625D7"/>
    <w:rsid w:val="6DFB8979"/>
    <w:rsid w:val="6E50831E"/>
    <w:rsid w:val="6E6BD9D2"/>
    <w:rsid w:val="6E89146D"/>
    <w:rsid w:val="6FA839C4"/>
    <w:rsid w:val="74223708"/>
    <w:rsid w:val="754EFEE6"/>
    <w:rsid w:val="76BDF85B"/>
    <w:rsid w:val="77C7895F"/>
    <w:rsid w:val="790B5992"/>
    <w:rsid w:val="79F367A2"/>
    <w:rsid w:val="7B10C87E"/>
    <w:rsid w:val="7BD403B9"/>
    <w:rsid w:val="7BE64C8B"/>
    <w:rsid w:val="7CD3EF79"/>
    <w:rsid w:val="7D121545"/>
    <w:rsid w:val="7DFD682B"/>
    <w:rsid w:val="7EAFD878"/>
    <w:rsid w:val="7F1E9BBD"/>
    <w:rsid w:val="7F3EAF00"/>
    <w:rsid w:val="7F79EF0B"/>
  </w:rsids>
  <m:mathPr>
    <m:mathFont m:val="Cambria Math"/>
    <m:brkBin m:val="before"/>
    <m:brkBinSub m:val="--"/>
    <m:smallFrac m:val="0"/>
    <m:dispDef/>
    <m:lMargin m:val="0"/>
    <m:rMargin m:val="0"/>
    <m:defJc m:val="centerGroup"/>
    <m:wrapIndent m:val="1440"/>
    <m:intLim m:val="subSup"/>
    <m:naryLim m:val="undOvr"/>
  </m:mathPr>
  <w:themeFontLang w:val="es-ES" w:eastAsia="zh-CN"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1EF94"/>
  <w15:docId w15:val="{1CDFA59D-1322-4056-A2E0-5DF03F1E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bidi="ar-SA"/>
    </w:rPr>
  </w:style>
  <w:style w:type="paragraph" w:styleId="Ttulo3">
    <w:name w:val="heading 3"/>
    <w:basedOn w:val="Normal"/>
    <w:next w:val="Normal"/>
    <w:uiPriority w:val="9"/>
    <w:qFormat/>
    <w:pPr>
      <w:spacing w:beforeAutospacing="1"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Pr>
      <w:b/>
      <w:bCs/>
    </w:rPr>
  </w:style>
  <w:style w:type="character" w:customStyle="1" w:styleId="EncabezadoCar">
    <w:name w:val="Encabezado Car"/>
    <w:basedOn w:val="Fuentedeprrafopredeter"/>
    <w:uiPriority w:val="99"/>
    <w:qFormat/>
  </w:style>
  <w:style w:type="character" w:customStyle="1" w:styleId="PiedepginaCar">
    <w:name w:val="Pie de página Car"/>
    <w:basedOn w:val="Fuentedeprrafopredeter"/>
    <w:uiPriority w:val="99"/>
    <w:qFormat/>
  </w:style>
  <w:style w:type="character" w:customStyle="1" w:styleId="Ttulo3Car">
    <w:name w:val="Título 3 Car"/>
    <w:basedOn w:val="Fuentedeprrafopredeter"/>
    <w:uiPriority w:val="9"/>
    <w:qFormat/>
    <w:rPr>
      <w:rFonts w:ascii="Times New Roman" w:eastAsia="Times New Roman" w:hAnsi="Times New Roman" w:cs="Times New Roman"/>
      <w:b/>
      <w:bCs/>
      <w:sz w:val="27"/>
      <w:szCs w:val="27"/>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w:hAnsi="Arial"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Encabezado">
    <w:name w:val="header"/>
    <w:basedOn w:val="Normal"/>
    <w:uiPriority w:val="99"/>
    <w:unhideWhenUsed/>
    <w:qFormat/>
    <w:pPr>
      <w:tabs>
        <w:tab w:val="center" w:pos="4252"/>
        <w:tab w:val="right" w:pos="8504"/>
      </w:tabs>
      <w:spacing w:after="0" w:line="240" w:lineRule="auto"/>
    </w:pPr>
  </w:style>
  <w:style w:type="paragraph" w:styleId="Piedepgina">
    <w:name w:val="footer"/>
    <w:basedOn w:val="Normal"/>
    <w:uiPriority w:val="99"/>
    <w:unhideWhenUsed/>
    <w:pPr>
      <w:tabs>
        <w:tab w:val="center" w:pos="4252"/>
        <w:tab w:val="right" w:pos="8504"/>
      </w:tabs>
      <w:spacing w:after="0" w:line="240" w:lineRule="auto"/>
    </w:pPr>
  </w:style>
  <w:style w:type="paragraph" w:styleId="Prrafodelista">
    <w:name w:val="List Paragraph"/>
    <w:basedOn w:val="Normal"/>
    <w:uiPriority w:val="34"/>
    <w:qFormat/>
    <w:pPr>
      <w:ind w:left="720"/>
      <w:contextualSpacing/>
    </w:pPr>
  </w:style>
  <w:style w:type="paragraph" w:customStyle="1" w:styleId="Default">
    <w:name w:val="Default"/>
    <w:qFormat/>
    <w:rPr>
      <w:rFonts w:ascii="Arial" w:hAnsi="Arial" w:cs="Arial"/>
      <w:color w:val="000000"/>
      <w:sz w:val="24"/>
      <w:szCs w:val="24"/>
      <w:lang w:eastAsia="en-US" w:bidi="ar-SA"/>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62D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2DEE"/>
    <w:rPr>
      <w:rFonts w:ascii="Segoe UI" w:hAnsi="Segoe UI" w:cs="Segoe UI"/>
      <w:sz w:val="18"/>
      <w:szCs w:val="18"/>
      <w:lang w:eastAsia="en-US" w:bidi="ar-SA"/>
    </w:rPr>
  </w:style>
  <w:style w:type="character" w:styleId="Refdecomentario">
    <w:name w:val="annotation reference"/>
    <w:basedOn w:val="Fuentedeprrafopredeter"/>
    <w:uiPriority w:val="99"/>
    <w:semiHidden/>
    <w:unhideWhenUsed/>
    <w:rsid w:val="00B62DEE"/>
    <w:rPr>
      <w:sz w:val="16"/>
      <w:szCs w:val="16"/>
    </w:rPr>
  </w:style>
  <w:style w:type="paragraph" w:styleId="Textocomentario">
    <w:name w:val="annotation text"/>
    <w:basedOn w:val="Normal"/>
    <w:link w:val="TextocomentarioCar"/>
    <w:uiPriority w:val="99"/>
    <w:unhideWhenUsed/>
    <w:rsid w:val="00B62DEE"/>
    <w:pPr>
      <w:spacing w:line="240" w:lineRule="auto"/>
    </w:pPr>
    <w:rPr>
      <w:sz w:val="20"/>
      <w:szCs w:val="20"/>
    </w:rPr>
  </w:style>
  <w:style w:type="character" w:customStyle="1" w:styleId="TextocomentarioCar">
    <w:name w:val="Texto comentario Car"/>
    <w:basedOn w:val="Fuentedeprrafopredeter"/>
    <w:link w:val="Textocomentario"/>
    <w:uiPriority w:val="99"/>
    <w:rsid w:val="00B62DEE"/>
    <w:rPr>
      <w:lang w:eastAsia="en-US" w:bidi="ar-SA"/>
    </w:rPr>
  </w:style>
  <w:style w:type="paragraph" w:styleId="Asuntodelcomentario">
    <w:name w:val="annotation subject"/>
    <w:basedOn w:val="Textocomentario"/>
    <w:next w:val="Textocomentario"/>
    <w:link w:val="AsuntodelcomentarioCar"/>
    <w:uiPriority w:val="99"/>
    <w:semiHidden/>
    <w:unhideWhenUsed/>
    <w:rsid w:val="00B62DEE"/>
    <w:rPr>
      <w:b/>
      <w:bCs/>
    </w:rPr>
  </w:style>
  <w:style w:type="character" w:customStyle="1" w:styleId="AsuntodelcomentarioCar">
    <w:name w:val="Asunto del comentario Car"/>
    <w:basedOn w:val="TextocomentarioCar"/>
    <w:link w:val="Asuntodelcomentario"/>
    <w:uiPriority w:val="99"/>
    <w:semiHidden/>
    <w:rsid w:val="00B62DEE"/>
    <w:rPr>
      <w:b/>
      <w:bCs/>
      <w:lang w:eastAsia="en-US" w:bidi="ar-SA"/>
    </w:rPr>
  </w:style>
  <w:style w:type="paragraph" w:styleId="Revisin">
    <w:name w:val="Revision"/>
    <w:hidden/>
    <w:uiPriority w:val="99"/>
    <w:semiHidden/>
    <w:rsid w:val="00C2784B"/>
    <w:rPr>
      <w:sz w:val="22"/>
      <w:szCs w:val="22"/>
      <w:lang w:eastAsia="en-US" w:bidi="ar-SA"/>
    </w:rPr>
  </w:style>
  <w:style w:type="character" w:customStyle="1" w:styleId="normaltextrun">
    <w:name w:val="normaltextrun"/>
    <w:basedOn w:val="Fuentedeprrafopredeter"/>
    <w:rsid w:val="00186271"/>
  </w:style>
  <w:style w:type="character" w:customStyle="1" w:styleId="eop">
    <w:name w:val="eop"/>
    <w:basedOn w:val="Fuentedeprrafopredeter"/>
    <w:rsid w:val="00186271"/>
  </w:style>
  <w:style w:type="paragraph" w:styleId="NormalWeb">
    <w:name w:val="Normal (Web)"/>
    <w:basedOn w:val="Normal"/>
    <w:uiPriority w:val="99"/>
    <w:semiHidden/>
    <w:unhideWhenUsed/>
    <w:rsid w:val="00A7034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
    <w:name w:val="paragraph"/>
    <w:basedOn w:val="Normal"/>
    <w:rsid w:val="009876A3"/>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381">
      <w:bodyDiv w:val="1"/>
      <w:marLeft w:val="0"/>
      <w:marRight w:val="0"/>
      <w:marTop w:val="0"/>
      <w:marBottom w:val="0"/>
      <w:divBdr>
        <w:top w:val="none" w:sz="0" w:space="0" w:color="auto"/>
        <w:left w:val="none" w:sz="0" w:space="0" w:color="auto"/>
        <w:bottom w:val="none" w:sz="0" w:space="0" w:color="auto"/>
        <w:right w:val="none" w:sz="0" w:space="0" w:color="auto"/>
      </w:divBdr>
    </w:div>
    <w:div w:id="27032096">
      <w:bodyDiv w:val="1"/>
      <w:marLeft w:val="0"/>
      <w:marRight w:val="0"/>
      <w:marTop w:val="0"/>
      <w:marBottom w:val="0"/>
      <w:divBdr>
        <w:top w:val="none" w:sz="0" w:space="0" w:color="auto"/>
        <w:left w:val="none" w:sz="0" w:space="0" w:color="auto"/>
        <w:bottom w:val="none" w:sz="0" w:space="0" w:color="auto"/>
        <w:right w:val="none" w:sz="0" w:space="0" w:color="auto"/>
      </w:divBdr>
    </w:div>
    <w:div w:id="29956973">
      <w:bodyDiv w:val="1"/>
      <w:marLeft w:val="0"/>
      <w:marRight w:val="0"/>
      <w:marTop w:val="0"/>
      <w:marBottom w:val="0"/>
      <w:divBdr>
        <w:top w:val="none" w:sz="0" w:space="0" w:color="auto"/>
        <w:left w:val="none" w:sz="0" w:space="0" w:color="auto"/>
        <w:bottom w:val="none" w:sz="0" w:space="0" w:color="auto"/>
        <w:right w:val="none" w:sz="0" w:space="0" w:color="auto"/>
      </w:divBdr>
    </w:div>
    <w:div w:id="30496990">
      <w:bodyDiv w:val="1"/>
      <w:marLeft w:val="0"/>
      <w:marRight w:val="0"/>
      <w:marTop w:val="0"/>
      <w:marBottom w:val="0"/>
      <w:divBdr>
        <w:top w:val="none" w:sz="0" w:space="0" w:color="auto"/>
        <w:left w:val="none" w:sz="0" w:space="0" w:color="auto"/>
        <w:bottom w:val="none" w:sz="0" w:space="0" w:color="auto"/>
        <w:right w:val="none" w:sz="0" w:space="0" w:color="auto"/>
      </w:divBdr>
    </w:div>
    <w:div w:id="42025992">
      <w:bodyDiv w:val="1"/>
      <w:marLeft w:val="0"/>
      <w:marRight w:val="0"/>
      <w:marTop w:val="0"/>
      <w:marBottom w:val="0"/>
      <w:divBdr>
        <w:top w:val="none" w:sz="0" w:space="0" w:color="auto"/>
        <w:left w:val="none" w:sz="0" w:space="0" w:color="auto"/>
        <w:bottom w:val="none" w:sz="0" w:space="0" w:color="auto"/>
        <w:right w:val="none" w:sz="0" w:space="0" w:color="auto"/>
      </w:divBdr>
    </w:div>
    <w:div w:id="78256234">
      <w:bodyDiv w:val="1"/>
      <w:marLeft w:val="0"/>
      <w:marRight w:val="0"/>
      <w:marTop w:val="0"/>
      <w:marBottom w:val="0"/>
      <w:divBdr>
        <w:top w:val="none" w:sz="0" w:space="0" w:color="auto"/>
        <w:left w:val="none" w:sz="0" w:space="0" w:color="auto"/>
        <w:bottom w:val="none" w:sz="0" w:space="0" w:color="auto"/>
        <w:right w:val="none" w:sz="0" w:space="0" w:color="auto"/>
      </w:divBdr>
    </w:div>
    <w:div w:id="204372925">
      <w:bodyDiv w:val="1"/>
      <w:marLeft w:val="0"/>
      <w:marRight w:val="0"/>
      <w:marTop w:val="0"/>
      <w:marBottom w:val="0"/>
      <w:divBdr>
        <w:top w:val="none" w:sz="0" w:space="0" w:color="auto"/>
        <w:left w:val="none" w:sz="0" w:space="0" w:color="auto"/>
        <w:bottom w:val="none" w:sz="0" w:space="0" w:color="auto"/>
        <w:right w:val="none" w:sz="0" w:space="0" w:color="auto"/>
      </w:divBdr>
    </w:div>
    <w:div w:id="208348047">
      <w:bodyDiv w:val="1"/>
      <w:marLeft w:val="0"/>
      <w:marRight w:val="0"/>
      <w:marTop w:val="0"/>
      <w:marBottom w:val="0"/>
      <w:divBdr>
        <w:top w:val="none" w:sz="0" w:space="0" w:color="auto"/>
        <w:left w:val="none" w:sz="0" w:space="0" w:color="auto"/>
        <w:bottom w:val="none" w:sz="0" w:space="0" w:color="auto"/>
        <w:right w:val="none" w:sz="0" w:space="0" w:color="auto"/>
      </w:divBdr>
    </w:div>
    <w:div w:id="239021994">
      <w:bodyDiv w:val="1"/>
      <w:marLeft w:val="0"/>
      <w:marRight w:val="0"/>
      <w:marTop w:val="0"/>
      <w:marBottom w:val="0"/>
      <w:divBdr>
        <w:top w:val="none" w:sz="0" w:space="0" w:color="auto"/>
        <w:left w:val="none" w:sz="0" w:space="0" w:color="auto"/>
        <w:bottom w:val="none" w:sz="0" w:space="0" w:color="auto"/>
        <w:right w:val="none" w:sz="0" w:space="0" w:color="auto"/>
      </w:divBdr>
    </w:div>
    <w:div w:id="271016307">
      <w:bodyDiv w:val="1"/>
      <w:marLeft w:val="0"/>
      <w:marRight w:val="0"/>
      <w:marTop w:val="0"/>
      <w:marBottom w:val="0"/>
      <w:divBdr>
        <w:top w:val="none" w:sz="0" w:space="0" w:color="auto"/>
        <w:left w:val="none" w:sz="0" w:space="0" w:color="auto"/>
        <w:bottom w:val="none" w:sz="0" w:space="0" w:color="auto"/>
        <w:right w:val="none" w:sz="0" w:space="0" w:color="auto"/>
      </w:divBdr>
    </w:div>
    <w:div w:id="341589582">
      <w:bodyDiv w:val="1"/>
      <w:marLeft w:val="0"/>
      <w:marRight w:val="0"/>
      <w:marTop w:val="0"/>
      <w:marBottom w:val="0"/>
      <w:divBdr>
        <w:top w:val="none" w:sz="0" w:space="0" w:color="auto"/>
        <w:left w:val="none" w:sz="0" w:space="0" w:color="auto"/>
        <w:bottom w:val="none" w:sz="0" w:space="0" w:color="auto"/>
        <w:right w:val="none" w:sz="0" w:space="0" w:color="auto"/>
      </w:divBdr>
    </w:div>
    <w:div w:id="369258541">
      <w:bodyDiv w:val="1"/>
      <w:marLeft w:val="0"/>
      <w:marRight w:val="0"/>
      <w:marTop w:val="0"/>
      <w:marBottom w:val="0"/>
      <w:divBdr>
        <w:top w:val="none" w:sz="0" w:space="0" w:color="auto"/>
        <w:left w:val="none" w:sz="0" w:space="0" w:color="auto"/>
        <w:bottom w:val="none" w:sz="0" w:space="0" w:color="auto"/>
        <w:right w:val="none" w:sz="0" w:space="0" w:color="auto"/>
      </w:divBdr>
      <w:divsChild>
        <w:div w:id="42827343">
          <w:marLeft w:val="0"/>
          <w:marRight w:val="0"/>
          <w:marTop w:val="0"/>
          <w:marBottom w:val="0"/>
          <w:divBdr>
            <w:top w:val="none" w:sz="0" w:space="0" w:color="auto"/>
            <w:left w:val="none" w:sz="0" w:space="0" w:color="auto"/>
            <w:bottom w:val="none" w:sz="0" w:space="0" w:color="auto"/>
            <w:right w:val="none" w:sz="0" w:space="0" w:color="auto"/>
          </w:divBdr>
        </w:div>
        <w:div w:id="244001131">
          <w:marLeft w:val="0"/>
          <w:marRight w:val="0"/>
          <w:marTop w:val="0"/>
          <w:marBottom w:val="0"/>
          <w:divBdr>
            <w:top w:val="none" w:sz="0" w:space="0" w:color="auto"/>
            <w:left w:val="none" w:sz="0" w:space="0" w:color="auto"/>
            <w:bottom w:val="none" w:sz="0" w:space="0" w:color="auto"/>
            <w:right w:val="none" w:sz="0" w:space="0" w:color="auto"/>
          </w:divBdr>
        </w:div>
        <w:div w:id="1064722069">
          <w:marLeft w:val="0"/>
          <w:marRight w:val="0"/>
          <w:marTop w:val="0"/>
          <w:marBottom w:val="0"/>
          <w:divBdr>
            <w:top w:val="none" w:sz="0" w:space="0" w:color="auto"/>
            <w:left w:val="none" w:sz="0" w:space="0" w:color="auto"/>
            <w:bottom w:val="none" w:sz="0" w:space="0" w:color="auto"/>
            <w:right w:val="none" w:sz="0" w:space="0" w:color="auto"/>
          </w:divBdr>
        </w:div>
        <w:div w:id="1321230401">
          <w:marLeft w:val="0"/>
          <w:marRight w:val="0"/>
          <w:marTop w:val="0"/>
          <w:marBottom w:val="0"/>
          <w:divBdr>
            <w:top w:val="none" w:sz="0" w:space="0" w:color="auto"/>
            <w:left w:val="none" w:sz="0" w:space="0" w:color="auto"/>
            <w:bottom w:val="none" w:sz="0" w:space="0" w:color="auto"/>
            <w:right w:val="none" w:sz="0" w:space="0" w:color="auto"/>
          </w:divBdr>
        </w:div>
        <w:div w:id="1516772731">
          <w:marLeft w:val="0"/>
          <w:marRight w:val="0"/>
          <w:marTop w:val="0"/>
          <w:marBottom w:val="0"/>
          <w:divBdr>
            <w:top w:val="none" w:sz="0" w:space="0" w:color="auto"/>
            <w:left w:val="none" w:sz="0" w:space="0" w:color="auto"/>
            <w:bottom w:val="none" w:sz="0" w:space="0" w:color="auto"/>
            <w:right w:val="none" w:sz="0" w:space="0" w:color="auto"/>
          </w:divBdr>
        </w:div>
        <w:div w:id="1716658911">
          <w:marLeft w:val="0"/>
          <w:marRight w:val="0"/>
          <w:marTop w:val="0"/>
          <w:marBottom w:val="0"/>
          <w:divBdr>
            <w:top w:val="none" w:sz="0" w:space="0" w:color="auto"/>
            <w:left w:val="none" w:sz="0" w:space="0" w:color="auto"/>
            <w:bottom w:val="none" w:sz="0" w:space="0" w:color="auto"/>
            <w:right w:val="none" w:sz="0" w:space="0" w:color="auto"/>
          </w:divBdr>
        </w:div>
        <w:div w:id="2037273903">
          <w:marLeft w:val="0"/>
          <w:marRight w:val="0"/>
          <w:marTop w:val="0"/>
          <w:marBottom w:val="0"/>
          <w:divBdr>
            <w:top w:val="none" w:sz="0" w:space="0" w:color="auto"/>
            <w:left w:val="none" w:sz="0" w:space="0" w:color="auto"/>
            <w:bottom w:val="none" w:sz="0" w:space="0" w:color="auto"/>
            <w:right w:val="none" w:sz="0" w:space="0" w:color="auto"/>
          </w:divBdr>
        </w:div>
      </w:divsChild>
    </w:div>
    <w:div w:id="431897663">
      <w:bodyDiv w:val="1"/>
      <w:marLeft w:val="0"/>
      <w:marRight w:val="0"/>
      <w:marTop w:val="0"/>
      <w:marBottom w:val="0"/>
      <w:divBdr>
        <w:top w:val="none" w:sz="0" w:space="0" w:color="auto"/>
        <w:left w:val="none" w:sz="0" w:space="0" w:color="auto"/>
        <w:bottom w:val="none" w:sz="0" w:space="0" w:color="auto"/>
        <w:right w:val="none" w:sz="0" w:space="0" w:color="auto"/>
      </w:divBdr>
      <w:divsChild>
        <w:div w:id="523910216">
          <w:marLeft w:val="0"/>
          <w:marRight w:val="0"/>
          <w:marTop w:val="0"/>
          <w:marBottom w:val="0"/>
          <w:divBdr>
            <w:top w:val="none" w:sz="0" w:space="0" w:color="auto"/>
            <w:left w:val="none" w:sz="0" w:space="0" w:color="auto"/>
            <w:bottom w:val="none" w:sz="0" w:space="0" w:color="auto"/>
            <w:right w:val="none" w:sz="0" w:space="0" w:color="auto"/>
          </w:divBdr>
        </w:div>
        <w:div w:id="681399786">
          <w:marLeft w:val="0"/>
          <w:marRight w:val="0"/>
          <w:marTop w:val="0"/>
          <w:marBottom w:val="0"/>
          <w:divBdr>
            <w:top w:val="none" w:sz="0" w:space="0" w:color="auto"/>
            <w:left w:val="none" w:sz="0" w:space="0" w:color="auto"/>
            <w:bottom w:val="none" w:sz="0" w:space="0" w:color="auto"/>
            <w:right w:val="none" w:sz="0" w:space="0" w:color="auto"/>
          </w:divBdr>
        </w:div>
      </w:divsChild>
    </w:div>
    <w:div w:id="499009614">
      <w:bodyDiv w:val="1"/>
      <w:marLeft w:val="0"/>
      <w:marRight w:val="0"/>
      <w:marTop w:val="0"/>
      <w:marBottom w:val="0"/>
      <w:divBdr>
        <w:top w:val="none" w:sz="0" w:space="0" w:color="auto"/>
        <w:left w:val="none" w:sz="0" w:space="0" w:color="auto"/>
        <w:bottom w:val="none" w:sz="0" w:space="0" w:color="auto"/>
        <w:right w:val="none" w:sz="0" w:space="0" w:color="auto"/>
      </w:divBdr>
    </w:div>
    <w:div w:id="522673279">
      <w:bodyDiv w:val="1"/>
      <w:marLeft w:val="0"/>
      <w:marRight w:val="0"/>
      <w:marTop w:val="0"/>
      <w:marBottom w:val="0"/>
      <w:divBdr>
        <w:top w:val="none" w:sz="0" w:space="0" w:color="auto"/>
        <w:left w:val="none" w:sz="0" w:space="0" w:color="auto"/>
        <w:bottom w:val="none" w:sz="0" w:space="0" w:color="auto"/>
        <w:right w:val="none" w:sz="0" w:space="0" w:color="auto"/>
      </w:divBdr>
    </w:div>
    <w:div w:id="523522219">
      <w:bodyDiv w:val="1"/>
      <w:marLeft w:val="0"/>
      <w:marRight w:val="0"/>
      <w:marTop w:val="0"/>
      <w:marBottom w:val="0"/>
      <w:divBdr>
        <w:top w:val="none" w:sz="0" w:space="0" w:color="auto"/>
        <w:left w:val="none" w:sz="0" w:space="0" w:color="auto"/>
        <w:bottom w:val="none" w:sz="0" w:space="0" w:color="auto"/>
        <w:right w:val="none" w:sz="0" w:space="0" w:color="auto"/>
      </w:divBdr>
    </w:div>
    <w:div w:id="540824860">
      <w:bodyDiv w:val="1"/>
      <w:marLeft w:val="0"/>
      <w:marRight w:val="0"/>
      <w:marTop w:val="0"/>
      <w:marBottom w:val="0"/>
      <w:divBdr>
        <w:top w:val="none" w:sz="0" w:space="0" w:color="auto"/>
        <w:left w:val="none" w:sz="0" w:space="0" w:color="auto"/>
        <w:bottom w:val="none" w:sz="0" w:space="0" w:color="auto"/>
        <w:right w:val="none" w:sz="0" w:space="0" w:color="auto"/>
      </w:divBdr>
      <w:divsChild>
        <w:div w:id="93400099">
          <w:marLeft w:val="0"/>
          <w:marRight w:val="0"/>
          <w:marTop w:val="0"/>
          <w:marBottom w:val="0"/>
          <w:divBdr>
            <w:top w:val="none" w:sz="0" w:space="0" w:color="auto"/>
            <w:left w:val="none" w:sz="0" w:space="0" w:color="auto"/>
            <w:bottom w:val="none" w:sz="0" w:space="0" w:color="auto"/>
            <w:right w:val="none" w:sz="0" w:space="0" w:color="auto"/>
          </w:divBdr>
        </w:div>
        <w:div w:id="481167648">
          <w:marLeft w:val="0"/>
          <w:marRight w:val="0"/>
          <w:marTop w:val="0"/>
          <w:marBottom w:val="0"/>
          <w:divBdr>
            <w:top w:val="none" w:sz="0" w:space="0" w:color="auto"/>
            <w:left w:val="none" w:sz="0" w:space="0" w:color="auto"/>
            <w:bottom w:val="none" w:sz="0" w:space="0" w:color="auto"/>
            <w:right w:val="none" w:sz="0" w:space="0" w:color="auto"/>
          </w:divBdr>
        </w:div>
        <w:div w:id="832450255">
          <w:marLeft w:val="0"/>
          <w:marRight w:val="0"/>
          <w:marTop w:val="0"/>
          <w:marBottom w:val="0"/>
          <w:divBdr>
            <w:top w:val="none" w:sz="0" w:space="0" w:color="auto"/>
            <w:left w:val="none" w:sz="0" w:space="0" w:color="auto"/>
            <w:bottom w:val="none" w:sz="0" w:space="0" w:color="auto"/>
            <w:right w:val="none" w:sz="0" w:space="0" w:color="auto"/>
          </w:divBdr>
        </w:div>
        <w:div w:id="1055355103">
          <w:marLeft w:val="0"/>
          <w:marRight w:val="0"/>
          <w:marTop w:val="0"/>
          <w:marBottom w:val="0"/>
          <w:divBdr>
            <w:top w:val="none" w:sz="0" w:space="0" w:color="auto"/>
            <w:left w:val="none" w:sz="0" w:space="0" w:color="auto"/>
            <w:bottom w:val="none" w:sz="0" w:space="0" w:color="auto"/>
            <w:right w:val="none" w:sz="0" w:space="0" w:color="auto"/>
          </w:divBdr>
        </w:div>
        <w:div w:id="1067190568">
          <w:marLeft w:val="0"/>
          <w:marRight w:val="0"/>
          <w:marTop w:val="0"/>
          <w:marBottom w:val="0"/>
          <w:divBdr>
            <w:top w:val="none" w:sz="0" w:space="0" w:color="auto"/>
            <w:left w:val="none" w:sz="0" w:space="0" w:color="auto"/>
            <w:bottom w:val="none" w:sz="0" w:space="0" w:color="auto"/>
            <w:right w:val="none" w:sz="0" w:space="0" w:color="auto"/>
          </w:divBdr>
        </w:div>
        <w:div w:id="1888181689">
          <w:marLeft w:val="0"/>
          <w:marRight w:val="0"/>
          <w:marTop w:val="0"/>
          <w:marBottom w:val="0"/>
          <w:divBdr>
            <w:top w:val="none" w:sz="0" w:space="0" w:color="auto"/>
            <w:left w:val="none" w:sz="0" w:space="0" w:color="auto"/>
            <w:bottom w:val="none" w:sz="0" w:space="0" w:color="auto"/>
            <w:right w:val="none" w:sz="0" w:space="0" w:color="auto"/>
          </w:divBdr>
        </w:div>
        <w:div w:id="1916434140">
          <w:marLeft w:val="0"/>
          <w:marRight w:val="0"/>
          <w:marTop w:val="0"/>
          <w:marBottom w:val="0"/>
          <w:divBdr>
            <w:top w:val="none" w:sz="0" w:space="0" w:color="auto"/>
            <w:left w:val="none" w:sz="0" w:space="0" w:color="auto"/>
            <w:bottom w:val="none" w:sz="0" w:space="0" w:color="auto"/>
            <w:right w:val="none" w:sz="0" w:space="0" w:color="auto"/>
          </w:divBdr>
        </w:div>
      </w:divsChild>
    </w:div>
    <w:div w:id="572933379">
      <w:bodyDiv w:val="1"/>
      <w:marLeft w:val="0"/>
      <w:marRight w:val="0"/>
      <w:marTop w:val="0"/>
      <w:marBottom w:val="0"/>
      <w:divBdr>
        <w:top w:val="none" w:sz="0" w:space="0" w:color="auto"/>
        <w:left w:val="none" w:sz="0" w:space="0" w:color="auto"/>
        <w:bottom w:val="none" w:sz="0" w:space="0" w:color="auto"/>
        <w:right w:val="none" w:sz="0" w:space="0" w:color="auto"/>
      </w:divBdr>
      <w:divsChild>
        <w:div w:id="1291857180">
          <w:marLeft w:val="0"/>
          <w:marRight w:val="0"/>
          <w:marTop w:val="0"/>
          <w:marBottom w:val="0"/>
          <w:divBdr>
            <w:top w:val="none" w:sz="0" w:space="0" w:color="auto"/>
            <w:left w:val="none" w:sz="0" w:space="0" w:color="auto"/>
            <w:bottom w:val="none" w:sz="0" w:space="0" w:color="auto"/>
            <w:right w:val="none" w:sz="0" w:space="0" w:color="auto"/>
          </w:divBdr>
        </w:div>
        <w:div w:id="1321811260">
          <w:marLeft w:val="0"/>
          <w:marRight w:val="0"/>
          <w:marTop w:val="0"/>
          <w:marBottom w:val="0"/>
          <w:divBdr>
            <w:top w:val="none" w:sz="0" w:space="0" w:color="auto"/>
            <w:left w:val="none" w:sz="0" w:space="0" w:color="auto"/>
            <w:bottom w:val="none" w:sz="0" w:space="0" w:color="auto"/>
            <w:right w:val="none" w:sz="0" w:space="0" w:color="auto"/>
          </w:divBdr>
        </w:div>
        <w:div w:id="1592422547">
          <w:marLeft w:val="0"/>
          <w:marRight w:val="0"/>
          <w:marTop w:val="0"/>
          <w:marBottom w:val="0"/>
          <w:divBdr>
            <w:top w:val="none" w:sz="0" w:space="0" w:color="auto"/>
            <w:left w:val="none" w:sz="0" w:space="0" w:color="auto"/>
            <w:bottom w:val="none" w:sz="0" w:space="0" w:color="auto"/>
            <w:right w:val="none" w:sz="0" w:space="0" w:color="auto"/>
          </w:divBdr>
        </w:div>
      </w:divsChild>
    </w:div>
    <w:div w:id="585384700">
      <w:bodyDiv w:val="1"/>
      <w:marLeft w:val="0"/>
      <w:marRight w:val="0"/>
      <w:marTop w:val="0"/>
      <w:marBottom w:val="0"/>
      <w:divBdr>
        <w:top w:val="none" w:sz="0" w:space="0" w:color="auto"/>
        <w:left w:val="none" w:sz="0" w:space="0" w:color="auto"/>
        <w:bottom w:val="none" w:sz="0" w:space="0" w:color="auto"/>
        <w:right w:val="none" w:sz="0" w:space="0" w:color="auto"/>
      </w:divBdr>
      <w:divsChild>
        <w:div w:id="262568453">
          <w:marLeft w:val="0"/>
          <w:marRight w:val="0"/>
          <w:marTop w:val="0"/>
          <w:marBottom w:val="0"/>
          <w:divBdr>
            <w:top w:val="none" w:sz="0" w:space="0" w:color="auto"/>
            <w:left w:val="none" w:sz="0" w:space="0" w:color="auto"/>
            <w:bottom w:val="none" w:sz="0" w:space="0" w:color="auto"/>
            <w:right w:val="none" w:sz="0" w:space="0" w:color="auto"/>
          </w:divBdr>
        </w:div>
        <w:div w:id="838349545">
          <w:marLeft w:val="0"/>
          <w:marRight w:val="0"/>
          <w:marTop w:val="0"/>
          <w:marBottom w:val="0"/>
          <w:divBdr>
            <w:top w:val="none" w:sz="0" w:space="0" w:color="auto"/>
            <w:left w:val="none" w:sz="0" w:space="0" w:color="auto"/>
            <w:bottom w:val="none" w:sz="0" w:space="0" w:color="auto"/>
            <w:right w:val="none" w:sz="0" w:space="0" w:color="auto"/>
          </w:divBdr>
        </w:div>
        <w:div w:id="1022904319">
          <w:marLeft w:val="0"/>
          <w:marRight w:val="0"/>
          <w:marTop w:val="0"/>
          <w:marBottom w:val="0"/>
          <w:divBdr>
            <w:top w:val="none" w:sz="0" w:space="0" w:color="auto"/>
            <w:left w:val="none" w:sz="0" w:space="0" w:color="auto"/>
            <w:bottom w:val="none" w:sz="0" w:space="0" w:color="auto"/>
            <w:right w:val="none" w:sz="0" w:space="0" w:color="auto"/>
          </w:divBdr>
        </w:div>
        <w:div w:id="1335066211">
          <w:marLeft w:val="0"/>
          <w:marRight w:val="0"/>
          <w:marTop w:val="0"/>
          <w:marBottom w:val="0"/>
          <w:divBdr>
            <w:top w:val="none" w:sz="0" w:space="0" w:color="auto"/>
            <w:left w:val="none" w:sz="0" w:space="0" w:color="auto"/>
            <w:bottom w:val="none" w:sz="0" w:space="0" w:color="auto"/>
            <w:right w:val="none" w:sz="0" w:space="0" w:color="auto"/>
          </w:divBdr>
        </w:div>
        <w:div w:id="1343514241">
          <w:marLeft w:val="0"/>
          <w:marRight w:val="0"/>
          <w:marTop w:val="0"/>
          <w:marBottom w:val="0"/>
          <w:divBdr>
            <w:top w:val="none" w:sz="0" w:space="0" w:color="auto"/>
            <w:left w:val="none" w:sz="0" w:space="0" w:color="auto"/>
            <w:bottom w:val="none" w:sz="0" w:space="0" w:color="auto"/>
            <w:right w:val="none" w:sz="0" w:space="0" w:color="auto"/>
          </w:divBdr>
        </w:div>
        <w:div w:id="1948273938">
          <w:marLeft w:val="0"/>
          <w:marRight w:val="0"/>
          <w:marTop w:val="0"/>
          <w:marBottom w:val="0"/>
          <w:divBdr>
            <w:top w:val="none" w:sz="0" w:space="0" w:color="auto"/>
            <w:left w:val="none" w:sz="0" w:space="0" w:color="auto"/>
            <w:bottom w:val="none" w:sz="0" w:space="0" w:color="auto"/>
            <w:right w:val="none" w:sz="0" w:space="0" w:color="auto"/>
          </w:divBdr>
        </w:div>
        <w:div w:id="2095861735">
          <w:marLeft w:val="0"/>
          <w:marRight w:val="0"/>
          <w:marTop w:val="0"/>
          <w:marBottom w:val="0"/>
          <w:divBdr>
            <w:top w:val="none" w:sz="0" w:space="0" w:color="auto"/>
            <w:left w:val="none" w:sz="0" w:space="0" w:color="auto"/>
            <w:bottom w:val="none" w:sz="0" w:space="0" w:color="auto"/>
            <w:right w:val="none" w:sz="0" w:space="0" w:color="auto"/>
          </w:divBdr>
        </w:div>
      </w:divsChild>
    </w:div>
    <w:div w:id="685794108">
      <w:bodyDiv w:val="1"/>
      <w:marLeft w:val="0"/>
      <w:marRight w:val="0"/>
      <w:marTop w:val="0"/>
      <w:marBottom w:val="0"/>
      <w:divBdr>
        <w:top w:val="none" w:sz="0" w:space="0" w:color="auto"/>
        <w:left w:val="none" w:sz="0" w:space="0" w:color="auto"/>
        <w:bottom w:val="none" w:sz="0" w:space="0" w:color="auto"/>
        <w:right w:val="none" w:sz="0" w:space="0" w:color="auto"/>
      </w:divBdr>
    </w:div>
    <w:div w:id="853228710">
      <w:bodyDiv w:val="1"/>
      <w:marLeft w:val="0"/>
      <w:marRight w:val="0"/>
      <w:marTop w:val="0"/>
      <w:marBottom w:val="0"/>
      <w:divBdr>
        <w:top w:val="none" w:sz="0" w:space="0" w:color="auto"/>
        <w:left w:val="none" w:sz="0" w:space="0" w:color="auto"/>
        <w:bottom w:val="none" w:sz="0" w:space="0" w:color="auto"/>
        <w:right w:val="none" w:sz="0" w:space="0" w:color="auto"/>
      </w:divBdr>
    </w:div>
    <w:div w:id="952520320">
      <w:bodyDiv w:val="1"/>
      <w:marLeft w:val="0"/>
      <w:marRight w:val="0"/>
      <w:marTop w:val="0"/>
      <w:marBottom w:val="0"/>
      <w:divBdr>
        <w:top w:val="none" w:sz="0" w:space="0" w:color="auto"/>
        <w:left w:val="none" w:sz="0" w:space="0" w:color="auto"/>
        <w:bottom w:val="none" w:sz="0" w:space="0" w:color="auto"/>
        <w:right w:val="none" w:sz="0" w:space="0" w:color="auto"/>
      </w:divBdr>
    </w:div>
    <w:div w:id="969939375">
      <w:bodyDiv w:val="1"/>
      <w:marLeft w:val="0"/>
      <w:marRight w:val="0"/>
      <w:marTop w:val="0"/>
      <w:marBottom w:val="0"/>
      <w:divBdr>
        <w:top w:val="none" w:sz="0" w:space="0" w:color="auto"/>
        <w:left w:val="none" w:sz="0" w:space="0" w:color="auto"/>
        <w:bottom w:val="none" w:sz="0" w:space="0" w:color="auto"/>
        <w:right w:val="none" w:sz="0" w:space="0" w:color="auto"/>
      </w:divBdr>
    </w:div>
    <w:div w:id="1013341028">
      <w:bodyDiv w:val="1"/>
      <w:marLeft w:val="0"/>
      <w:marRight w:val="0"/>
      <w:marTop w:val="0"/>
      <w:marBottom w:val="0"/>
      <w:divBdr>
        <w:top w:val="none" w:sz="0" w:space="0" w:color="auto"/>
        <w:left w:val="none" w:sz="0" w:space="0" w:color="auto"/>
        <w:bottom w:val="none" w:sz="0" w:space="0" w:color="auto"/>
        <w:right w:val="none" w:sz="0" w:space="0" w:color="auto"/>
      </w:divBdr>
    </w:div>
    <w:div w:id="1021784615">
      <w:bodyDiv w:val="1"/>
      <w:marLeft w:val="0"/>
      <w:marRight w:val="0"/>
      <w:marTop w:val="0"/>
      <w:marBottom w:val="0"/>
      <w:divBdr>
        <w:top w:val="none" w:sz="0" w:space="0" w:color="auto"/>
        <w:left w:val="none" w:sz="0" w:space="0" w:color="auto"/>
        <w:bottom w:val="none" w:sz="0" w:space="0" w:color="auto"/>
        <w:right w:val="none" w:sz="0" w:space="0" w:color="auto"/>
      </w:divBdr>
    </w:div>
    <w:div w:id="1047875001">
      <w:bodyDiv w:val="1"/>
      <w:marLeft w:val="0"/>
      <w:marRight w:val="0"/>
      <w:marTop w:val="0"/>
      <w:marBottom w:val="0"/>
      <w:divBdr>
        <w:top w:val="none" w:sz="0" w:space="0" w:color="auto"/>
        <w:left w:val="none" w:sz="0" w:space="0" w:color="auto"/>
        <w:bottom w:val="none" w:sz="0" w:space="0" w:color="auto"/>
        <w:right w:val="none" w:sz="0" w:space="0" w:color="auto"/>
      </w:divBdr>
    </w:div>
    <w:div w:id="1118329575">
      <w:bodyDiv w:val="1"/>
      <w:marLeft w:val="0"/>
      <w:marRight w:val="0"/>
      <w:marTop w:val="0"/>
      <w:marBottom w:val="0"/>
      <w:divBdr>
        <w:top w:val="none" w:sz="0" w:space="0" w:color="auto"/>
        <w:left w:val="none" w:sz="0" w:space="0" w:color="auto"/>
        <w:bottom w:val="none" w:sz="0" w:space="0" w:color="auto"/>
        <w:right w:val="none" w:sz="0" w:space="0" w:color="auto"/>
      </w:divBdr>
    </w:div>
    <w:div w:id="1139692349">
      <w:bodyDiv w:val="1"/>
      <w:marLeft w:val="0"/>
      <w:marRight w:val="0"/>
      <w:marTop w:val="0"/>
      <w:marBottom w:val="0"/>
      <w:divBdr>
        <w:top w:val="none" w:sz="0" w:space="0" w:color="auto"/>
        <w:left w:val="none" w:sz="0" w:space="0" w:color="auto"/>
        <w:bottom w:val="none" w:sz="0" w:space="0" w:color="auto"/>
        <w:right w:val="none" w:sz="0" w:space="0" w:color="auto"/>
      </w:divBdr>
    </w:div>
    <w:div w:id="1230576174">
      <w:bodyDiv w:val="1"/>
      <w:marLeft w:val="0"/>
      <w:marRight w:val="0"/>
      <w:marTop w:val="0"/>
      <w:marBottom w:val="0"/>
      <w:divBdr>
        <w:top w:val="none" w:sz="0" w:space="0" w:color="auto"/>
        <w:left w:val="none" w:sz="0" w:space="0" w:color="auto"/>
        <w:bottom w:val="none" w:sz="0" w:space="0" w:color="auto"/>
        <w:right w:val="none" w:sz="0" w:space="0" w:color="auto"/>
      </w:divBdr>
      <w:divsChild>
        <w:div w:id="69349520">
          <w:marLeft w:val="0"/>
          <w:marRight w:val="0"/>
          <w:marTop w:val="0"/>
          <w:marBottom w:val="0"/>
          <w:divBdr>
            <w:top w:val="none" w:sz="0" w:space="0" w:color="auto"/>
            <w:left w:val="none" w:sz="0" w:space="0" w:color="auto"/>
            <w:bottom w:val="none" w:sz="0" w:space="0" w:color="auto"/>
            <w:right w:val="none" w:sz="0" w:space="0" w:color="auto"/>
          </w:divBdr>
        </w:div>
        <w:div w:id="77988203">
          <w:marLeft w:val="0"/>
          <w:marRight w:val="0"/>
          <w:marTop w:val="0"/>
          <w:marBottom w:val="0"/>
          <w:divBdr>
            <w:top w:val="none" w:sz="0" w:space="0" w:color="auto"/>
            <w:left w:val="none" w:sz="0" w:space="0" w:color="auto"/>
            <w:bottom w:val="none" w:sz="0" w:space="0" w:color="auto"/>
            <w:right w:val="none" w:sz="0" w:space="0" w:color="auto"/>
          </w:divBdr>
        </w:div>
        <w:div w:id="264656382">
          <w:marLeft w:val="0"/>
          <w:marRight w:val="0"/>
          <w:marTop w:val="0"/>
          <w:marBottom w:val="0"/>
          <w:divBdr>
            <w:top w:val="none" w:sz="0" w:space="0" w:color="auto"/>
            <w:left w:val="none" w:sz="0" w:space="0" w:color="auto"/>
            <w:bottom w:val="none" w:sz="0" w:space="0" w:color="auto"/>
            <w:right w:val="none" w:sz="0" w:space="0" w:color="auto"/>
          </w:divBdr>
        </w:div>
        <w:div w:id="288167436">
          <w:marLeft w:val="0"/>
          <w:marRight w:val="0"/>
          <w:marTop w:val="0"/>
          <w:marBottom w:val="0"/>
          <w:divBdr>
            <w:top w:val="none" w:sz="0" w:space="0" w:color="auto"/>
            <w:left w:val="none" w:sz="0" w:space="0" w:color="auto"/>
            <w:bottom w:val="none" w:sz="0" w:space="0" w:color="auto"/>
            <w:right w:val="none" w:sz="0" w:space="0" w:color="auto"/>
          </w:divBdr>
        </w:div>
        <w:div w:id="692196120">
          <w:marLeft w:val="0"/>
          <w:marRight w:val="0"/>
          <w:marTop w:val="0"/>
          <w:marBottom w:val="0"/>
          <w:divBdr>
            <w:top w:val="none" w:sz="0" w:space="0" w:color="auto"/>
            <w:left w:val="none" w:sz="0" w:space="0" w:color="auto"/>
            <w:bottom w:val="none" w:sz="0" w:space="0" w:color="auto"/>
            <w:right w:val="none" w:sz="0" w:space="0" w:color="auto"/>
          </w:divBdr>
        </w:div>
        <w:div w:id="1125075204">
          <w:marLeft w:val="0"/>
          <w:marRight w:val="0"/>
          <w:marTop w:val="0"/>
          <w:marBottom w:val="0"/>
          <w:divBdr>
            <w:top w:val="none" w:sz="0" w:space="0" w:color="auto"/>
            <w:left w:val="none" w:sz="0" w:space="0" w:color="auto"/>
            <w:bottom w:val="none" w:sz="0" w:space="0" w:color="auto"/>
            <w:right w:val="none" w:sz="0" w:space="0" w:color="auto"/>
          </w:divBdr>
        </w:div>
        <w:div w:id="1466847478">
          <w:marLeft w:val="0"/>
          <w:marRight w:val="0"/>
          <w:marTop w:val="0"/>
          <w:marBottom w:val="0"/>
          <w:divBdr>
            <w:top w:val="none" w:sz="0" w:space="0" w:color="auto"/>
            <w:left w:val="none" w:sz="0" w:space="0" w:color="auto"/>
            <w:bottom w:val="none" w:sz="0" w:space="0" w:color="auto"/>
            <w:right w:val="none" w:sz="0" w:space="0" w:color="auto"/>
          </w:divBdr>
        </w:div>
        <w:div w:id="1603686788">
          <w:marLeft w:val="0"/>
          <w:marRight w:val="0"/>
          <w:marTop w:val="0"/>
          <w:marBottom w:val="0"/>
          <w:divBdr>
            <w:top w:val="none" w:sz="0" w:space="0" w:color="auto"/>
            <w:left w:val="none" w:sz="0" w:space="0" w:color="auto"/>
            <w:bottom w:val="none" w:sz="0" w:space="0" w:color="auto"/>
            <w:right w:val="none" w:sz="0" w:space="0" w:color="auto"/>
          </w:divBdr>
        </w:div>
        <w:div w:id="1767188248">
          <w:marLeft w:val="0"/>
          <w:marRight w:val="0"/>
          <w:marTop w:val="0"/>
          <w:marBottom w:val="0"/>
          <w:divBdr>
            <w:top w:val="none" w:sz="0" w:space="0" w:color="auto"/>
            <w:left w:val="none" w:sz="0" w:space="0" w:color="auto"/>
            <w:bottom w:val="none" w:sz="0" w:space="0" w:color="auto"/>
            <w:right w:val="none" w:sz="0" w:space="0" w:color="auto"/>
          </w:divBdr>
        </w:div>
      </w:divsChild>
    </w:div>
    <w:div w:id="1298143685">
      <w:bodyDiv w:val="1"/>
      <w:marLeft w:val="0"/>
      <w:marRight w:val="0"/>
      <w:marTop w:val="0"/>
      <w:marBottom w:val="0"/>
      <w:divBdr>
        <w:top w:val="none" w:sz="0" w:space="0" w:color="auto"/>
        <w:left w:val="none" w:sz="0" w:space="0" w:color="auto"/>
        <w:bottom w:val="none" w:sz="0" w:space="0" w:color="auto"/>
        <w:right w:val="none" w:sz="0" w:space="0" w:color="auto"/>
      </w:divBdr>
      <w:divsChild>
        <w:div w:id="696660460">
          <w:marLeft w:val="0"/>
          <w:marRight w:val="0"/>
          <w:marTop w:val="0"/>
          <w:marBottom w:val="0"/>
          <w:divBdr>
            <w:top w:val="none" w:sz="0" w:space="0" w:color="auto"/>
            <w:left w:val="none" w:sz="0" w:space="0" w:color="auto"/>
            <w:bottom w:val="none" w:sz="0" w:space="0" w:color="auto"/>
            <w:right w:val="none" w:sz="0" w:space="0" w:color="auto"/>
          </w:divBdr>
          <w:divsChild>
            <w:div w:id="426076091">
              <w:marLeft w:val="0"/>
              <w:marRight w:val="0"/>
              <w:marTop w:val="336"/>
              <w:marBottom w:val="480"/>
              <w:divBdr>
                <w:top w:val="none" w:sz="0" w:space="0" w:color="auto"/>
                <w:left w:val="none" w:sz="0" w:space="0" w:color="auto"/>
                <w:bottom w:val="single" w:sz="2" w:space="0" w:color="123A63"/>
                <w:right w:val="none" w:sz="0" w:space="0" w:color="auto"/>
              </w:divBdr>
            </w:div>
          </w:divsChild>
        </w:div>
      </w:divsChild>
    </w:div>
    <w:div w:id="1332178854">
      <w:bodyDiv w:val="1"/>
      <w:marLeft w:val="0"/>
      <w:marRight w:val="0"/>
      <w:marTop w:val="0"/>
      <w:marBottom w:val="0"/>
      <w:divBdr>
        <w:top w:val="none" w:sz="0" w:space="0" w:color="auto"/>
        <w:left w:val="none" w:sz="0" w:space="0" w:color="auto"/>
        <w:bottom w:val="none" w:sz="0" w:space="0" w:color="auto"/>
        <w:right w:val="none" w:sz="0" w:space="0" w:color="auto"/>
      </w:divBdr>
    </w:div>
    <w:div w:id="1380086830">
      <w:bodyDiv w:val="1"/>
      <w:marLeft w:val="0"/>
      <w:marRight w:val="0"/>
      <w:marTop w:val="0"/>
      <w:marBottom w:val="0"/>
      <w:divBdr>
        <w:top w:val="none" w:sz="0" w:space="0" w:color="auto"/>
        <w:left w:val="none" w:sz="0" w:space="0" w:color="auto"/>
        <w:bottom w:val="none" w:sz="0" w:space="0" w:color="auto"/>
        <w:right w:val="none" w:sz="0" w:space="0" w:color="auto"/>
      </w:divBdr>
    </w:div>
    <w:div w:id="1472870963">
      <w:bodyDiv w:val="1"/>
      <w:marLeft w:val="0"/>
      <w:marRight w:val="0"/>
      <w:marTop w:val="0"/>
      <w:marBottom w:val="0"/>
      <w:divBdr>
        <w:top w:val="none" w:sz="0" w:space="0" w:color="auto"/>
        <w:left w:val="none" w:sz="0" w:space="0" w:color="auto"/>
        <w:bottom w:val="none" w:sz="0" w:space="0" w:color="auto"/>
        <w:right w:val="none" w:sz="0" w:space="0" w:color="auto"/>
      </w:divBdr>
    </w:div>
    <w:div w:id="1476797096">
      <w:bodyDiv w:val="1"/>
      <w:marLeft w:val="0"/>
      <w:marRight w:val="0"/>
      <w:marTop w:val="0"/>
      <w:marBottom w:val="0"/>
      <w:divBdr>
        <w:top w:val="none" w:sz="0" w:space="0" w:color="auto"/>
        <w:left w:val="none" w:sz="0" w:space="0" w:color="auto"/>
        <w:bottom w:val="none" w:sz="0" w:space="0" w:color="auto"/>
        <w:right w:val="none" w:sz="0" w:space="0" w:color="auto"/>
      </w:divBdr>
      <w:divsChild>
        <w:div w:id="1069961651">
          <w:marLeft w:val="0"/>
          <w:marRight w:val="0"/>
          <w:marTop w:val="0"/>
          <w:marBottom w:val="0"/>
          <w:divBdr>
            <w:top w:val="none" w:sz="0" w:space="0" w:color="auto"/>
            <w:left w:val="none" w:sz="0" w:space="0" w:color="auto"/>
            <w:bottom w:val="none" w:sz="0" w:space="0" w:color="auto"/>
            <w:right w:val="none" w:sz="0" w:space="0" w:color="auto"/>
          </w:divBdr>
        </w:div>
        <w:div w:id="1160272220">
          <w:marLeft w:val="0"/>
          <w:marRight w:val="0"/>
          <w:marTop w:val="0"/>
          <w:marBottom w:val="0"/>
          <w:divBdr>
            <w:top w:val="none" w:sz="0" w:space="0" w:color="auto"/>
            <w:left w:val="none" w:sz="0" w:space="0" w:color="auto"/>
            <w:bottom w:val="none" w:sz="0" w:space="0" w:color="auto"/>
            <w:right w:val="none" w:sz="0" w:space="0" w:color="auto"/>
          </w:divBdr>
          <w:divsChild>
            <w:div w:id="1305895387">
              <w:marLeft w:val="0"/>
              <w:marRight w:val="0"/>
              <w:marTop w:val="0"/>
              <w:marBottom w:val="0"/>
              <w:divBdr>
                <w:top w:val="none" w:sz="0" w:space="0" w:color="auto"/>
                <w:left w:val="none" w:sz="0" w:space="0" w:color="auto"/>
                <w:bottom w:val="none" w:sz="0" w:space="0" w:color="auto"/>
                <w:right w:val="none" w:sz="0" w:space="0" w:color="auto"/>
              </w:divBdr>
            </w:div>
            <w:div w:id="1380743879">
              <w:marLeft w:val="0"/>
              <w:marRight w:val="0"/>
              <w:marTop w:val="0"/>
              <w:marBottom w:val="0"/>
              <w:divBdr>
                <w:top w:val="none" w:sz="0" w:space="0" w:color="auto"/>
                <w:left w:val="none" w:sz="0" w:space="0" w:color="auto"/>
                <w:bottom w:val="none" w:sz="0" w:space="0" w:color="auto"/>
                <w:right w:val="none" w:sz="0" w:space="0" w:color="auto"/>
              </w:divBdr>
            </w:div>
            <w:div w:id="1628311283">
              <w:marLeft w:val="0"/>
              <w:marRight w:val="0"/>
              <w:marTop w:val="0"/>
              <w:marBottom w:val="0"/>
              <w:divBdr>
                <w:top w:val="none" w:sz="0" w:space="0" w:color="auto"/>
                <w:left w:val="none" w:sz="0" w:space="0" w:color="auto"/>
                <w:bottom w:val="none" w:sz="0" w:space="0" w:color="auto"/>
                <w:right w:val="none" w:sz="0" w:space="0" w:color="auto"/>
              </w:divBdr>
            </w:div>
            <w:div w:id="1936278460">
              <w:marLeft w:val="0"/>
              <w:marRight w:val="0"/>
              <w:marTop w:val="0"/>
              <w:marBottom w:val="0"/>
              <w:divBdr>
                <w:top w:val="none" w:sz="0" w:space="0" w:color="auto"/>
                <w:left w:val="none" w:sz="0" w:space="0" w:color="auto"/>
                <w:bottom w:val="none" w:sz="0" w:space="0" w:color="auto"/>
                <w:right w:val="none" w:sz="0" w:space="0" w:color="auto"/>
              </w:divBdr>
            </w:div>
            <w:div w:id="208719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17528">
      <w:bodyDiv w:val="1"/>
      <w:marLeft w:val="0"/>
      <w:marRight w:val="0"/>
      <w:marTop w:val="0"/>
      <w:marBottom w:val="0"/>
      <w:divBdr>
        <w:top w:val="none" w:sz="0" w:space="0" w:color="auto"/>
        <w:left w:val="none" w:sz="0" w:space="0" w:color="auto"/>
        <w:bottom w:val="none" w:sz="0" w:space="0" w:color="auto"/>
        <w:right w:val="none" w:sz="0" w:space="0" w:color="auto"/>
      </w:divBdr>
    </w:div>
    <w:div w:id="1493716541">
      <w:bodyDiv w:val="1"/>
      <w:marLeft w:val="0"/>
      <w:marRight w:val="0"/>
      <w:marTop w:val="0"/>
      <w:marBottom w:val="0"/>
      <w:divBdr>
        <w:top w:val="none" w:sz="0" w:space="0" w:color="auto"/>
        <w:left w:val="none" w:sz="0" w:space="0" w:color="auto"/>
        <w:bottom w:val="none" w:sz="0" w:space="0" w:color="auto"/>
        <w:right w:val="none" w:sz="0" w:space="0" w:color="auto"/>
      </w:divBdr>
      <w:divsChild>
        <w:div w:id="628316131">
          <w:marLeft w:val="0"/>
          <w:marRight w:val="0"/>
          <w:marTop w:val="0"/>
          <w:marBottom w:val="0"/>
          <w:divBdr>
            <w:top w:val="none" w:sz="0" w:space="0" w:color="auto"/>
            <w:left w:val="none" w:sz="0" w:space="0" w:color="auto"/>
            <w:bottom w:val="none" w:sz="0" w:space="0" w:color="auto"/>
            <w:right w:val="none" w:sz="0" w:space="0" w:color="auto"/>
          </w:divBdr>
        </w:div>
        <w:div w:id="722407577">
          <w:marLeft w:val="0"/>
          <w:marRight w:val="0"/>
          <w:marTop w:val="0"/>
          <w:marBottom w:val="0"/>
          <w:divBdr>
            <w:top w:val="none" w:sz="0" w:space="0" w:color="auto"/>
            <w:left w:val="none" w:sz="0" w:space="0" w:color="auto"/>
            <w:bottom w:val="none" w:sz="0" w:space="0" w:color="auto"/>
            <w:right w:val="none" w:sz="0" w:space="0" w:color="auto"/>
          </w:divBdr>
        </w:div>
        <w:div w:id="851452816">
          <w:marLeft w:val="0"/>
          <w:marRight w:val="0"/>
          <w:marTop w:val="0"/>
          <w:marBottom w:val="0"/>
          <w:divBdr>
            <w:top w:val="none" w:sz="0" w:space="0" w:color="auto"/>
            <w:left w:val="none" w:sz="0" w:space="0" w:color="auto"/>
            <w:bottom w:val="none" w:sz="0" w:space="0" w:color="auto"/>
            <w:right w:val="none" w:sz="0" w:space="0" w:color="auto"/>
          </w:divBdr>
        </w:div>
        <w:div w:id="1446197385">
          <w:marLeft w:val="0"/>
          <w:marRight w:val="0"/>
          <w:marTop w:val="0"/>
          <w:marBottom w:val="0"/>
          <w:divBdr>
            <w:top w:val="none" w:sz="0" w:space="0" w:color="auto"/>
            <w:left w:val="none" w:sz="0" w:space="0" w:color="auto"/>
            <w:bottom w:val="none" w:sz="0" w:space="0" w:color="auto"/>
            <w:right w:val="none" w:sz="0" w:space="0" w:color="auto"/>
          </w:divBdr>
        </w:div>
        <w:div w:id="1655841588">
          <w:marLeft w:val="0"/>
          <w:marRight w:val="0"/>
          <w:marTop w:val="0"/>
          <w:marBottom w:val="0"/>
          <w:divBdr>
            <w:top w:val="none" w:sz="0" w:space="0" w:color="auto"/>
            <w:left w:val="none" w:sz="0" w:space="0" w:color="auto"/>
            <w:bottom w:val="none" w:sz="0" w:space="0" w:color="auto"/>
            <w:right w:val="none" w:sz="0" w:space="0" w:color="auto"/>
          </w:divBdr>
        </w:div>
        <w:div w:id="1751271630">
          <w:marLeft w:val="0"/>
          <w:marRight w:val="0"/>
          <w:marTop w:val="0"/>
          <w:marBottom w:val="0"/>
          <w:divBdr>
            <w:top w:val="none" w:sz="0" w:space="0" w:color="auto"/>
            <w:left w:val="none" w:sz="0" w:space="0" w:color="auto"/>
            <w:bottom w:val="none" w:sz="0" w:space="0" w:color="auto"/>
            <w:right w:val="none" w:sz="0" w:space="0" w:color="auto"/>
          </w:divBdr>
        </w:div>
        <w:div w:id="2064018168">
          <w:marLeft w:val="0"/>
          <w:marRight w:val="0"/>
          <w:marTop w:val="0"/>
          <w:marBottom w:val="0"/>
          <w:divBdr>
            <w:top w:val="none" w:sz="0" w:space="0" w:color="auto"/>
            <w:left w:val="none" w:sz="0" w:space="0" w:color="auto"/>
            <w:bottom w:val="none" w:sz="0" w:space="0" w:color="auto"/>
            <w:right w:val="none" w:sz="0" w:space="0" w:color="auto"/>
          </w:divBdr>
        </w:div>
      </w:divsChild>
    </w:div>
    <w:div w:id="1514104887">
      <w:bodyDiv w:val="1"/>
      <w:marLeft w:val="0"/>
      <w:marRight w:val="0"/>
      <w:marTop w:val="0"/>
      <w:marBottom w:val="0"/>
      <w:divBdr>
        <w:top w:val="none" w:sz="0" w:space="0" w:color="auto"/>
        <w:left w:val="none" w:sz="0" w:space="0" w:color="auto"/>
        <w:bottom w:val="none" w:sz="0" w:space="0" w:color="auto"/>
        <w:right w:val="none" w:sz="0" w:space="0" w:color="auto"/>
      </w:divBdr>
    </w:div>
    <w:div w:id="1631549486">
      <w:bodyDiv w:val="1"/>
      <w:marLeft w:val="0"/>
      <w:marRight w:val="0"/>
      <w:marTop w:val="0"/>
      <w:marBottom w:val="0"/>
      <w:divBdr>
        <w:top w:val="none" w:sz="0" w:space="0" w:color="auto"/>
        <w:left w:val="none" w:sz="0" w:space="0" w:color="auto"/>
        <w:bottom w:val="none" w:sz="0" w:space="0" w:color="auto"/>
        <w:right w:val="none" w:sz="0" w:space="0" w:color="auto"/>
      </w:divBdr>
      <w:divsChild>
        <w:div w:id="327681211">
          <w:marLeft w:val="0"/>
          <w:marRight w:val="0"/>
          <w:marTop w:val="0"/>
          <w:marBottom w:val="0"/>
          <w:divBdr>
            <w:top w:val="none" w:sz="0" w:space="0" w:color="auto"/>
            <w:left w:val="none" w:sz="0" w:space="0" w:color="auto"/>
            <w:bottom w:val="none" w:sz="0" w:space="0" w:color="auto"/>
            <w:right w:val="none" w:sz="0" w:space="0" w:color="auto"/>
          </w:divBdr>
        </w:div>
        <w:div w:id="330529820">
          <w:marLeft w:val="0"/>
          <w:marRight w:val="0"/>
          <w:marTop w:val="0"/>
          <w:marBottom w:val="0"/>
          <w:divBdr>
            <w:top w:val="none" w:sz="0" w:space="0" w:color="auto"/>
            <w:left w:val="none" w:sz="0" w:space="0" w:color="auto"/>
            <w:bottom w:val="none" w:sz="0" w:space="0" w:color="auto"/>
            <w:right w:val="none" w:sz="0" w:space="0" w:color="auto"/>
          </w:divBdr>
        </w:div>
        <w:div w:id="1543134839">
          <w:marLeft w:val="0"/>
          <w:marRight w:val="0"/>
          <w:marTop w:val="0"/>
          <w:marBottom w:val="0"/>
          <w:divBdr>
            <w:top w:val="none" w:sz="0" w:space="0" w:color="auto"/>
            <w:left w:val="none" w:sz="0" w:space="0" w:color="auto"/>
            <w:bottom w:val="none" w:sz="0" w:space="0" w:color="auto"/>
            <w:right w:val="none" w:sz="0" w:space="0" w:color="auto"/>
          </w:divBdr>
        </w:div>
      </w:divsChild>
    </w:div>
    <w:div w:id="1709335182">
      <w:bodyDiv w:val="1"/>
      <w:marLeft w:val="0"/>
      <w:marRight w:val="0"/>
      <w:marTop w:val="0"/>
      <w:marBottom w:val="0"/>
      <w:divBdr>
        <w:top w:val="none" w:sz="0" w:space="0" w:color="auto"/>
        <w:left w:val="none" w:sz="0" w:space="0" w:color="auto"/>
        <w:bottom w:val="none" w:sz="0" w:space="0" w:color="auto"/>
        <w:right w:val="none" w:sz="0" w:space="0" w:color="auto"/>
      </w:divBdr>
    </w:div>
    <w:div w:id="1778597691">
      <w:bodyDiv w:val="1"/>
      <w:marLeft w:val="0"/>
      <w:marRight w:val="0"/>
      <w:marTop w:val="0"/>
      <w:marBottom w:val="0"/>
      <w:divBdr>
        <w:top w:val="none" w:sz="0" w:space="0" w:color="auto"/>
        <w:left w:val="none" w:sz="0" w:space="0" w:color="auto"/>
        <w:bottom w:val="none" w:sz="0" w:space="0" w:color="auto"/>
        <w:right w:val="none" w:sz="0" w:space="0" w:color="auto"/>
      </w:divBdr>
      <w:divsChild>
        <w:div w:id="84034765">
          <w:marLeft w:val="0"/>
          <w:marRight w:val="0"/>
          <w:marTop w:val="0"/>
          <w:marBottom w:val="0"/>
          <w:divBdr>
            <w:top w:val="none" w:sz="0" w:space="0" w:color="auto"/>
            <w:left w:val="none" w:sz="0" w:space="0" w:color="auto"/>
            <w:bottom w:val="none" w:sz="0" w:space="0" w:color="auto"/>
            <w:right w:val="none" w:sz="0" w:space="0" w:color="auto"/>
          </w:divBdr>
        </w:div>
        <w:div w:id="112598766">
          <w:marLeft w:val="0"/>
          <w:marRight w:val="0"/>
          <w:marTop w:val="0"/>
          <w:marBottom w:val="0"/>
          <w:divBdr>
            <w:top w:val="none" w:sz="0" w:space="0" w:color="auto"/>
            <w:left w:val="none" w:sz="0" w:space="0" w:color="auto"/>
            <w:bottom w:val="none" w:sz="0" w:space="0" w:color="auto"/>
            <w:right w:val="none" w:sz="0" w:space="0" w:color="auto"/>
          </w:divBdr>
        </w:div>
        <w:div w:id="350836645">
          <w:marLeft w:val="0"/>
          <w:marRight w:val="0"/>
          <w:marTop w:val="0"/>
          <w:marBottom w:val="0"/>
          <w:divBdr>
            <w:top w:val="none" w:sz="0" w:space="0" w:color="auto"/>
            <w:left w:val="none" w:sz="0" w:space="0" w:color="auto"/>
            <w:bottom w:val="none" w:sz="0" w:space="0" w:color="auto"/>
            <w:right w:val="none" w:sz="0" w:space="0" w:color="auto"/>
          </w:divBdr>
        </w:div>
      </w:divsChild>
    </w:div>
    <w:div w:id="1815563125">
      <w:bodyDiv w:val="1"/>
      <w:marLeft w:val="0"/>
      <w:marRight w:val="0"/>
      <w:marTop w:val="0"/>
      <w:marBottom w:val="0"/>
      <w:divBdr>
        <w:top w:val="none" w:sz="0" w:space="0" w:color="auto"/>
        <w:left w:val="none" w:sz="0" w:space="0" w:color="auto"/>
        <w:bottom w:val="none" w:sz="0" w:space="0" w:color="auto"/>
        <w:right w:val="none" w:sz="0" w:space="0" w:color="auto"/>
      </w:divBdr>
    </w:div>
    <w:div w:id="1863281666">
      <w:bodyDiv w:val="1"/>
      <w:marLeft w:val="0"/>
      <w:marRight w:val="0"/>
      <w:marTop w:val="0"/>
      <w:marBottom w:val="0"/>
      <w:divBdr>
        <w:top w:val="none" w:sz="0" w:space="0" w:color="auto"/>
        <w:left w:val="none" w:sz="0" w:space="0" w:color="auto"/>
        <w:bottom w:val="none" w:sz="0" w:space="0" w:color="auto"/>
        <w:right w:val="none" w:sz="0" w:space="0" w:color="auto"/>
      </w:divBdr>
    </w:div>
    <w:div w:id="1891845343">
      <w:bodyDiv w:val="1"/>
      <w:marLeft w:val="0"/>
      <w:marRight w:val="0"/>
      <w:marTop w:val="0"/>
      <w:marBottom w:val="0"/>
      <w:divBdr>
        <w:top w:val="none" w:sz="0" w:space="0" w:color="auto"/>
        <w:left w:val="none" w:sz="0" w:space="0" w:color="auto"/>
        <w:bottom w:val="none" w:sz="0" w:space="0" w:color="auto"/>
        <w:right w:val="none" w:sz="0" w:space="0" w:color="auto"/>
      </w:divBdr>
      <w:divsChild>
        <w:div w:id="1676762115">
          <w:marLeft w:val="0"/>
          <w:marRight w:val="0"/>
          <w:marTop w:val="0"/>
          <w:marBottom w:val="0"/>
          <w:divBdr>
            <w:top w:val="none" w:sz="0" w:space="0" w:color="auto"/>
            <w:left w:val="none" w:sz="0" w:space="0" w:color="auto"/>
            <w:bottom w:val="none" w:sz="0" w:space="0" w:color="auto"/>
            <w:right w:val="none" w:sz="0" w:space="0" w:color="auto"/>
          </w:divBdr>
        </w:div>
        <w:div w:id="1696227240">
          <w:marLeft w:val="0"/>
          <w:marRight w:val="0"/>
          <w:marTop w:val="0"/>
          <w:marBottom w:val="0"/>
          <w:divBdr>
            <w:top w:val="none" w:sz="0" w:space="0" w:color="auto"/>
            <w:left w:val="none" w:sz="0" w:space="0" w:color="auto"/>
            <w:bottom w:val="none" w:sz="0" w:space="0" w:color="auto"/>
            <w:right w:val="none" w:sz="0" w:space="0" w:color="auto"/>
          </w:divBdr>
          <w:divsChild>
            <w:div w:id="220333739">
              <w:marLeft w:val="0"/>
              <w:marRight w:val="0"/>
              <w:marTop w:val="0"/>
              <w:marBottom w:val="0"/>
              <w:divBdr>
                <w:top w:val="none" w:sz="0" w:space="0" w:color="auto"/>
                <w:left w:val="none" w:sz="0" w:space="0" w:color="auto"/>
                <w:bottom w:val="none" w:sz="0" w:space="0" w:color="auto"/>
                <w:right w:val="none" w:sz="0" w:space="0" w:color="auto"/>
              </w:divBdr>
            </w:div>
            <w:div w:id="1422721354">
              <w:marLeft w:val="0"/>
              <w:marRight w:val="0"/>
              <w:marTop w:val="0"/>
              <w:marBottom w:val="0"/>
              <w:divBdr>
                <w:top w:val="none" w:sz="0" w:space="0" w:color="auto"/>
                <w:left w:val="none" w:sz="0" w:space="0" w:color="auto"/>
                <w:bottom w:val="none" w:sz="0" w:space="0" w:color="auto"/>
                <w:right w:val="none" w:sz="0" w:space="0" w:color="auto"/>
              </w:divBdr>
            </w:div>
            <w:div w:id="1548103877">
              <w:marLeft w:val="0"/>
              <w:marRight w:val="0"/>
              <w:marTop w:val="0"/>
              <w:marBottom w:val="0"/>
              <w:divBdr>
                <w:top w:val="none" w:sz="0" w:space="0" w:color="auto"/>
                <w:left w:val="none" w:sz="0" w:space="0" w:color="auto"/>
                <w:bottom w:val="none" w:sz="0" w:space="0" w:color="auto"/>
                <w:right w:val="none" w:sz="0" w:space="0" w:color="auto"/>
              </w:divBdr>
            </w:div>
            <w:div w:id="1767575958">
              <w:marLeft w:val="0"/>
              <w:marRight w:val="0"/>
              <w:marTop w:val="0"/>
              <w:marBottom w:val="0"/>
              <w:divBdr>
                <w:top w:val="none" w:sz="0" w:space="0" w:color="auto"/>
                <w:left w:val="none" w:sz="0" w:space="0" w:color="auto"/>
                <w:bottom w:val="none" w:sz="0" w:space="0" w:color="auto"/>
                <w:right w:val="none" w:sz="0" w:space="0" w:color="auto"/>
              </w:divBdr>
            </w:div>
            <w:div w:id="20216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035286">
      <w:bodyDiv w:val="1"/>
      <w:marLeft w:val="0"/>
      <w:marRight w:val="0"/>
      <w:marTop w:val="0"/>
      <w:marBottom w:val="0"/>
      <w:divBdr>
        <w:top w:val="none" w:sz="0" w:space="0" w:color="auto"/>
        <w:left w:val="none" w:sz="0" w:space="0" w:color="auto"/>
        <w:bottom w:val="none" w:sz="0" w:space="0" w:color="auto"/>
        <w:right w:val="none" w:sz="0" w:space="0" w:color="auto"/>
      </w:divBdr>
    </w:div>
    <w:div w:id="1967345935">
      <w:bodyDiv w:val="1"/>
      <w:marLeft w:val="0"/>
      <w:marRight w:val="0"/>
      <w:marTop w:val="0"/>
      <w:marBottom w:val="0"/>
      <w:divBdr>
        <w:top w:val="none" w:sz="0" w:space="0" w:color="auto"/>
        <w:left w:val="none" w:sz="0" w:space="0" w:color="auto"/>
        <w:bottom w:val="none" w:sz="0" w:space="0" w:color="auto"/>
        <w:right w:val="none" w:sz="0" w:space="0" w:color="auto"/>
      </w:divBdr>
    </w:div>
    <w:div w:id="1968199445">
      <w:bodyDiv w:val="1"/>
      <w:marLeft w:val="0"/>
      <w:marRight w:val="0"/>
      <w:marTop w:val="0"/>
      <w:marBottom w:val="0"/>
      <w:divBdr>
        <w:top w:val="none" w:sz="0" w:space="0" w:color="auto"/>
        <w:left w:val="none" w:sz="0" w:space="0" w:color="auto"/>
        <w:bottom w:val="none" w:sz="0" w:space="0" w:color="auto"/>
        <w:right w:val="none" w:sz="0" w:space="0" w:color="auto"/>
      </w:divBdr>
      <w:divsChild>
        <w:div w:id="1400324">
          <w:marLeft w:val="0"/>
          <w:marRight w:val="0"/>
          <w:marTop w:val="0"/>
          <w:marBottom w:val="0"/>
          <w:divBdr>
            <w:top w:val="none" w:sz="0" w:space="0" w:color="auto"/>
            <w:left w:val="none" w:sz="0" w:space="0" w:color="auto"/>
            <w:bottom w:val="none" w:sz="0" w:space="0" w:color="auto"/>
            <w:right w:val="none" w:sz="0" w:space="0" w:color="auto"/>
          </w:divBdr>
        </w:div>
        <w:div w:id="1193180719">
          <w:marLeft w:val="0"/>
          <w:marRight w:val="0"/>
          <w:marTop w:val="0"/>
          <w:marBottom w:val="0"/>
          <w:divBdr>
            <w:top w:val="none" w:sz="0" w:space="0" w:color="auto"/>
            <w:left w:val="none" w:sz="0" w:space="0" w:color="auto"/>
            <w:bottom w:val="none" w:sz="0" w:space="0" w:color="auto"/>
            <w:right w:val="none" w:sz="0" w:space="0" w:color="auto"/>
          </w:divBdr>
        </w:div>
        <w:div w:id="1539660199">
          <w:marLeft w:val="0"/>
          <w:marRight w:val="0"/>
          <w:marTop w:val="0"/>
          <w:marBottom w:val="0"/>
          <w:divBdr>
            <w:top w:val="none" w:sz="0" w:space="0" w:color="auto"/>
            <w:left w:val="none" w:sz="0" w:space="0" w:color="auto"/>
            <w:bottom w:val="none" w:sz="0" w:space="0" w:color="auto"/>
            <w:right w:val="none" w:sz="0" w:space="0" w:color="auto"/>
          </w:divBdr>
        </w:div>
        <w:div w:id="1554388453">
          <w:marLeft w:val="0"/>
          <w:marRight w:val="0"/>
          <w:marTop w:val="0"/>
          <w:marBottom w:val="0"/>
          <w:divBdr>
            <w:top w:val="none" w:sz="0" w:space="0" w:color="auto"/>
            <w:left w:val="none" w:sz="0" w:space="0" w:color="auto"/>
            <w:bottom w:val="none" w:sz="0" w:space="0" w:color="auto"/>
            <w:right w:val="none" w:sz="0" w:space="0" w:color="auto"/>
          </w:divBdr>
        </w:div>
        <w:div w:id="1605915983">
          <w:marLeft w:val="0"/>
          <w:marRight w:val="0"/>
          <w:marTop w:val="0"/>
          <w:marBottom w:val="0"/>
          <w:divBdr>
            <w:top w:val="none" w:sz="0" w:space="0" w:color="auto"/>
            <w:left w:val="none" w:sz="0" w:space="0" w:color="auto"/>
            <w:bottom w:val="none" w:sz="0" w:space="0" w:color="auto"/>
            <w:right w:val="none" w:sz="0" w:space="0" w:color="auto"/>
          </w:divBdr>
        </w:div>
        <w:div w:id="1616398477">
          <w:marLeft w:val="0"/>
          <w:marRight w:val="0"/>
          <w:marTop w:val="0"/>
          <w:marBottom w:val="0"/>
          <w:divBdr>
            <w:top w:val="none" w:sz="0" w:space="0" w:color="auto"/>
            <w:left w:val="none" w:sz="0" w:space="0" w:color="auto"/>
            <w:bottom w:val="none" w:sz="0" w:space="0" w:color="auto"/>
            <w:right w:val="none" w:sz="0" w:space="0" w:color="auto"/>
          </w:divBdr>
        </w:div>
        <w:div w:id="1672222190">
          <w:marLeft w:val="0"/>
          <w:marRight w:val="0"/>
          <w:marTop w:val="0"/>
          <w:marBottom w:val="0"/>
          <w:divBdr>
            <w:top w:val="none" w:sz="0" w:space="0" w:color="auto"/>
            <w:left w:val="none" w:sz="0" w:space="0" w:color="auto"/>
            <w:bottom w:val="none" w:sz="0" w:space="0" w:color="auto"/>
            <w:right w:val="none" w:sz="0" w:space="0" w:color="auto"/>
          </w:divBdr>
        </w:div>
        <w:div w:id="1988124978">
          <w:marLeft w:val="0"/>
          <w:marRight w:val="0"/>
          <w:marTop w:val="0"/>
          <w:marBottom w:val="0"/>
          <w:divBdr>
            <w:top w:val="none" w:sz="0" w:space="0" w:color="auto"/>
            <w:left w:val="none" w:sz="0" w:space="0" w:color="auto"/>
            <w:bottom w:val="none" w:sz="0" w:space="0" w:color="auto"/>
            <w:right w:val="none" w:sz="0" w:space="0" w:color="auto"/>
          </w:divBdr>
        </w:div>
        <w:div w:id="2049908845">
          <w:marLeft w:val="0"/>
          <w:marRight w:val="0"/>
          <w:marTop w:val="0"/>
          <w:marBottom w:val="0"/>
          <w:divBdr>
            <w:top w:val="none" w:sz="0" w:space="0" w:color="auto"/>
            <w:left w:val="none" w:sz="0" w:space="0" w:color="auto"/>
            <w:bottom w:val="none" w:sz="0" w:space="0" w:color="auto"/>
            <w:right w:val="none" w:sz="0" w:space="0" w:color="auto"/>
          </w:divBdr>
        </w:div>
      </w:divsChild>
    </w:div>
    <w:div w:id="1979332156">
      <w:bodyDiv w:val="1"/>
      <w:marLeft w:val="0"/>
      <w:marRight w:val="0"/>
      <w:marTop w:val="0"/>
      <w:marBottom w:val="0"/>
      <w:divBdr>
        <w:top w:val="none" w:sz="0" w:space="0" w:color="auto"/>
        <w:left w:val="none" w:sz="0" w:space="0" w:color="auto"/>
        <w:bottom w:val="none" w:sz="0" w:space="0" w:color="auto"/>
        <w:right w:val="none" w:sz="0" w:space="0" w:color="auto"/>
      </w:divBdr>
    </w:div>
    <w:div w:id="2060595312">
      <w:bodyDiv w:val="1"/>
      <w:marLeft w:val="0"/>
      <w:marRight w:val="0"/>
      <w:marTop w:val="0"/>
      <w:marBottom w:val="0"/>
      <w:divBdr>
        <w:top w:val="none" w:sz="0" w:space="0" w:color="auto"/>
        <w:left w:val="none" w:sz="0" w:space="0" w:color="auto"/>
        <w:bottom w:val="none" w:sz="0" w:space="0" w:color="auto"/>
        <w:right w:val="none" w:sz="0" w:space="0" w:color="auto"/>
      </w:divBdr>
    </w:div>
    <w:div w:id="2068261314">
      <w:bodyDiv w:val="1"/>
      <w:marLeft w:val="0"/>
      <w:marRight w:val="0"/>
      <w:marTop w:val="0"/>
      <w:marBottom w:val="0"/>
      <w:divBdr>
        <w:top w:val="none" w:sz="0" w:space="0" w:color="auto"/>
        <w:left w:val="none" w:sz="0" w:space="0" w:color="auto"/>
        <w:bottom w:val="none" w:sz="0" w:space="0" w:color="auto"/>
        <w:right w:val="none" w:sz="0" w:space="0" w:color="auto"/>
      </w:divBdr>
    </w:div>
    <w:div w:id="2078165813">
      <w:bodyDiv w:val="1"/>
      <w:marLeft w:val="0"/>
      <w:marRight w:val="0"/>
      <w:marTop w:val="0"/>
      <w:marBottom w:val="0"/>
      <w:divBdr>
        <w:top w:val="none" w:sz="0" w:space="0" w:color="auto"/>
        <w:left w:val="none" w:sz="0" w:space="0" w:color="auto"/>
        <w:bottom w:val="none" w:sz="0" w:space="0" w:color="auto"/>
        <w:right w:val="none" w:sz="0" w:space="0" w:color="auto"/>
      </w:divBdr>
    </w:div>
    <w:div w:id="2083793081">
      <w:bodyDiv w:val="1"/>
      <w:marLeft w:val="0"/>
      <w:marRight w:val="0"/>
      <w:marTop w:val="0"/>
      <w:marBottom w:val="0"/>
      <w:divBdr>
        <w:top w:val="none" w:sz="0" w:space="0" w:color="auto"/>
        <w:left w:val="none" w:sz="0" w:space="0" w:color="auto"/>
        <w:bottom w:val="none" w:sz="0" w:space="0" w:color="auto"/>
        <w:right w:val="none" w:sz="0" w:space="0" w:color="auto"/>
      </w:divBdr>
    </w:div>
    <w:div w:id="2118868068">
      <w:bodyDiv w:val="1"/>
      <w:marLeft w:val="0"/>
      <w:marRight w:val="0"/>
      <w:marTop w:val="0"/>
      <w:marBottom w:val="0"/>
      <w:divBdr>
        <w:top w:val="none" w:sz="0" w:space="0" w:color="auto"/>
        <w:left w:val="none" w:sz="0" w:space="0" w:color="auto"/>
        <w:bottom w:val="none" w:sz="0" w:space="0" w:color="auto"/>
        <w:right w:val="none" w:sz="0" w:space="0" w:color="auto"/>
      </w:divBdr>
    </w:div>
    <w:div w:id="2133283313">
      <w:bodyDiv w:val="1"/>
      <w:marLeft w:val="0"/>
      <w:marRight w:val="0"/>
      <w:marTop w:val="0"/>
      <w:marBottom w:val="0"/>
      <w:divBdr>
        <w:top w:val="none" w:sz="0" w:space="0" w:color="auto"/>
        <w:left w:val="none" w:sz="0" w:space="0" w:color="auto"/>
        <w:bottom w:val="none" w:sz="0" w:space="0" w:color="auto"/>
        <w:right w:val="none" w:sz="0" w:space="0" w:color="auto"/>
      </w:divBdr>
    </w:div>
    <w:div w:id="2145585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f0634d4-028b-48e8-847e-db480dd166fb" xsi:nil="true"/>
    <lcf76f155ced4ddcb4097134ff3c332f xmlns="0514600d-00b7-4e78-9268-63a41585b67a">
      <Terms xmlns="http://schemas.microsoft.com/office/infopath/2007/PartnerControls"/>
    </lcf76f155ced4ddcb4097134ff3c332f>
    <fecha xmlns="0514600d-00b7-4e78-9268-63a41585b67a" xsi:nil="true"/>
  </documentManagement>
</p:properties>
</file>

<file path=customXml/item3.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4.xml><?xml version="1.0" encoding="utf-8"?>
<ct:contentTypeSchema xmlns:ct="http://schemas.microsoft.com/office/2006/metadata/contentType" xmlns:ma="http://schemas.microsoft.com/office/2006/metadata/properties/metaAttributes" ct:_="" ma:_="" ma:contentTypeName="Documento" ma:contentTypeID="0x0101004CC8AF2E1B041F4EA0EF23E0913F01CB" ma:contentTypeVersion="17" ma:contentTypeDescription="Crear nuevo documento." ma:contentTypeScope="" ma:versionID="9b112685eadf9a44d687882355080419">
  <xsd:schema xmlns:xsd="http://www.w3.org/2001/XMLSchema" xmlns:xs="http://www.w3.org/2001/XMLSchema" xmlns:p="http://schemas.microsoft.com/office/2006/metadata/properties" xmlns:ns2="0514600d-00b7-4e78-9268-63a41585b67a" xmlns:ns3="8f0634d4-028b-48e8-847e-db480dd166fb" targetNamespace="http://schemas.microsoft.com/office/2006/metadata/properties" ma:root="true" ma:fieldsID="8de8bf40348799158f9d34e5658216b4" ns2:_="" ns3:_="">
    <xsd:import namespace="0514600d-00b7-4e78-9268-63a41585b67a"/>
    <xsd:import namespace="8f0634d4-028b-48e8-847e-db480dd166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fech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4600d-00b7-4e78-9268-63a41585b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a205269-1969-41d6-8661-31edbc50e23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fecha" ma:index="23" nillable="true" ma:displayName="fecha" ma:format="DateOnly" ma:internalName="fecha">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0634d4-028b-48e8-847e-db480dd166f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515f1e8-958d-4fee-81a1-809111dcc670}" ma:internalName="TaxCatchAll" ma:showField="CatchAllData" ma:web="8f0634d4-028b-48e8-847e-db480dd166f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90A33-101F-49B2-B7D7-0C16EDEC2020}">
  <ds:schemaRefs>
    <ds:schemaRef ds:uri="http://schemas.microsoft.com/sharepoint/v3/contenttype/forms"/>
  </ds:schemaRefs>
</ds:datastoreItem>
</file>

<file path=customXml/itemProps2.xml><?xml version="1.0" encoding="utf-8"?>
<ds:datastoreItem xmlns:ds="http://schemas.openxmlformats.org/officeDocument/2006/customXml" ds:itemID="{EE2F22B0-45A9-420B-8CBC-7EA907FCFF4D}">
  <ds:schemaRefs>
    <ds:schemaRef ds:uri="http://schemas.microsoft.com/office/2006/metadata/properties"/>
    <ds:schemaRef ds:uri="http://schemas.microsoft.com/office/infopath/2007/PartnerControls"/>
    <ds:schemaRef ds:uri="8f0634d4-028b-48e8-847e-db480dd166fb"/>
    <ds:schemaRef ds:uri="0514600d-00b7-4e78-9268-63a41585b67a"/>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A62784A6-8219-4C2B-BEF9-CCBACE1DF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4600d-00b7-4e78-9268-63a41585b67a"/>
    <ds:schemaRef ds:uri="8f0634d4-028b-48e8-847e-db480dd16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3C68001-3D07-45AD-A842-5EAE9EEF1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5458</Words>
  <Characters>30025</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Camacho Garcia</dc:creator>
  <cp:keywords/>
  <dc:description/>
  <cp:lastModifiedBy>Baños Gonzalez, Almudena</cp:lastModifiedBy>
  <cp:revision>9</cp:revision>
  <cp:lastPrinted>2026-03-25T08:02:00Z</cp:lastPrinted>
  <dcterms:created xsi:type="dcterms:W3CDTF">2026-03-25T07:50:00Z</dcterms:created>
  <dcterms:modified xsi:type="dcterms:W3CDTF">2026-04-30T07:37:00Z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3082-11.2.0.10223</vt:lpwstr>
  </property>
  <property fmtid="{D5CDD505-2E9C-101B-9397-08002B2CF9AE}" pid="4" name="LinksUpToDate">
    <vt:bool>false</vt:bool>
  </property>
  <property fmtid="{D5CDD505-2E9C-101B-9397-08002B2CF9AE}" pid="5" name="ScaleCrop">
    <vt:bool>false</vt:bool>
  </property>
  <property fmtid="{D5CDD505-2E9C-101B-9397-08002B2CF9AE}" pid="6" name="ContentTypeId">
    <vt:lpwstr>0x0101004CC8AF2E1B041F4EA0EF23E0913F01CB</vt:lpwstr>
  </property>
  <property fmtid="{D5CDD505-2E9C-101B-9397-08002B2CF9AE}" pid="7" name="_NewReviewCycle">
    <vt:lpwstr/>
  </property>
  <property fmtid="{D5CDD505-2E9C-101B-9397-08002B2CF9AE}" pid="8" name="MediaServiceImageTags">
    <vt:lpwstr/>
  </property>
</Properties>
</file>