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A2CA3" w14:textId="5AB27F57" w:rsidR="00725D97" w:rsidRDefault="005E6CCC" w:rsidP="0019669A">
      <w:pPr>
        <w:jc w:val="center"/>
        <w:rPr>
          <w:sz w:val="24"/>
          <w:szCs w:val="24"/>
          <w:lang w:val="es-ES"/>
        </w:rPr>
      </w:pPr>
      <w:r>
        <w:rPr>
          <w:sz w:val="24"/>
          <w:szCs w:val="24"/>
          <w:lang w:val="es-ES"/>
        </w:rPr>
        <w:t xml:space="preserve">II. ERANSKINA- </w:t>
      </w:r>
      <w:r w:rsidR="00C301D0" w:rsidRPr="00947106">
        <w:rPr>
          <w:sz w:val="24"/>
          <w:szCs w:val="24"/>
          <w:lang w:val="es-ES"/>
        </w:rPr>
        <w:t>ANEXO</w:t>
      </w:r>
      <w:r w:rsidR="00074AF0" w:rsidRPr="00947106">
        <w:rPr>
          <w:sz w:val="24"/>
          <w:szCs w:val="24"/>
          <w:lang w:val="es-ES"/>
        </w:rPr>
        <w:t xml:space="preserve"> II</w:t>
      </w:r>
    </w:p>
    <w:p w14:paraId="5793D166" w14:textId="77777777" w:rsidR="0052743C" w:rsidRPr="00947106" w:rsidRDefault="0052743C" w:rsidP="0019669A">
      <w:pPr>
        <w:jc w:val="center"/>
        <w:rPr>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98"/>
      </w:tblGrid>
      <w:tr w:rsidR="005E6CCC" w14:paraId="08EBB5C8" w14:textId="77777777" w:rsidTr="0052743C">
        <w:tc>
          <w:tcPr>
            <w:tcW w:w="4498" w:type="dxa"/>
          </w:tcPr>
          <w:p w14:paraId="3FF2802A" w14:textId="77777777" w:rsidR="005E6CCC" w:rsidRPr="005E6CCC" w:rsidRDefault="005E6CCC" w:rsidP="005E6CCC">
            <w:pPr>
              <w:jc w:val="both"/>
              <w:rPr>
                <w:b/>
                <w:bCs/>
                <w:caps/>
                <w:sz w:val="24"/>
                <w:szCs w:val="24"/>
                <w:lang w:val="es-ES"/>
              </w:rPr>
            </w:pPr>
            <w:r w:rsidRPr="005E6CCC">
              <w:rPr>
                <w:b/>
                <w:bCs/>
                <w:caps/>
                <w:sz w:val="24"/>
                <w:szCs w:val="24"/>
                <w:lang w:val="eu-ES"/>
              </w:rPr>
              <w:t xml:space="preserve">EUSKAL AUTONOMIA ERKIDEGOKO ADMINISTRAZIO OROKORRAREN, NAFARROAKO FORU ERKIDEGOAREN, Arabako, Bizkaiko eta Gipuzkoako foru aldundien eta Euskaltzaindiaren arteko HITZARMENA BERRESTEKO FORU ARAU PROIEKTUA, 2026-2029 aldian SEI erakundeen arteko lankidetzarako oinarriak ezartzeko. </w:t>
            </w:r>
          </w:p>
          <w:p w14:paraId="552BB31C" w14:textId="77777777" w:rsidR="005E6CCC" w:rsidRPr="005E6CCC" w:rsidRDefault="005E6CCC" w:rsidP="005E6CCC">
            <w:pPr>
              <w:autoSpaceDE w:val="0"/>
              <w:autoSpaceDN w:val="0"/>
              <w:adjustRightInd w:val="0"/>
              <w:jc w:val="both"/>
              <w:rPr>
                <w:rFonts w:ascii="TimesNewRomanPSMT" w:eastAsia="Aptos" w:hAnsi="TimesNewRomanPSMT" w:cs="TimesNewRomanPSMT"/>
                <w:b/>
                <w:bCs/>
                <w:sz w:val="24"/>
                <w:szCs w:val="24"/>
                <w:lang w:val="es-ES" w:eastAsia="en-US" w:bidi="ar-SA"/>
              </w:rPr>
            </w:pPr>
          </w:p>
          <w:p w14:paraId="08830993" w14:textId="77777777" w:rsidR="005E6CCC" w:rsidRPr="00D71953" w:rsidRDefault="005E6CCC" w:rsidP="005E6CCC">
            <w:pPr>
              <w:autoSpaceDE w:val="0"/>
              <w:autoSpaceDN w:val="0"/>
              <w:adjustRightInd w:val="0"/>
              <w:jc w:val="both"/>
              <w:rPr>
                <w:rFonts w:ascii="TimesNewRomanPSMT" w:eastAsia="Aptos" w:hAnsi="TimesNewRomanPSMT" w:cs="TimesNewRomanPSMT"/>
                <w:sz w:val="24"/>
                <w:szCs w:val="24"/>
                <w:lang w:val="es-ES" w:eastAsia="en-US" w:bidi="ar-SA"/>
              </w:rPr>
            </w:pPr>
          </w:p>
          <w:p w14:paraId="2612FC0F" w14:textId="77777777" w:rsidR="005E6CCC" w:rsidRPr="00D71953" w:rsidRDefault="005E6CCC" w:rsidP="005E6CCC">
            <w:pPr>
              <w:autoSpaceDE w:val="0"/>
              <w:autoSpaceDN w:val="0"/>
              <w:adjustRightInd w:val="0"/>
              <w:rPr>
                <w:rFonts w:ascii="TimesNewRomanPSMT" w:eastAsia="Aptos" w:hAnsi="TimesNewRomanPSMT" w:cs="TimesNewRomanPSMT"/>
                <w:sz w:val="24"/>
                <w:szCs w:val="24"/>
                <w:lang w:val="es-ES" w:eastAsia="en-US" w:bidi="ar-SA"/>
              </w:rPr>
            </w:pPr>
            <w:r>
              <w:rPr>
                <w:rFonts w:ascii="TimesNewRomanPSMT" w:eastAsia="TimesNewRomanPSMT" w:hAnsi="TimesNewRomanPSMT" w:cs="TimesNewRomanPSMT"/>
                <w:sz w:val="24"/>
                <w:szCs w:val="24"/>
                <w:lang w:val="eu-ES" w:eastAsia="en-US" w:bidi="ar-SA"/>
              </w:rPr>
              <w:t>Euskaltzaindia 1918an sortu zuten Arabako, Bizkaiko, Gipuzkoako eta Nafarroako foru aldundiek eta, ordutik, erakunde horien babesa, aitorpena eta laguntza finantzarioa izan du.</w:t>
            </w:r>
          </w:p>
          <w:p w14:paraId="415C9302" w14:textId="77777777" w:rsidR="005E6CCC" w:rsidRPr="00D71953" w:rsidRDefault="005E6CCC" w:rsidP="005E6CCC">
            <w:pPr>
              <w:autoSpaceDE w:val="0"/>
              <w:autoSpaceDN w:val="0"/>
              <w:adjustRightInd w:val="0"/>
              <w:rPr>
                <w:rFonts w:ascii="TimesNewRomanPSMT" w:eastAsia="Aptos" w:hAnsi="TimesNewRomanPSMT" w:cs="TimesNewRomanPSMT"/>
                <w:sz w:val="24"/>
                <w:szCs w:val="24"/>
                <w:lang w:val="es-ES" w:eastAsia="en-US" w:bidi="ar-SA"/>
              </w:rPr>
            </w:pPr>
          </w:p>
          <w:p w14:paraId="1780791D" w14:textId="77777777" w:rsidR="005E6CCC" w:rsidRPr="00D71953" w:rsidRDefault="005E6CCC" w:rsidP="005E6CCC">
            <w:pPr>
              <w:autoSpaceDE w:val="0"/>
              <w:autoSpaceDN w:val="0"/>
              <w:adjustRightInd w:val="0"/>
              <w:rPr>
                <w:rFonts w:ascii="TimesNewRomanPSMT" w:eastAsia="Aptos" w:hAnsi="TimesNewRomanPSMT" w:cs="TimesNewRomanPSMT"/>
                <w:sz w:val="24"/>
                <w:szCs w:val="24"/>
                <w:lang w:val="es-ES" w:eastAsia="en-US" w:bidi="ar-SA"/>
              </w:rPr>
            </w:pPr>
            <w:r>
              <w:rPr>
                <w:rFonts w:ascii="TimesNewRomanPSMT" w:eastAsia="TimesNewRomanPSMT" w:hAnsi="TimesNewRomanPSMT" w:cs="TimesNewRomanPSMT"/>
                <w:sz w:val="24"/>
                <w:szCs w:val="24"/>
                <w:lang w:val="eu-ES" w:eastAsia="en-US" w:bidi="ar-SA"/>
              </w:rPr>
              <w:t xml:space="preserve">Otsailaren 26ko 573/1976 Dekretuak Euskaltzaindia aitortzen du, "Euskararen </w:t>
            </w:r>
            <w:proofErr w:type="spellStart"/>
            <w:r>
              <w:rPr>
                <w:rFonts w:ascii="TimesNewRomanPSMT" w:eastAsia="TimesNewRomanPSMT" w:hAnsi="TimesNewRomanPSMT" w:cs="TimesNewRomanPSMT"/>
                <w:sz w:val="24"/>
                <w:szCs w:val="24"/>
                <w:lang w:val="eu-ES" w:eastAsia="en-US" w:bidi="ar-SA"/>
              </w:rPr>
              <w:t>Erret</w:t>
            </w:r>
            <w:proofErr w:type="spellEnd"/>
            <w:r>
              <w:rPr>
                <w:rFonts w:ascii="TimesNewRomanPSMT" w:eastAsia="TimesNewRomanPSMT" w:hAnsi="TimesNewRomanPSMT" w:cs="TimesNewRomanPSMT"/>
                <w:sz w:val="24"/>
                <w:szCs w:val="24"/>
                <w:lang w:val="eu-ES" w:eastAsia="en-US" w:bidi="ar-SA"/>
              </w:rPr>
              <w:t xml:space="preserve"> Akademia – Euskaltzaindia" izenarekin; aldi berean, bere estatutuak onesten ditu.</w:t>
            </w:r>
          </w:p>
          <w:p w14:paraId="36B308A8" w14:textId="77777777" w:rsidR="005E6CCC" w:rsidRPr="00D71953" w:rsidRDefault="005E6CCC" w:rsidP="005E6CCC">
            <w:pPr>
              <w:autoSpaceDE w:val="0"/>
              <w:autoSpaceDN w:val="0"/>
              <w:adjustRightInd w:val="0"/>
              <w:rPr>
                <w:rFonts w:ascii="TimesNewRomanPSMT" w:eastAsia="Aptos" w:hAnsi="TimesNewRomanPSMT" w:cs="TimesNewRomanPSMT"/>
                <w:sz w:val="24"/>
                <w:szCs w:val="24"/>
                <w:lang w:val="es-ES" w:eastAsia="en-US" w:bidi="ar-SA"/>
              </w:rPr>
            </w:pPr>
          </w:p>
          <w:p w14:paraId="0D5FD493" w14:textId="77777777" w:rsidR="005E6CCC" w:rsidRPr="00D71953" w:rsidRDefault="005E6CCC" w:rsidP="005E6CCC">
            <w:pPr>
              <w:autoSpaceDE w:val="0"/>
              <w:autoSpaceDN w:val="0"/>
              <w:adjustRightInd w:val="0"/>
              <w:rPr>
                <w:rFonts w:ascii="TimesNewRomanPSMT" w:eastAsia="Aptos" w:hAnsi="TimesNewRomanPSMT" w:cs="TimesNewRomanPSMT"/>
                <w:sz w:val="24"/>
                <w:szCs w:val="24"/>
                <w:lang w:val="es-ES" w:eastAsia="en-US" w:bidi="ar-SA"/>
              </w:rPr>
            </w:pPr>
            <w:r>
              <w:rPr>
                <w:rFonts w:ascii="TimesNewRomanPSMT" w:eastAsia="TimesNewRomanPSMT" w:hAnsi="TimesNewRomanPSMT" w:cs="TimesNewRomanPSMT"/>
                <w:sz w:val="24"/>
                <w:szCs w:val="24"/>
                <w:lang w:val="eu-ES" w:eastAsia="en-US" w:bidi="ar-SA"/>
              </w:rPr>
              <w:t>Halaber, Euskal Herriaren Autonomia Estatutuaren 6. artikuluak, euskara euskal herriaren hizkuntza ofizial deklaratzeaz gainera, euskara kontuetan Euskaltzaindia erakunde aholku emaile ofizial gisa aitortzen du.</w:t>
            </w:r>
          </w:p>
          <w:p w14:paraId="306AC014" w14:textId="77777777" w:rsidR="005E6CCC" w:rsidRPr="00D71953" w:rsidRDefault="005E6CCC" w:rsidP="005E6CCC">
            <w:pPr>
              <w:autoSpaceDE w:val="0"/>
              <w:autoSpaceDN w:val="0"/>
              <w:adjustRightInd w:val="0"/>
              <w:rPr>
                <w:rFonts w:ascii="TimesNewRomanPSMT" w:eastAsia="Aptos" w:hAnsi="TimesNewRomanPSMT" w:cs="TimesNewRomanPSMT"/>
                <w:sz w:val="24"/>
                <w:szCs w:val="24"/>
                <w:lang w:val="es-ES" w:eastAsia="en-US" w:bidi="ar-SA"/>
              </w:rPr>
            </w:pPr>
          </w:p>
          <w:p w14:paraId="0A578D58" w14:textId="77777777" w:rsidR="005E6CCC" w:rsidRPr="00D71953" w:rsidRDefault="005E6CCC" w:rsidP="005E6CCC">
            <w:pPr>
              <w:autoSpaceDE w:val="0"/>
              <w:autoSpaceDN w:val="0"/>
              <w:adjustRightInd w:val="0"/>
              <w:rPr>
                <w:rFonts w:ascii="TimesNewRomanPSMT" w:eastAsia="Aptos" w:hAnsi="TimesNewRomanPSMT" w:cs="TimesNewRomanPSMT"/>
                <w:sz w:val="24"/>
                <w:szCs w:val="24"/>
                <w:lang w:val="es-ES" w:eastAsia="en-US" w:bidi="ar-SA"/>
              </w:rPr>
            </w:pPr>
            <w:r>
              <w:rPr>
                <w:rFonts w:ascii="TimesNewRomanPSMT" w:eastAsia="TimesNewRomanPSMT" w:hAnsi="TimesNewRomanPSMT" w:cs="TimesNewRomanPSMT"/>
                <w:sz w:val="24"/>
                <w:szCs w:val="24"/>
                <w:lang w:val="eu-ES" w:eastAsia="en-US" w:bidi="ar-SA"/>
              </w:rPr>
              <w:t>Azken urteotan administrazio publikoek, Euskaltzaindiaren jarduna sustatzeko eta bermatzeko hainbat neurri hartu dituzte, lehenik banaka, eta, pixkanaka, elkarrekin.</w:t>
            </w:r>
          </w:p>
          <w:p w14:paraId="5BD626C9" w14:textId="77777777" w:rsidR="005E6CCC" w:rsidRDefault="005E6CCC" w:rsidP="005E6CCC">
            <w:pPr>
              <w:autoSpaceDE w:val="0"/>
              <w:autoSpaceDN w:val="0"/>
              <w:adjustRightInd w:val="0"/>
              <w:rPr>
                <w:rFonts w:ascii="TimesNewRomanPSMT" w:eastAsia="Aptos" w:hAnsi="TimesNewRomanPSMT" w:cs="TimesNewRomanPSMT"/>
                <w:sz w:val="24"/>
                <w:szCs w:val="24"/>
                <w:lang w:val="es-ES" w:eastAsia="en-US" w:bidi="ar-SA"/>
              </w:rPr>
            </w:pPr>
          </w:p>
          <w:p w14:paraId="75E0A993" w14:textId="77777777" w:rsidR="0052743C" w:rsidRDefault="0052743C" w:rsidP="005E6CCC">
            <w:pPr>
              <w:autoSpaceDE w:val="0"/>
              <w:autoSpaceDN w:val="0"/>
              <w:adjustRightInd w:val="0"/>
              <w:rPr>
                <w:rFonts w:ascii="TimesNewRomanPSMT" w:eastAsia="Aptos" w:hAnsi="TimesNewRomanPSMT" w:cs="TimesNewRomanPSMT"/>
                <w:sz w:val="24"/>
                <w:szCs w:val="24"/>
                <w:lang w:val="es-ES" w:eastAsia="en-US" w:bidi="ar-SA"/>
              </w:rPr>
            </w:pPr>
          </w:p>
          <w:p w14:paraId="29D23656" w14:textId="77777777" w:rsidR="0052743C" w:rsidRDefault="0052743C" w:rsidP="005E6CCC">
            <w:pPr>
              <w:autoSpaceDE w:val="0"/>
              <w:autoSpaceDN w:val="0"/>
              <w:adjustRightInd w:val="0"/>
              <w:rPr>
                <w:rFonts w:ascii="TimesNewRomanPSMT" w:eastAsia="Aptos" w:hAnsi="TimesNewRomanPSMT" w:cs="TimesNewRomanPSMT"/>
                <w:sz w:val="24"/>
                <w:szCs w:val="24"/>
                <w:lang w:val="es-ES" w:eastAsia="en-US" w:bidi="ar-SA"/>
              </w:rPr>
            </w:pPr>
          </w:p>
          <w:p w14:paraId="16E0AC20" w14:textId="77777777" w:rsidR="0052743C" w:rsidRPr="00D71953" w:rsidRDefault="0052743C" w:rsidP="005E6CCC">
            <w:pPr>
              <w:autoSpaceDE w:val="0"/>
              <w:autoSpaceDN w:val="0"/>
              <w:adjustRightInd w:val="0"/>
              <w:rPr>
                <w:rFonts w:ascii="TimesNewRomanPSMT" w:eastAsia="Aptos" w:hAnsi="TimesNewRomanPSMT" w:cs="TimesNewRomanPSMT"/>
                <w:sz w:val="24"/>
                <w:szCs w:val="24"/>
                <w:lang w:val="es-ES" w:eastAsia="en-US" w:bidi="ar-SA"/>
              </w:rPr>
            </w:pPr>
          </w:p>
          <w:p w14:paraId="419AC13D" w14:textId="77777777" w:rsidR="005E6CCC" w:rsidRPr="004241C5" w:rsidRDefault="005E6CCC" w:rsidP="005E6CCC">
            <w:pPr>
              <w:autoSpaceDE w:val="0"/>
              <w:autoSpaceDN w:val="0"/>
              <w:adjustRightInd w:val="0"/>
              <w:rPr>
                <w:sz w:val="24"/>
                <w:szCs w:val="24"/>
                <w:lang w:val="es-ES"/>
              </w:rPr>
            </w:pPr>
            <w:r>
              <w:rPr>
                <w:sz w:val="24"/>
                <w:szCs w:val="24"/>
                <w:lang w:val="eu-ES"/>
              </w:rPr>
              <w:t xml:space="preserve">Orain, lankidetza horrekin jarraitzea proposatzen da, Euskaltzaindiaren ikerketa jarduerari eutsiko zaiola bermatzeko. Hartara, administrazio publiko izenpetzaileek eta Euskaltzaindiak 2026-2029 aldirako lankidetza hitzarmen bat adostu eta onetsi dute, aukera emango diena </w:t>
            </w:r>
            <w:r>
              <w:rPr>
                <w:sz w:val="24"/>
                <w:szCs w:val="24"/>
                <w:lang w:val="eu-ES"/>
              </w:rPr>
              <w:lastRenderedPageBreak/>
              <w:t>koordinatzeko, erabilgarri dauden baliabideen kudeaketa optimizatzeko eta epe ertain eta luzerako helburu eta erronka berriak planteatzeko, etorkizunera begira euskara ikertu eta zabaltzeko jardueren ikuspegi integratu batean. Gainera, Euskaltzaindiaren kudeaketa eta jarduerak orientatzeko, jarraipena egiteko eta ebaluatzeko tresna da hitzarmen hau.</w:t>
            </w:r>
          </w:p>
          <w:p w14:paraId="68F4214A" w14:textId="77777777" w:rsidR="005E6CCC" w:rsidRDefault="005E6CCC" w:rsidP="005E6CCC">
            <w:pPr>
              <w:spacing w:line="200" w:lineRule="exact"/>
              <w:rPr>
                <w:sz w:val="24"/>
                <w:szCs w:val="24"/>
                <w:lang w:val="es-ES"/>
              </w:rPr>
            </w:pPr>
          </w:p>
          <w:p w14:paraId="31A35D63" w14:textId="77777777" w:rsidR="0052743C" w:rsidRPr="004241C5" w:rsidRDefault="0052743C" w:rsidP="005E6CCC">
            <w:pPr>
              <w:spacing w:line="200" w:lineRule="exact"/>
              <w:rPr>
                <w:sz w:val="24"/>
                <w:szCs w:val="24"/>
                <w:lang w:val="es-ES"/>
              </w:rPr>
            </w:pPr>
          </w:p>
          <w:p w14:paraId="78AE15CE" w14:textId="77777777" w:rsidR="005E6CCC" w:rsidRDefault="005E6CCC" w:rsidP="005E6CCC">
            <w:pPr>
              <w:autoSpaceDE w:val="0"/>
              <w:autoSpaceDN w:val="0"/>
              <w:adjustRightInd w:val="0"/>
              <w:rPr>
                <w:sz w:val="24"/>
                <w:szCs w:val="24"/>
                <w:lang w:val="es-ES"/>
              </w:rPr>
            </w:pPr>
            <w:r>
              <w:rPr>
                <w:sz w:val="24"/>
                <w:szCs w:val="24"/>
                <w:lang w:val="eu-ES"/>
              </w:rPr>
              <w:t>Arabako Lurralde Historikoko erakunde antolamenduari buruzko 1983ko martxoaren 7ko Foru Arauak 6. artikuluan xedatzen du Batzar Nagusiei dagokiela berrestea Eusko Jaurlaritzarekin, Estatuarekin eta beste lurralde historiko, autonomia erkidego edo probintzia batzuekin hitzarmenak izenpetzeari buruz foru aldundiak egindako proposamenak.</w:t>
            </w:r>
          </w:p>
          <w:p w14:paraId="08F8DED0" w14:textId="77777777" w:rsidR="0052743C" w:rsidRPr="004241C5" w:rsidRDefault="0052743C" w:rsidP="005E6CCC">
            <w:pPr>
              <w:autoSpaceDE w:val="0"/>
              <w:autoSpaceDN w:val="0"/>
              <w:adjustRightInd w:val="0"/>
              <w:rPr>
                <w:sz w:val="24"/>
                <w:szCs w:val="24"/>
                <w:lang w:val="es-ES"/>
              </w:rPr>
            </w:pPr>
          </w:p>
          <w:p w14:paraId="6E1413B4" w14:textId="77777777" w:rsidR="005E6CCC" w:rsidRPr="004241C5" w:rsidRDefault="005E6CCC" w:rsidP="005E6CCC">
            <w:pPr>
              <w:autoSpaceDE w:val="0"/>
              <w:autoSpaceDN w:val="0"/>
              <w:adjustRightInd w:val="0"/>
              <w:rPr>
                <w:sz w:val="24"/>
                <w:szCs w:val="24"/>
                <w:lang w:val="es-ES"/>
              </w:rPr>
            </w:pPr>
            <w:r>
              <w:rPr>
                <w:sz w:val="24"/>
                <w:szCs w:val="24"/>
                <w:lang w:val="eu-ES"/>
              </w:rPr>
              <w:t xml:space="preserve">Bestalde, Arabako Foru Aldundiaren Gobernu, Antolaketa eta Araubide Juridikoari buruzko martxoaren 15eko 10/2023 Foru Arauaren </w:t>
            </w:r>
            <w:proofErr w:type="spellStart"/>
            <w:r>
              <w:rPr>
                <w:sz w:val="24"/>
                <w:szCs w:val="24"/>
                <w:lang w:val="eu-ES"/>
              </w:rPr>
              <w:t>6.1.b</w:t>
            </w:r>
            <w:proofErr w:type="spellEnd"/>
            <w:r>
              <w:rPr>
                <w:sz w:val="24"/>
                <w:szCs w:val="24"/>
                <w:lang w:val="eu-ES"/>
              </w:rPr>
              <w:t>)3. artikuluak Arabako Foru Aldundiaren Foru Gobernu Kontseiluari esleitzen dio "Eusko Jaurlaritzarekin, Estatuko Gobernuarekin, beste lurralde historiko, autonomia erkidego edo probintzia batzuekin egiten diren hitzarmenei" buruzko proposamenak onesteko eta Batzar Nagusiei bidaltzeko eskumena.</w:t>
            </w:r>
          </w:p>
          <w:p w14:paraId="5F08DFF9" w14:textId="77777777" w:rsidR="002C3133" w:rsidRDefault="002C3133" w:rsidP="000F6262">
            <w:pPr>
              <w:autoSpaceDE w:val="0"/>
              <w:autoSpaceDN w:val="0"/>
              <w:adjustRightInd w:val="0"/>
              <w:jc w:val="center"/>
              <w:rPr>
                <w:sz w:val="24"/>
                <w:szCs w:val="24"/>
                <w:lang w:val="es-ES"/>
              </w:rPr>
            </w:pPr>
          </w:p>
          <w:p w14:paraId="55015209" w14:textId="23ED74CB" w:rsidR="005E6CCC" w:rsidRPr="0052743C" w:rsidRDefault="005E6CCC" w:rsidP="000F6262">
            <w:pPr>
              <w:autoSpaceDE w:val="0"/>
              <w:autoSpaceDN w:val="0"/>
              <w:adjustRightInd w:val="0"/>
              <w:jc w:val="center"/>
              <w:rPr>
                <w:b/>
                <w:bCs/>
                <w:sz w:val="24"/>
                <w:szCs w:val="24"/>
                <w:lang w:val="es-ES"/>
              </w:rPr>
            </w:pPr>
            <w:r w:rsidRPr="0052743C">
              <w:rPr>
                <w:b/>
                <w:bCs/>
                <w:sz w:val="24"/>
                <w:szCs w:val="24"/>
                <w:lang w:val="eu-ES"/>
              </w:rPr>
              <w:t>ARTIKULU BAKARRA</w:t>
            </w:r>
          </w:p>
          <w:p w14:paraId="2EB5086D" w14:textId="77777777" w:rsidR="005E6CCC" w:rsidRPr="00DC5974" w:rsidRDefault="005E6CCC" w:rsidP="005E6CCC">
            <w:pPr>
              <w:autoSpaceDE w:val="0"/>
              <w:autoSpaceDN w:val="0"/>
              <w:adjustRightInd w:val="0"/>
              <w:rPr>
                <w:sz w:val="24"/>
                <w:szCs w:val="24"/>
                <w:lang w:val="es-ES"/>
              </w:rPr>
            </w:pPr>
          </w:p>
          <w:p w14:paraId="7210F950" w14:textId="77777777" w:rsidR="005E6CCC" w:rsidRPr="00DC5974" w:rsidRDefault="005E6CCC" w:rsidP="005E6CCC">
            <w:pPr>
              <w:autoSpaceDE w:val="0"/>
              <w:autoSpaceDN w:val="0"/>
              <w:adjustRightInd w:val="0"/>
              <w:rPr>
                <w:sz w:val="24"/>
                <w:szCs w:val="24"/>
                <w:lang w:val="es-ES"/>
              </w:rPr>
            </w:pPr>
            <w:r>
              <w:rPr>
                <w:sz w:val="24"/>
                <w:szCs w:val="24"/>
                <w:lang w:val="eu-ES"/>
              </w:rPr>
              <w:t xml:space="preserve">Berrestea Euskal Autonomia Erkidegoko Administrazio Orokorraren, Nafarroako Foru Erkidegoaren, Arabako, Bizkaiko eta Gipuzkoako foru aldundien eta Euskaltzaindiaren arteko lankidetza hitzarmena 2026-2029 aldian sei erakundeen arteko lankidetzarako oinarriak ezartzeko. </w:t>
            </w:r>
          </w:p>
          <w:p w14:paraId="1039695A" w14:textId="77777777" w:rsidR="005E6CCC" w:rsidRPr="00DC5974" w:rsidRDefault="005E6CCC" w:rsidP="005E6CCC">
            <w:pPr>
              <w:rPr>
                <w:sz w:val="24"/>
                <w:szCs w:val="24"/>
                <w:lang w:val="es-ES"/>
              </w:rPr>
            </w:pPr>
          </w:p>
          <w:p w14:paraId="058B5BC5" w14:textId="77777777" w:rsidR="005E6CCC" w:rsidRPr="00FA2D1A" w:rsidRDefault="005E6CCC" w:rsidP="005E6CCC">
            <w:pPr>
              <w:spacing w:after="240"/>
              <w:rPr>
                <w:sz w:val="22"/>
              </w:rPr>
            </w:pPr>
          </w:p>
          <w:p w14:paraId="3AB2472D" w14:textId="77777777" w:rsidR="005E6CCC" w:rsidRPr="005E6CCC" w:rsidRDefault="005E6CCC" w:rsidP="0019669A">
            <w:pPr>
              <w:jc w:val="both"/>
            </w:pPr>
          </w:p>
        </w:tc>
        <w:tc>
          <w:tcPr>
            <w:tcW w:w="4498" w:type="dxa"/>
          </w:tcPr>
          <w:p w14:paraId="51C75589" w14:textId="77777777" w:rsidR="005E6CCC" w:rsidRPr="005E6CCC" w:rsidRDefault="005E6CCC" w:rsidP="005E6CCC">
            <w:pPr>
              <w:jc w:val="both"/>
              <w:rPr>
                <w:b/>
                <w:bCs/>
                <w:caps/>
                <w:sz w:val="24"/>
                <w:szCs w:val="24"/>
                <w:lang w:val="es-ES"/>
              </w:rPr>
            </w:pPr>
            <w:r w:rsidRPr="005E6CCC">
              <w:rPr>
                <w:b/>
                <w:bCs/>
                <w:caps/>
                <w:sz w:val="24"/>
                <w:szCs w:val="24"/>
                <w:lang w:val="es-ES"/>
              </w:rPr>
              <w:lastRenderedPageBreak/>
              <w:t xml:space="preserve">PROYECTO DE NORMA FORAL DE RATIFICACIÓN DEL CONVENIO entre </w:t>
            </w:r>
            <w:bookmarkStart w:id="0" w:name="_Hlk70600037"/>
            <w:r w:rsidRPr="005E6CCC">
              <w:rPr>
                <w:b/>
                <w:bCs/>
                <w:caps/>
                <w:sz w:val="24"/>
                <w:szCs w:val="24"/>
                <w:lang w:val="es-ES"/>
              </w:rPr>
              <w:t>la Administración General de la Comunidad Autónoma DE EUSKADI, LA COMUNIDAD FORAL DE NAVARRA, las Diputaciones Forales de Álava, Bizkaia y Gipuzkoa, y Euskaltzaindia para establecer las bases de colaboración entre las SEIS instituciones en el período 2026-202</w:t>
            </w:r>
            <w:bookmarkEnd w:id="0"/>
            <w:r w:rsidRPr="005E6CCC">
              <w:rPr>
                <w:b/>
                <w:bCs/>
                <w:caps/>
                <w:sz w:val="24"/>
                <w:szCs w:val="24"/>
                <w:lang w:val="es-ES"/>
              </w:rPr>
              <w:t>9.</w:t>
            </w:r>
          </w:p>
          <w:p w14:paraId="33663DEF" w14:textId="77777777" w:rsidR="005E6CCC" w:rsidRDefault="005E6CCC" w:rsidP="005E6CCC">
            <w:pPr>
              <w:autoSpaceDE w:val="0"/>
              <w:autoSpaceDN w:val="0"/>
              <w:adjustRightInd w:val="0"/>
              <w:jc w:val="both"/>
              <w:rPr>
                <w:rFonts w:ascii="TimesNewRomanPSMT" w:eastAsiaTheme="minorHAnsi" w:hAnsi="TimesNewRomanPSMT" w:cs="TimesNewRomanPSMT"/>
                <w:sz w:val="24"/>
                <w:szCs w:val="24"/>
                <w:lang w:val="es-ES" w:eastAsia="en-US" w:bidi="ar-SA"/>
              </w:rPr>
            </w:pPr>
          </w:p>
          <w:p w14:paraId="7462C43A" w14:textId="77777777" w:rsidR="005E6CCC" w:rsidRPr="004241C5" w:rsidRDefault="005E6CCC" w:rsidP="005E6CCC">
            <w:pPr>
              <w:autoSpaceDE w:val="0"/>
              <w:autoSpaceDN w:val="0"/>
              <w:adjustRightInd w:val="0"/>
              <w:rPr>
                <w:rFonts w:ascii="TimesNewRomanPSMT" w:eastAsiaTheme="minorHAnsi" w:hAnsi="TimesNewRomanPSMT" w:cs="TimesNewRomanPSMT"/>
                <w:sz w:val="24"/>
                <w:szCs w:val="24"/>
                <w:lang w:val="es-ES" w:eastAsia="en-US" w:bidi="ar-SA"/>
              </w:rPr>
            </w:pPr>
            <w:proofErr w:type="spellStart"/>
            <w:r w:rsidRPr="004241C5">
              <w:rPr>
                <w:rFonts w:ascii="TimesNewRomanPSMT" w:eastAsiaTheme="minorHAnsi" w:hAnsi="TimesNewRomanPSMT" w:cs="TimesNewRomanPSMT"/>
                <w:sz w:val="24"/>
                <w:szCs w:val="24"/>
                <w:lang w:val="es-ES" w:eastAsia="en-US" w:bidi="ar-SA"/>
              </w:rPr>
              <w:t>Euskaltzaindia</w:t>
            </w:r>
            <w:proofErr w:type="spellEnd"/>
            <w:r w:rsidRPr="004241C5">
              <w:rPr>
                <w:rFonts w:ascii="TimesNewRomanPSMT" w:eastAsiaTheme="minorHAnsi" w:hAnsi="TimesNewRomanPSMT" w:cs="TimesNewRomanPSMT"/>
                <w:sz w:val="24"/>
                <w:szCs w:val="24"/>
                <w:lang w:val="es-ES" w:eastAsia="en-US" w:bidi="ar-SA"/>
              </w:rPr>
              <w:t>, desde que fuera fundada en 1918 por las diputaciones forales de Bizkaia, Gipuzkoa, Álava y Navarra, ha contado con el apoyo, reconocimiento y ayuda financiera de dichas instituciones.</w:t>
            </w:r>
          </w:p>
          <w:p w14:paraId="0C0ECD13" w14:textId="77777777" w:rsidR="005E6CCC" w:rsidRPr="004241C5" w:rsidRDefault="005E6CCC" w:rsidP="005E6CCC">
            <w:pPr>
              <w:autoSpaceDE w:val="0"/>
              <w:autoSpaceDN w:val="0"/>
              <w:adjustRightInd w:val="0"/>
              <w:rPr>
                <w:rFonts w:ascii="TimesNewRomanPSMT" w:eastAsiaTheme="minorHAnsi" w:hAnsi="TimesNewRomanPSMT" w:cs="TimesNewRomanPSMT"/>
                <w:sz w:val="24"/>
                <w:szCs w:val="24"/>
                <w:lang w:val="es-ES" w:eastAsia="en-US" w:bidi="ar-SA"/>
              </w:rPr>
            </w:pPr>
          </w:p>
          <w:p w14:paraId="2EDE09E0" w14:textId="77777777" w:rsidR="005E6CCC" w:rsidRPr="004241C5" w:rsidRDefault="005E6CCC" w:rsidP="005E6CCC">
            <w:pPr>
              <w:autoSpaceDE w:val="0"/>
              <w:autoSpaceDN w:val="0"/>
              <w:adjustRightInd w:val="0"/>
              <w:rPr>
                <w:rFonts w:ascii="TimesNewRomanPSMT" w:eastAsiaTheme="minorHAnsi" w:hAnsi="TimesNewRomanPSMT" w:cs="TimesNewRomanPSMT"/>
                <w:sz w:val="24"/>
                <w:szCs w:val="24"/>
                <w:lang w:val="es-ES" w:eastAsia="en-US" w:bidi="ar-SA"/>
              </w:rPr>
            </w:pPr>
            <w:r w:rsidRPr="004241C5">
              <w:rPr>
                <w:rFonts w:ascii="TimesNewRomanPSMT" w:eastAsiaTheme="minorHAnsi" w:hAnsi="TimesNewRomanPSMT" w:cs="TimesNewRomanPSMT"/>
                <w:sz w:val="24"/>
                <w:szCs w:val="24"/>
                <w:lang w:val="es-ES" w:eastAsia="en-US" w:bidi="ar-SA"/>
              </w:rPr>
              <w:t>El Decreto 573/1976 del 26 de febrero reconoce a la Academia de la Lengua Vasca bajo la denominación de “Real Academia de la Lengua Vasca-</w:t>
            </w:r>
            <w:proofErr w:type="spellStart"/>
            <w:r w:rsidRPr="004241C5">
              <w:rPr>
                <w:rFonts w:ascii="TimesNewRomanPSMT" w:eastAsiaTheme="minorHAnsi" w:hAnsi="TimesNewRomanPSMT" w:cs="TimesNewRomanPSMT"/>
                <w:sz w:val="24"/>
                <w:szCs w:val="24"/>
                <w:lang w:val="es-ES" w:eastAsia="en-US" w:bidi="ar-SA"/>
              </w:rPr>
              <w:t>Euskaltzaindia</w:t>
            </w:r>
            <w:proofErr w:type="spellEnd"/>
            <w:r w:rsidRPr="004241C5">
              <w:rPr>
                <w:rFonts w:ascii="TimesNewRomanPSMT" w:eastAsiaTheme="minorHAnsi" w:hAnsi="TimesNewRomanPSMT" w:cs="TimesNewRomanPSMT"/>
                <w:sz w:val="24"/>
                <w:szCs w:val="24"/>
                <w:lang w:val="es-ES" w:eastAsia="en-US" w:bidi="ar-SA"/>
              </w:rPr>
              <w:t>", al tiempo que aprueba sus estatutos.</w:t>
            </w:r>
          </w:p>
          <w:p w14:paraId="172DA427" w14:textId="77777777" w:rsidR="005E6CCC" w:rsidRPr="004241C5" w:rsidRDefault="005E6CCC" w:rsidP="005E6CCC">
            <w:pPr>
              <w:autoSpaceDE w:val="0"/>
              <w:autoSpaceDN w:val="0"/>
              <w:adjustRightInd w:val="0"/>
              <w:rPr>
                <w:rFonts w:ascii="TimesNewRomanPSMT" w:eastAsiaTheme="minorHAnsi" w:hAnsi="TimesNewRomanPSMT" w:cs="TimesNewRomanPSMT"/>
                <w:sz w:val="24"/>
                <w:szCs w:val="24"/>
                <w:lang w:val="es-ES" w:eastAsia="en-US" w:bidi="ar-SA"/>
              </w:rPr>
            </w:pPr>
          </w:p>
          <w:p w14:paraId="4CFF3479" w14:textId="77777777" w:rsidR="005E6CCC" w:rsidRPr="004241C5" w:rsidRDefault="005E6CCC" w:rsidP="005E6CCC">
            <w:pPr>
              <w:autoSpaceDE w:val="0"/>
              <w:autoSpaceDN w:val="0"/>
              <w:adjustRightInd w:val="0"/>
              <w:rPr>
                <w:rFonts w:ascii="TimesNewRomanPSMT" w:eastAsiaTheme="minorHAnsi" w:hAnsi="TimesNewRomanPSMT" w:cs="TimesNewRomanPSMT"/>
                <w:sz w:val="24"/>
                <w:szCs w:val="24"/>
                <w:lang w:val="es-ES" w:eastAsia="en-US" w:bidi="ar-SA"/>
              </w:rPr>
            </w:pPr>
            <w:r w:rsidRPr="004241C5">
              <w:rPr>
                <w:rFonts w:ascii="TimesNewRomanPSMT" w:eastAsiaTheme="minorHAnsi" w:hAnsi="TimesNewRomanPSMT" w:cs="TimesNewRomanPSMT"/>
                <w:sz w:val="24"/>
                <w:szCs w:val="24"/>
                <w:lang w:val="es-ES" w:eastAsia="en-US" w:bidi="ar-SA"/>
              </w:rPr>
              <w:t xml:space="preserve">Asimismo, el artículo 6 del Estatuto de Autonomía del País Vasco, además de declarar </w:t>
            </w:r>
            <w:proofErr w:type="gramStart"/>
            <w:r w:rsidRPr="004241C5">
              <w:rPr>
                <w:rFonts w:ascii="TimesNewRomanPSMT" w:eastAsiaTheme="minorHAnsi" w:hAnsi="TimesNewRomanPSMT" w:cs="TimesNewRomanPSMT"/>
                <w:sz w:val="24"/>
                <w:szCs w:val="24"/>
                <w:lang w:val="es-ES" w:eastAsia="en-US" w:bidi="ar-SA"/>
              </w:rPr>
              <w:t>al euskara lengua oficial</w:t>
            </w:r>
            <w:proofErr w:type="gramEnd"/>
            <w:r w:rsidRPr="004241C5">
              <w:rPr>
                <w:rFonts w:ascii="TimesNewRomanPSMT" w:eastAsiaTheme="minorHAnsi" w:hAnsi="TimesNewRomanPSMT" w:cs="TimesNewRomanPSMT"/>
                <w:sz w:val="24"/>
                <w:szCs w:val="24"/>
                <w:lang w:val="es-ES" w:eastAsia="en-US" w:bidi="ar-SA"/>
              </w:rPr>
              <w:t xml:space="preserve"> del País Vasco, reconoce a </w:t>
            </w:r>
            <w:proofErr w:type="spellStart"/>
            <w:r w:rsidRPr="004241C5">
              <w:rPr>
                <w:rFonts w:ascii="TimesNewRomanPSMT" w:eastAsiaTheme="minorHAnsi" w:hAnsi="TimesNewRomanPSMT" w:cs="TimesNewRomanPSMT"/>
                <w:sz w:val="24"/>
                <w:szCs w:val="24"/>
                <w:lang w:val="es-ES" w:eastAsia="en-US" w:bidi="ar-SA"/>
              </w:rPr>
              <w:t>Euskaltzaindia</w:t>
            </w:r>
            <w:proofErr w:type="spellEnd"/>
            <w:r w:rsidRPr="004241C5">
              <w:rPr>
                <w:rFonts w:ascii="TimesNewRomanPSMT" w:eastAsiaTheme="minorHAnsi" w:hAnsi="TimesNewRomanPSMT" w:cs="TimesNewRomanPSMT"/>
                <w:sz w:val="24"/>
                <w:szCs w:val="24"/>
                <w:lang w:val="es-ES" w:eastAsia="en-US" w:bidi="ar-SA"/>
              </w:rPr>
              <w:t xml:space="preserve"> como institución consultiva oficial en lo referente al euskera.</w:t>
            </w:r>
          </w:p>
          <w:p w14:paraId="758CEAA8" w14:textId="77777777" w:rsidR="005E6CCC" w:rsidRPr="004241C5" w:rsidRDefault="005E6CCC" w:rsidP="005E6CCC">
            <w:pPr>
              <w:autoSpaceDE w:val="0"/>
              <w:autoSpaceDN w:val="0"/>
              <w:adjustRightInd w:val="0"/>
              <w:rPr>
                <w:rFonts w:ascii="TimesNewRomanPSMT" w:eastAsiaTheme="minorHAnsi" w:hAnsi="TimesNewRomanPSMT" w:cs="TimesNewRomanPSMT"/>
                <w:sz w:val="24"/>
                <w:szCs w:val="24"/>
                <w:lang w:val="es-ES" w:eastAsia="en-US" w:bidi="ar-SA"/>
              </w:rPr>
            </w:pPr>
          </w:p>
          <w:p w14:paraId="3A133408" w14:textId="77777777" w:rsidR="005E6CCC" w:rsidRPr="004241C5" w:rsidRDefault="005E6CCC" w:rsidP="005E6CCC">
            <w:pPr>
              <w:autoSpaceDE w:val="0"/>
              <w:autoSpaceDN w:val="0"/>
              <w:adjustRightInd w:val="0"/>
              <w:rPr>
                <w:rFonts w:ascii="TimesNewRomanPSMT" w:eastAsiaTheme="minorHAnsi" w:hAnsi="TimesNewRomanPSMT" w:cs="TimesNewRomanPSMT"/>
                <w:sz w:val="24"/>
                <w:szCs w:val="24"/>
                <w:lang w:val="es-ES" w:eastAsia="en-US" w:bidi="ar-SA"/>
              </w:rPr>
            </w:pPr>
            <w:r w:rsidRPr="004241C5">
              <w:rPr>
                <w:rFonts w:ascii="TimesNewRomanPSMT" w:eastAsiaTheme="minorHAnsi" w:hAnsi="TimesNewRomanPSMT" w:cs="TimesNewRomanPSMT"/>
                <w:sz w:val="24"/>
                <w:szCs w:val="24"/>
                <w:lang w:val="es-ES" w:eastAsia="en-US" w:bidi="ar-SA"/>
              </w:rPr>
              <w:t>En los últimos años, las diferentes administraciones públicas han adoptado, primero individualmente, y, progresivamente, de forma conjunta, distintas medidas orientadas a fomentar y garantizar la actividad de la Real Academia de la Lengua Vasca-</w:t>
            </w:r>
            <w:proofErr w:type="spellStart"/>
            <w:r w:rsidRPr="004241C5">
              <w:rPr>
                <w:rFonts w:ascii="TimesNewRomanPSMT" w:eastAsiaTheme="minorHAnsi" w:hAnsi="TimesNewRomanPSMT" w:cs="TimesNewRomanPSMT"/>
                <w:sz w:val="24"/>
                <w:szCs w:val="24"/>
                <w:lang w:val="es-ES" w:eastAsia="en-US" w:bidi="ar-SA"/>
              </w:rPr>
              <w:t>Euskaltzaindia</w:t>
            </w:r>
            <w:proofErr w:type="spellEnd"/>
            <w:r w:rsidRPr="004241C5">
              <w:rPr>
                <w:rFonts w:ascii="TimesNewRomanPSMT" w:eastAsiaTheme="minorHAnsi" w:hAnsi="TimesNewRomanPSMT" w:cs="TimesNewRomanPSMT"/>
                <w:sz w:val="24"/>
                <w:szCs w:val="24"/>
                <w:lang w:val="es-ES" w:eastAsia="en-US" w:bidi="ar-SA"/>
              </w:rPr>
              <w:t>.</w:t>
            </w:r>
          </w:p>
          <w:p w14:paraId="0DBFDA45" w14:textId="77777777" w:rsidR="005E6CCC" w:rsidRPr="004241C5" w:rsidRDefault="005E6CCC" w:rsidP="005E6CCC">
            <w:pPr>
              <w:autoSpaceDE w:val="0"/>
              <w:autoSpaceDN w:val="0"/>
              <w:adjustRightInd w:val="0"/>
              <w:rPr>
                <w:rFonts w:ascii="TimesNewRomanPSMT" w:eastAsiaTheme="minorHAnsi" w:hAnsi="TimesNewRomanPSMT" w:cs="TimesNewRomanPSMT"/>
                <w:sz w:val="24"/>
                <w:szCs w:val="24"/>
                <w:lang w:val="es-ES" w:eastAsia="en-US" w:bidi="ar-SA"/>
              </w:rPr>
            </w:pPr>
          </w:p>
          <w:p w14:paraId="142547DC" w14:textId="77777777" w:rsidR="005E6CCC" w:rsidRPr="004241C5" w:rsidRDefault="005E6CCC" w:rsidP="005E6CCC">
            <w:pPr>
              <w:autoSpaceDE w:val="0"/>
              <w:autoSpaceDN w:val="0"/>
              <w:adjustRightInd w:val="0"/>
              <w:rPr>
                <w:sz w:val="24"/>
                <w:szCs w:val="24"/>
                <w:lang w:val="es-ES"/>
              </w:rPr>
            </w:pPr>
            <w:r w:rsidRPr="004241C5">
              <w:rPr>
                <w:sz w:val="24"/>
                <w:szCs w:val="24"/>
                <w:lang w:val="es-ES"/>
              </w:rPr>
              <w:t xml:space="preserve">Ahora se propone continuar con esa colaboración para garantizar el mantenimiento de la actividad investigadora de </w:t>
            </w:r>
            <w:proofErr w:type="spellStart"/>
            <w:r w:rsidRPr="004241C5">
              <w:rPr>
                <w:sz w:val="24"/>
                <w:szCs w:val="24"/>
                <w:lang w:val="es-ES"/>
              </w:rPr>
              <w:t>Euskaltzaindia</w:t>
            </w:r>
            <w:proofErr w:type="spellEnd"/>
            <w:r w:rsidRPr="004241C5">
              <w:rPr>
                <w:sz w:val="24"/>
                <w:szCs w:val="24"/>
                <w:lang w:val="es-ES"/>
              </w:rPr>
              <w:t xml:space="preserve">. De este modo, las Administraciones Públicas suscribientes y </w:t>
            </w:r>
            <w:proofErr w:type="spellStart"/>
            <w:r w:rsidRPr="004241C5">
              <w:rPr>
                <w:sz w:val="24"/>
                <w:szCs w:val="24"/>
                <w:lang w:val="es-ES"/>
              </w:rPr>
              <w:t>Euskaltzaindia</w:t>
            </w:r>
            <w:proofErr w:type="spellEnd"/>
            <w:r w:rsidRPr="004241C5">
              <w:rPr>
                <w:sz w:val="24"/>
                <w:szCs w:val="24"/>
                <w:lang w:val="es-ES"/>
              </w:rPr>
              <w:t xml:space="preserve"> han consensuado y aprobado un convenio de colaboración </w:t>
            </w:r>
            <w:r>
              <w:rPr>
                <w:sz w:val="24"/>
                <w:szCs w:val="24"/>
                <w:lang w:val="es-ES"/>
              </w:rPr>
              <w:t xml:space="preserve">para el período </w:t>
            </w:r>
            <w:r>
              <w:rPr>
                <w:sz w:val="24"/>
                <w:szCs w:val="24"/>
                <w:lang w:val="es-ES"/>
              </w:rPr>
              <w:lastRenderedPageBreak/>
              <w:t xml:space="preserve">2026-2029 </w:t>
            </w:r>
            <w:r w:rsidRPr="004241C5">
              <w:rPr>
                <w:sz w:val="24"/>
                <w:szCs w:val="24"/>
                <w:lang w:val="es-ES"/>
              </w:rPr>
              <w:t>que les permita coordinarse, optimizar la gestión de los recursos disponibles y plantear nuevos objetivos y retos a medio y largo plazo, en una perspectiva integrada de las actividades de investigación y difusión de la lengua vasca de cara al futuro.</w:t>
            </w:r>
            <w:r>
              <w:rPr>
                <w:sz w:val="24"/>
                <w:szCs w:val="24"/>
                <w:lang w:val="es-ES"/>
              </w:rPr>
              <w:t xml:space="preserve"> Además, este convenio constituye el </w:t>
            </w:r>
            <w:r w:rsidRPr="004241C5">
              <w:rPr>
                <w:sz w:val="24"/>
                <w:szCs w:val="24"/>
                <w:lang w:val="es-ES"/>
              </w:rPr>
              <w:t xml:space="preserve">instrumento para orientar, realizar el seguimiento y evaluar la gestión y las actividades de </w:t>
            </w:r>
            <w:proofErr w:type="spellStart"/>
            <w:r w:rsidRPr="004241C5">
              <w:rPr>
                <w:sz w:val="24"/>
                <w:szCs w:val="24"/>
                <w:lang w:val="es-ES"/>
              </w:rPr>
              <w:t>Euskaltzainida</w:t>
            </w:r>
            <w:proofErr w:type="spellEnd"/>
            <w:r w:rsidRPr="004241C5">
              <w:rPr>
                <w:sz w:val="24"/>
                <w:szCs w:val="24"/>
                <w:lang w:val="es-ES"/>
              </w:rPr>
              <w:t>.</w:t>
            </w:r>
          </w:p>
          <w:p w14:paraId="75427EA3" w14:textId="77777777" w:rsidR="005E6CCC" w:rsidRPr="004241C5" w:rsidRDefault="005E6CCC" w:rsidP="005E6CCC">
            <w:pPr>
              <w:spacing w:line="200" w:lineRule="exact"/>
              <w:rPr>
                <w:sz w:val="24"/>
                <w:szCs w:val="24"/>
                <w:lang w:val="es-ES"/>
              </w:rPr>
            </w:pPr>
          </w:p>
          <w:p w14:paraId="13012A81" w14:textId="77777777" w:rsidR="005E6CCC" w:rsidRDefault="005E6CCC" w:rsidP="005E6CCC">
            <w:pPr>
              <w:autoSpaceDE w:val="0"/>
              <w:autoSpaceDN w:val="0"/>
              <w:adjustRightInd w:val="0"/>
              <w:rPr>
                <w:sz w:val="24"/>
                <w:szCs w:val="24"/>
                <w:lang w:val="es-ES"/>
              </w:rPr>
            </w:pPr>
            <w:r w:rsidRPr="004241C5">
              <w:rPr>
                <w:sz w:val="24"/>
                <w:szCs w:val="24"/>
                <w:lang w:val="es-ES"/>
              </w:rPr>
              <w:t>La Norma Foral de 7 de marzo de 1983, sobre Organización Institucional del Territorio Histórico de Álava, dispone en su artículo 6 que corresponde a las Juntas Generales la ratificación de las propuestas de la Diputación Foral relativas a convenios con el Gobierno Vasco o el Estado, con otros Territorios Históricos, Comunidades Autónomas o Provincias.</w:t>
            </w:r>
          </w:p>
          <w:p w14:paraId="2EC850EF" w14:textId="77777777" w:rsidR="005E6CCC" w:rsidRPr="004241C5" w:rsidRDefault="005E6CCC" w:rsidP="005E6CCC">
            <w:pPr>
              <w:autoSpaceDE w:val="0"/>
              <w:autoSpaceDN w:val="0"/>
              <w:adjustRightInd w:val="0"/>
              <w:rPr>
                <w:sz w:val="24"/>
                <w:szCs w:val="24"/>
                <w:lang w:val="es-ES"/>
              </w:rPr>
            </w:pPr>
          </w:p>
          <w:p w14:paraId="55D5B1E5" w14:textId="77777777" w:rsidR="005E6CCC" w:rsidRPr="004241C5" w:rsidRDefault="005E6CCC" w:rsidP="005E6CCC">
            <w:pPr>
              <w:autoSpaceDE w:val="0"/>
              <w:autoSpaceDN w:val="0"/>
              <w:adjustRightInd w:val="0"/>
              <w:rPr>
                <w:sz w:val="24"/>
                <w:szCs w:val="24"/>
                <w:lang w:val="es-ES"/>
              </w:rPr>
            </w:pPr>
            <w:r>
              <w:rPr>
                <w:sz w:val="24"/>
                <w:szCs w:val="24"/>
                <w:lang w:val="es-ES"/>
              </w:rPr>
              <w:t>Por su parte, e</w:t>
            </w:r>
            <w:r w:rsidRPr="004241C5">
              <w:rPr>
                <w:sz w:val="24"/>
                <w:szCs w:val="24"/>
                <w:lang w:val="es-ES"/>
              </w:rPr>
              <w:t>l artículo 6.1.b).3 de la Norma Foral 10/2023, de 15 de marzo, de gobierno, organización y régimen jurídico de la Diputación Foral de Álava atribuye al Consejo de Gobierno Foral de la Diputación Foral de Álava la competencia para aprobar y remitir a las Juntas Generales para su ratificación, las propuestas referidas a “convenios con el Gobierno Vasco o el del Estado, con otros Territorios Históricos, Comunidades Autónomas, provincias.</w:t>
            </w:r>
          </w:p>
          <w:p w14:paraId="02168C91" w14:textId="77777777" w:rsidR="005E6CCC" w:rsidRDefault="005E6CCC" w:rsidP="005E6CCC">
            <w:pPr>
              <w:autoSpaceDE w:val="0"/>
              <w:autoSpaceDN w:val="0"/>
              <w:adjustRightInd w:val="0"/>
              <w:rPr>
                <w:sz w:val="24"/>
                <w:szCs w:val="24"/>
                <w:lang w:val="es-ES"/>
              </w:rPr>
            </w:pPr>
          </w:p>
          <w:p w14:paraId="480C88EB" w14:textId="77777777" w:rsidR="0052743C" w:rsidRPr="004241C5" w:rsidRDefault="0052743C" w:rsidP="005E6CCC">
            <w:pPr>
              <w:autoSpaceDE w:val="0"/>
              <w:autoSpaceDN w:val="0"/>
              <w:adjustRightInd w:val="0"/>
              <w:rPr>
                <w:sz w:val="24"/>
                <w:szCs w:val="24"/>
                <w:lang w:val="es-ES"/>
              </w:rPr>
            </w:pPr>
          </w:p>
          <w:p w14:paraId="361B3925" w14:textId="77777777" w:rsidR="005E6CCC" w:rsidRPr="0052743C" w:rsidRDefault="005E6CCC" w:rsidP="000F6262">
            <w:pPr>
              <w:autoSpaceDE w:val="0"/>
              <w:autoSpaceDN w:val="0"/>
              <w:adjustRightInd w:val="0"/>
              <w:jc w:val="center"/>
              <w:rPr>
                <w:b/>
                <w:bCs/>
                <w:sz w:val="24"/>
                <w:szCs w:val="24"/>
                <w:lang w:val="es-ES"/>
              </w:rPr>
            </w:pPr>
            <w:r w:rsidRPr="0052743C">
              <w:rPr>
                <w:b/>
                <w:bCs/>
                <w:sz w:val="24"/>
                <w:szCs w:val="24"/>
                <w:lang w:val="es-ES"/>
              </w:rPr>
              <w:t>ARTÍCULO ÚNICO</w:t>
            </w:r>
          </w:p>
          <w:p w14:paraId="4D6C0933" w14:textId="77777777" w:rsidR="005E6CCC" w:rsidRPr="00DC5974" w:rsidRDefault="005E6CCC" w:rsidP="005E6CCC">
            <w:pPr>
              <w:autoSpaceDE w:val="0"/>
              <w:autoSpaceDN w:val="0"/>
              <w:adjustRightInd w:val="0"/>
              <w:rPr>
                <w:sz w:val="24"/>
                <w:szCs w:val="24"/>
                <w:lang w:val="es-ES"/>
              </w:rPr>
            </w:pPr>
          </w:p>
          <w:p w14:paraId="44A9C251" w14:textId="77777777" w:rsidR="005E6CCC" w:rsidRPr="00DC5974" w:rsidRDefault="005E6CCC" w:rsidP="005E6CCC">
            <w:pPr>
              <w:autoSpaceDE w:val="0"/>
              <w:autoSpaceDN w:val="0"/>
              <w:adjustRightInd w:val="0"/>
              <w:rPr>
                <w:sz w:val="24"/>
                <w:szCs w:val="24"/>
                <w:lang w:val="es-ES"/>
              </w:rPr>
            </w:pPr>
            <w:r>
              <w:rPr>
                <w:sz w:val="24"/>
                <w:szCs w:val="24"/>
                <w:lang w:val="es-ES"/>
              </w:rPr>
              <w:t>Se r</w:t>
            </w:r>
            <w:r w:rsidRPr="00DC5974">
              <w:rPr>
                <w:sz w:val="24"/>
                <w:szCs w:val="24"/>
                <w:lang w:val="es-ES"/>
              </w:rPr>
              <w:t xml:space="preserve">atifica el convenio </w:t>
            </w:r>
            <w:r>
              <w:rPr>
                <w:sz w:val="24"/>
                <w:szCs w:val="24"/>
                <w:lang w:val="es-ES"/>
              </w:rPr>
              <w:t>de colaboración</w:t>
            </w:r>
            <w:r w:rsidRPr="00DC5974">
              <w:rPr>
                <w:sz w:val="24"/>
                <w:szCs w:val="24"/>
                <w:lang w:val="es-ES"/>
              </w:rPr>
              <w:t xml:space="preserve"> entre la Administración General de la Comunidad Autónoma de Euskadi, </w:t>
            </w:r>
            <w:r>
              <w:rPr>
                <w:sz w:val="24"/>
                <w:szCs w:val="24"/>
                <w:lang w:val="es-ES"/>
              </w:rPr>
              <w:t xml:space="preserve">la Comunidad Foral de Navarra y </w:t>
            </w:r>
            <w:r w:rsidRPr="00DC5974">
              <w:rPr>
                <w:sz w:val="24"/>
                <w:szCs w:val="24"/>
                <w:lang w:val="es-ES"/>
              </w:rPr>
              <w:t xml:space="preserve">las Diputaciones Forales de Álava, Bizkaia y Gipuzkoa, y </w:t>
            </w:r>
            <w:proofErr w:type="spellStart"/>
            <w:r w:rsidRPr="00DC5974">
              <w:rPr>
                <w:sz w:val="24"/>
                <w:szCs w:val="24"/>
                <w:lang w:val="es-ES"/>
              </w:rPr>
              <w:t>Euskaltzaindia</w:t>
            </w:r>
            <w:proofErr w:type="spellEnd"/>
            <w:r w:rsidRPr="00DC5974">
              <w:rPr>
                <w:sz w:val="24"/>
                <w:szCs w:val="24"/>
                <w:lang w:val="es-ES"/>
              </w:rPr>
              <w:t xml:space="preserve"> para establecer las bases de colaboración entre las seis instituciones en el período 202</w:t>
            </w:r>
            <w:r>
              <w:rPr>
                <w:sz w:val="24"/>
                <w:szCs w:val="24"/>
                <w:lang w:val="es-ES"/>
              </w:rPr>
              <w:t>6</w:t>
            </w:r>
            <w:r w:rsidRPr="00DC5974">
              <w:rPr>
                <w:sz w:val="24"/>
                <w:szCs w:val="24"/>
                <w:lang w:val="es-ES"/>
              </w:rPr>
              <w:t>-2029</w:t>
            </w:r>
            <w:r>
              <w:rPr>
                <w:sz w:val="24"/>
                <w:szCs w:val="24"/>
                <w:lang w:val="es-ES"/>
              </w:rPr>
              <w:t xml:space="preserve">. </w:t>
            </w:r>
          </w:p>
          <w:p w14:paraId="64616EFC" w14:textId="77777777" w:rsidR="005E6CCC" w:rsidRDefault="005E6CCC" w:rsidP="0019669A">
            <w:pPr>
              <w:jc w:val="both"/>
              <w:rPr>
                <w:lang w:val="es-ES"/>
              </w:rPr>
            </w:pPr>
          </w:p>
        </w:tc>
      </w:tr>
    </w:tbl>
    <w:p w14:paraId="346F19B2" w14:textId="77777777" w:rsidR="00FD3BE0" w:rsidRDefault="00FD3BE0" w:rsidP="0019669A">
      <w:pPr>
        <w:jc w:val="both"/>
        <w:rPr>
          <w:lang w:val="es-ES"/>
        </w:rPr>
      </w:pPr>
    </w:p>
    <w:sectPr w:rsidR="00FD3BE0" w:rsidSect="00074AF0">
      <w:headerReference w:type="even" r:id="rId7"/>
      <w:headerReference w:type="default" r:id="rId8"/>
      <w:footerReference w:type="even" r:id="rId9"/>
      <w:footerReference w:type="default" r:id="rId10"/>
      <w:headerReference w:type="first" r:id="rId11"/>
      <w:footerReference w:type="first" r:id="rId12"/>
      <w:type w:val="continuous"/>
      <w:pgSz w:w="11906" w:h="16840"/>
      <w:pgMar w:top="1560" w:right="1300" w:bottom="1140" w:left="16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6F37D" w14:textId="77777777" w:rsidR="005302BB" w:rsidRDefault="005302BB" w:rsidP="00A5406B">
      <w:r>
        <w:separator/>
      </w:r>
    </w:p>
  </w:endnote>
  <w:endnote w:type="continuationSeparator" w:id="0">
    <w:p w14:paraId="39087D46" w14:textId="77777777" w:rsidR="005302BB" w:rsidRDefault="005302BB" w:rsidP="00A54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916F2" w14:textId="77777777" w:rsidR="003D3F78" w:rsidRDefault="003D3F7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9D40" w14:textId="77777777" w:rsidR="003D3F78" w:rsidRPr="003D3F78" w:rsidRDefault="003D3F78" w:rsidP="003D3F78">
    <w:pPr>
      <w:pStyle w:val="Piedepgina"/>
      <w:tabs>
        <w:tab w:val="clear" w:pos="4252"/>
        <w:tab w:val="clear" w:pos="8504"/>
        <w:tab w:val="right" w:pos="9356"/>
      </w:tabs>
      <w:jc w:val="right"/>
      <w:rPr>
        <w:rFonts w:ascii="Times New Roman" w:hAnsi="Times New Roman" w:cs="Times New Roman"/>
        <w:sz w:val="16"/>
      </w:rPr>
    </w:pPr>
    <w:r w:rsidRPr="003D3F78">
      <w:rPr>
        <w:rStyle w:val="Nmerodepgina"/>
        <w:rFonts w:ascii="Times New Roman" w:hAnsi="Times New Roman" w:cs="Times New Roman"/>
      </w:rPr>
      <w:fldChar w:fldCharType="begin"/>
    </w:r>
    <w:r w:rsidRPr="003D3F78">
      <w:rPr>
        <w:rStyle w:val="Nmerodepgina"/>
        <w:rFonts w:ascii="Times New Roman" w:hAnsi="Times New Roman" w:cs="Times New Roman"/>
      </w:rPr>
      <w:instrText xml:space="preserve"> PAGE </w:instrText>
    </w:r>
    <w:r w:rsidRPr="003D3F78">
      <w:rPr>
        <w:rStyle w:val="Nmerodepgina"/>
        <w:rFonts w:ascii="Times New Roman" w:hAnsi="Times New Roman" w:cs="Times New Roman"/>
      </w:rPr>
      <w:fldChar w:fldCharType="separate"/>
    </w:r>
    <w:r w:rsidRPr="003D3F78">
      <w:rPr>
        <w:rStyle w:val="Nmerodepgina"/>
        <w:rFonts w:ascii="Times New Roman" w:hAnsi="Times New Roman" w:cs="Times New Roman"/>
      </w:rPr>
      <w:t>1</w:t>
    </w:r>
    <w:r w:rsidRPr="003D3F78">
      <w:rPr>
        <w:rStyle w:val="Nmerodepgina"/>
        <w:rFonts w:ascii="Times New Roman" w:hAnsi="Times New Roman" w:cs="Times New Roman"/>
      </w:rPr>
      <w:fldChar w:fldCharType="end"/>
    </w:r>
    <w:r w:rsidRPr="003D3F78">
      <w:rPr>
        <w:rFonts w:ascii="Times New Roman" w:hAnsi="Times New Roman" w:cs="Times New Roman"/>
      </w:rPr>
      <w:t>/</w:t>
    </w:r>
    <w:r w:rsidRPr="003D3F78">
      <w:rPr>
        <w:rStyle w:val="Nmerodepgina"/>
        <w:rFonts w:ascii="Times New Roman" w:hAnsi="Times New Roman" w:cs="Times New Roman"/>
      </w:rPr>
      <w:fldChar w:fldCharType="begin"/>
    </w:r>
    <w:r w:rsidRPr="003D3F78">
      <w:rPr>
        <w:rStyle w:val="Nmerodepgina"/>
        <w:rFonts w:ascii="Times New Roman" w:hAnsi="Times New Roman" w:cs="Times New Roman"/>
      </w:rPr>
      <w:instrText xml:space="preserve"> NUMPAGES </w:instrText>
    </w:r>
    <w:r w:rsidRPr="003D3F78">
      <w:rPr>
        <w:rStyle w:val="Nmerodepgina"/>
        <w:rFonts w:ascii="Times New Roman" w:hAnsi="Times New Roman" w:cs="Times New Roman"/>
      </w:rPr>
      <w:fldChar w:fldCharType="separate"/>
    </w:r>
    <w:r w:rsidRPr="003D3F78">
      <w:rPr>
        <w:rStyle w:val="Nmerodepgina"/>
        <w:rFonts w:ascii="Times New Roman" w:hAnsi="Times New Roman" w:cs="Times New Roman"/>
      </w:rPr>
      <w:t>4</w:t>
    </w:r>
    <w:r w:rsidRPr="003D3F78">
      <w:rPr>
        <w:rStyle w:val="Nmerodepgina"/>
        <w:rFonts w:ascii="Times New Roman" w:hAnsi="Times New Roman" w:cs="Times New Roman"/>
      </w:rPr>
      <w:fldChar w:fldCharType="end"/>
    </w:r>
  </w:p>
  <w:p w14:paraId="272DF872" w14:textId="77777777" w:rsidR="003D3F78" w:rsidRDefault="003D3F7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9589" w14:textId="77777777" w:rsidR="003D3F78" w:rsidRDefault="003D3F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32206" w14:textId="77777777" w:rsidR="005302BB" w:rsidRDefault="005302BB" w:rsidP="00A5406B">
      <w:r>
        <w:separator/>
      </w:r>
    </w:p>
  </w:footnote>
  <w:footnote w:type="continuationSeparator" w:id="0">
    <w:p w14:paraId="1D4F7AB2" w14:textId="77777777" w:rsidR="005302BB" w:rsidRDefault="005302BB" w:rsidP="00A54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3DE7" w14:textId="77777777" w:rsidR="003D3F78" w:rsidRDefault="003D3F7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A5406B" w:rsidRPr="00A5406B" w14:paraId="488A37C0" w14:textId="77777777" w:rsidTr="00A717C2">
      <w:trPr>
        <w:cantSplit/>
        <w:trHeight w:val="338"/>
      </w:trPr>
      <w:tc>
        <w:tcPr>
          <w:tcW w:w="3856" w:type="dxa"/>
        </w:tcPr>
        <w:p w14:paraId="18305173" w14:textId="77777777" w:rsidR="00A5406B" w:rsidRPr="00A5406B" w:rsidRDefault="00A5406B" w:rsidP="00A5406B">
          <w:pPr>
            <w:tabs>
              <w:tab w:val="center" w:pos="4252"/>
              <w:tab w:val="right" w:pos="8504"/>
            </w:tabs>
          </w:pPr>
        </w:p>
      </w:tc>
      <w:tc>
        <w:tcPr>
          <w:tcW w:w="1361" w:type="dxa"/>
          <w:vMerge w:val="restart"/>
        </w:tcPr>
        <w:p w14:paraId="10B15A4F" w14:textId="77777777" w:rsidR="00A5406B" w:rsidRPr="00A5406B" w:rsidRDefault="00A5406B" w:rsidP="00A5406B">
          <w:pPr>
            <w:tabs>
              <w:tab w:val="center" w:pos="4252"/>
              <w:tab w:val="right" w:pos="8504"/>
            </w:tabs>
            <w:jc w:val="center"/>
          </w:pPr>
          <w:r>
            <w:rPr>
              <w:noProof/>
              <w:lang w:val="es-ES" w:bidi="ar-SA"/>
            </w:rPr>
            <w:drawing>
              <wp:inline distT="0" distB="0" distL="0" distR="0" wp14:anchorId="74B6EEA5" wp14:editId="28EE18C5">
                <wp:extent cx="432435" cy="432435"/>
                <wp:effectExtent l="0" t="0" r="5715" b="571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435" cy="432435"/>
                        </a:xfrm>
                        <a:prstGeom prst="rect">
                          <a:avLst/>
                        </a:prstGeom>
                        <a:noFill/>
                        <a:ln>
                          <a:noFill/>
                        </a:ln>
                      </pic:spPr>
                    </pic:pic>
                  </a:graphicData>
                </a:graphic>
              </wp:inline>
            </w:drawing>
          </w:r>
        </w:p>
      </w:tc>
      <w:tc>
        <w:tcPr>
          <w:tcW w:w="3856" w:type="dxa"/>
        </w:tcPr>
        <w:p w14:paraId="7EE23EA5" w14:textId="77777777" w:rsidR="00A5406B" w:rsidRPr="00A5406B" w:rsidRDefault="00A5406B" w:rsidP="00A5406B">
          <w:pPr>
            <w:tabs>
              <w:tab w:val="center" w:pos="4252"/>
              <w:tab w:val="right" w:pos="8504"/>
            </w:tabs>
          </w:pPr>
        </w:p>
      </w:tc>
    </w:tr>
    <w:tr w:rsidR="00A5406B" w:rsidRPr="00A5406B" w14:paraId="25156686" w14:textId="77777777" w:rsidTr="00A717C2">
      <w:trPr>
        <w:cantSplit/>
        <w:trHeight w:val="337"/>
      </w:trPr>
      <w:tc>
        <w:tcPr>
          <w:tcW w:w="3856" w:type="dxa"/>
        </w:tcPr>
        <w:p w14:paraId="7989ABAB" w14:textId="77777777" w:rsidR="00A5406B" w:rsidRPr="00A5406B" w:rsidRDefault="00A5406B" w:rsidP="00A5406B">
          <w:pPr>
            <w:tabs>
              <w:tab w:val="center" w:pos="4252"/>
              <w:tab w:val="right" w:pos="8504"/>
            </w:tabs>
          </w:pPr>
        </w:p>
      </w:tc>
      <w:tc>
        <w:tcPr>
          <w:tcW w:w="1361" w:type="dxa"/>
          <w:vMerge/>
        </w:tcPr>
        <w:p w14:paraId="318BC70B" w14:textId="77777777" w:rsidR="00A5406B" w:rsidRPr="00A5406B" w:rsidRDefault="00A5406B" w:rsidP="00A5406B">
          <w:pPr>
            <w:tabs>
              <w:tab w:val="center" w:pos="4252"/>
              <w:tab w:val="right" w:pos="8504"/>
            </w:tabs>
            <w:jc w:val="center"/>
          </w:pPr>
        </w:p>
      </w:tc>
      <w:tc>
        <w:tcPr>
          <w:tcW w:w="3856" w:type="dxa"/>
        </w:tcPr>
        <w:p w14:paraId="5A5FB7A7" w14:textId="77777777" w:rsidR="00A5406B" w:rsidRPr="00A5406B" w:rsidRDefault="00A5406B" w:rsidP="00A5406B">
          <w:pPr>
            <w:tabs>
              <w:tab w:val="center" w:pos="4252"/>
              <w:tab w:val="right" w:pos="8504"/>
            </w:tabs>
          </w:pPr>
        </w:p>
      </w:tc>
    </w:tr>
  </w:tbl>
  <w:p w14:paraId="410AE8E3" w14:textId="77777777" w:rsidR="00A5406B" w:rsidRDefault="00A5406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83E7" w14:textId="77777777" w:rsidR="003D3F78" w:rsidRDefault="003D3F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B4088A"/>
    <w:multiLevelType w:val="hybridMultilevel"/>
    <w:tmpl w:val="798EB138"/>
    <w:lvl w:ilvl="0" w:tplc="307C4CA8">
      <w:start w:val="1"/>
      <w:numFmt w:val="bullet"/>
      <w:lvlText w:val="-"/>
      <w:lvlJc w:val="left"/>
      <w:pPr>
        <w:ind w:hanging="123"/>
      </w:pPr>
      <w:rPr>
        <w:rFonts w:ascii="Times New Roman" w:eastAsia="Times New Roman" w:hAnsi="Times New Roman" w:hint="default"/>
        <w:sz w:val="22"/>
        <w:szCs w:val="22"/>
      </w:rPr>
    </w:lvl>
    <w:lvl w:ilvl="1" w:tplc="567E8162">
      <w:start w:val="1"/>
      <w:numFmt w:val="bullet"/>
      <w:lvlText w:val="•"/>
      <w:lvlJc w:val="left"/>
      <w:rPr>
        <w:rFonts w:hint="default"/>
      </w:rPr>
    </w:lvl>
    <w:lvl w:ilvl="2" w:tplc="ED3CA9F6">
      <w:start w:val="1"/>
      <w:numFmt w:val="bullet"/>
      <w:lvlText w:val="•"/>
      <w:lvlJc w:val="left"/>
      <w:rPr>
        <w:rFonts w:hint="default"/>
      </w:rPr>
    </w:lvl>
    <w:lvl w:ilvl="3" w:tplc="C1684BE8">
      <w:start w:val="1"/>
      <w:numFmt w:val="bullet"/>
      <w:lvlText w:val="•"/>
      <w:lvlJc w:val="left"/>
      <w:rPr>
        <w:rFonts w:hint="default"/>
      </w:rPr>
    </w:lvl>
    <w:lvl w:ilvl="4" w:tplc="858E1DFC">
      <w:start w:val="1"/>
      <w:numFmt w:val="bullet"/>
      <w:lvlText w:val="•"/>
      <w:lvlJc w:val="left"/>
      <w:rPr>
        <w:rFonts w:hint="default"/>
      </w:rPr>
    </w:lvl>
    <w:lvl w:ilvl="5" w:tplc="B290EBE4">
      <w:start w:val="1"/>
      <w:numFmt w:val="bullet"/>
      <w:lvlText w:val="•"/>
      <w:lvlJc w:val="left"/>
      <w:rPr>
        <w:rFonts w:hint="default"/>
      </w:rPr>
    </w:lvl>
    <w:lvl w:ilvl="6" w:tplc="2B047C8E">
      <w:start w:val="1"/>
      <w:numFmt w:val="bullet"/>
      <w:lvlText w:val="•"/>
      <w:lvlJc w:val="left"/>
      <w:rPr>
        <w:rFonts w:hint="default"/>
      </w:rPr>
    </w:lvl>
    <w:lvl w:ilvl="7" w:tplc="C96259A8">
      <w:start w:val="1"/>
      <w:numFmt w:val="bullet"/>
      <w:lvlText w:val="•"/>
      <w:lvlJc w:val="left"/>
      <w:rPr>
        <w:rFonts w:hint="default"/>
      </w:rPr>
    </w:lvl>
    <w:lvl w:ilvl="8" w:tplc="012C4890">
      <w:start w:val="1"/>
      <w:numFmt w:val="bullet"/>
      <w:lvlText w:val="•"/>
      <w:lvlJc w:val="left"/>
      <w:rPr>
        <w:rFonts w:hint="default"/>
      </w:rPr>
    </w:lvl>
  </w:abstractNum>
  <w:num w:numId="1" w16cid:durableId="1591431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6B"/>
    <w:rsid w:val="00071A46"/>
    <w:rsid w:val="00074AF0"/>
    <w:rsid w:val="000858AD"/>
    <w:rsid w:val="000B3B28"/>
    <w:rsid w:val="000C4F03"/>
    <w:rsid w:val="000F6262"/>
    <w:rsid w:val="001203D9"/>
    <w:rsid w:val="0019669A"/>
    <w:rsid w:val="00297300"/>
    <w:rsid w:val="002C3133"/>
    <w:rsid w:val="00303A42"/>
    <w:rsid w:val="003D3F78"/>
    <w:rsid w:val="004241C5"/>
    <w:rsid w:val="0052743C"/>
    <w:rsid w:val="005302BB"/>
    <w:rsid w:val="005A2BDD"/>
    <w:rsid w:val="005E6CCC"/>
    <w:rsid w:val="0060785B"/>
    <w:rsid w:val="0062360B"/>
    <w:rsid w:val="00671C25"/>
    <w:rsid w:val="00725D97"/>
    <w:rsid w:val="007B74B4"/>
    <w:rsid w:val="00835415"/>
    <w:rsid w:val="00947106"/>
    <w:rsid w:val="009A24EC"/>
    <w:rsid w:val="00A51456"/>
    <w:rsid w:val="00A5406B"/>
    <w:rsid w:val="00A7660F"/>
    <w:rsid w:val="00A8408C"/>
    <w:rsid w:val="00B01CA4"/>
    <w:rsid w:val="00B46D5D"/>
    <w:rsid w:val="00C301D0"/>
    <w:rsid w:val="00D367F0"/>
    <w:rsid w:val="00D84B41"/>
    <w:rsid w:val="00DB2932"/>
    <w:rsid w:val="00DC5974"/>
    <w:rsid w:val="00E166CC"/>
    <w:rsid w:val="00FA6DB3"/>
    <w:rsid w:val="00FD3B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FFD2"/>
  <w15:docId w15:val="{07912746-FBAF-48DE-BC54-F233A7BB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A46"/>
    <w:pPr>
      <w:spacing w:after="0" w:line="240" w:lineRule="auto"/>
    </w:pPr>
    <w:rPr>
      <w:rFonts w:ascii="Times New Roman" w:eastAsia="Times New Roman" w:hAnsi="Times New Roman" w:cs="Arial"/>
      <w:sz w:val="20"/>
      <w:szCs w:val="20"/>
      <w:lang w:val="es-ES_tradnl" w:eastAsia="es-ES" w:bidi="or-IN"/>
    </w:rPr>
  </w:style>
  <w:style w:type="paragraph" w:styleId="Ttulo1">
    <w:name w:val="heading 1"/>
    <w:basedOn w:val="Normal"/>
    <w:link w:val="Ttulo1Car"/>
    <w:uiPriority w:val="1"/>
    <w:qFormat/>
    <w:rsid w:val="00FD3BE0"/>
    <w:pPr>
      <w:widowControl w:val="0"/>
      <w:ind w:left="105"/>
      <w:outlineLvl w:val="0"/>
    </w:pPr>
    <w:rPr>
      <w:rFonts w:cstheme="minorBidi"/>
      <w:b/>
      <w:bCs/>
      <w:sz w:val="22"/>
      <w:szCs w:val="22"/>
      <w:lang w:val="en-US"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406B"/>
    <w:pPr>
      <w:tabs>
        <w:tab w:val="center" w:pos="4252"/>
        <w:tab w:val="right" w:pos="8504"/>
      </w:tabs>
    </w:pPr>
    <w:rPr>
      <w:rFonts w:asciiTheme="minorHAnsi" w:eastAsiaTheme="minorHAnsi" w:hAnsiTheme="minorHAnsi" w:cstheme="minorBidi"/>
      <w:sz w:val="22"/>
      <w:szCs w:val="22"/>
      <w:lang w:val="es-ES" w:eastAsia="en-US" w:bidi="ar-SA"/>
    </w:rPr>
  </w:style>
  <w:style w:type="character" w:customStyle="1" w:styleId="EncabezadoCar">
    <w:name w:val="Encabezado Car"/>
    <w:basedOn w:val="Fuentedeprrafopredeter"/>
    <w:link w:val="Encabezado"/>
    <w:uiPriority w:val="99"/>
    <w:rsid w:val="00A5406B"/>
  </w:style>
  <w:style w:type="paragraph" w:styleId="Piedepgina">
    <w:name w:val="footer"/>
    <w:basedOn w:val="Normal"/>
    <w:link w:val="PiedepginaCar"/>
    <w:unhideWhenUsed/>
    <w:rsid w:val="00A5406B"/>
    <w:pPr>
      <w:tabs>
        <w:tab w:val="center" w:pos="4252"/>
        <w:tab w:val="right" w:pos="8504"/>
      </w:tabs>
    </w:pPr>
    <w:rPr>
      <w:rFonts w:asciiTheme="minorHAnsi" w:eastAsiaTheme="minorHAnsi" w:hAnsiTheme="minorHAnsi" w:cstheme="minorBidi"/>
      <w:sz w:val="22"/>
      <w:szCs w:val="22"/>
      <w:lang w:val="es-ES" w:eastAsia="en-US" w:bidi="ar-SA"/>
    </w:rPr>
  </w:style>
  <w:style w:type="character" w:customStyle="1" w:styleId="PiedepginaCar">
    <w:name w:val="Pie de página Car"/>
    <w:basedOn w:val="Fuentedeprrafopredeter"/>
    <w:link w:val="Piedepgina"/>
    <w:uiPriority w:val="99"/>
    <w:rsid w:val="00A5406B"/>
  </w:style>
  <w:style w:type="paragraph" w:styleId="Textodeglobo">
    <w:name w:val="Balloon Text"/>
    <w:basedOn w:val="Normal"/>
    <w:link w:val="TextodegloboCar"/>
    <w:uiPriority w:val="99"/>
    <w:semiHidden/>
    <w:unhideWhenUsed/>
    <w:rsid w:val="00A5406B"/>
    <w:rPr>
      <w:rFonts w:ascii="Tahoma" w:eastAsiaTheme="minorHAnsi" w:hAnsi="Tahoma" w:cs="Tahoma"/>
      <w:sz w:val="16"/>
      <w:szCs w:val="16"/>
      <w:lang w:val="es-ES" w:eastAsia="en-US" w:bidi="ar-SA"/>
    </w:rPr>
  </w:style>
  <w:style w:type="character" w:customStyle="1" w:styleId="TextodegloboCar">
    <w:name w:val="Texto de globo Car"/>
    <w:basedOn w:val="Fuentedeprrafopredeter"/>
    <w:link w:val="Textodeglobo"/>
    <w:uiPriority w:val="99"/>
    <w:semiHidden/>
    <w:rsid w:val="00A5406B"/>
    <w:rPr>
      <w:rFonts w:ascii="Tahoma" w:hAnsi="Tahoma" w:cs="Tahoma"/>
      <w:sz w:val="16"/>
      <w:szCs w:val="16"/>
    </w:rPr>
  </w:style>
  <w:style w:type="paragraph" w:customStyle="1" w:styleId="txtprincipal">
    <w:name w:val="txtprincipal"/>
    <w:basedOn w:val="Normal"/>
    <w:rsid w:val="00C301D0"/>
    <w:pPr>
      <w:spacing w:before="100" w:beforeAutospacing="1" w:after="100" w:afterAutospacing="1"/>
    </w:pPr>
    <w:rPr>
      <w:rFonts w:cs="Times New Roman"/>
      <w:sz w:val="24"/>
      <w:szCs w:val="24"/>
      <w:lang w:val="es-ES" w:bidi="ar-SA"/>
    </w:rPr>
  </w:style>
  <w:style w:type="character" w:customStyle="1" w:styleId="Ttulo1Car">
    <w:name w:val="Título 1 Car"/>
    <w:basedOn w:val="Fuentedeprrafopredeter"/>
    <w:link w:val="Ttulo1"/>
    <w:uiPriority w:val="1"/>
    <w:rsid w:val="00FD3BE0"/>
    <w:rPr>
      <w:rFonts w:ascii="Times New Roman" w:eastAsia="Times New Roman" w:hAnsi="Times New Roman"/>
      <w:b/>
      <w:bCs/>
      <w:lang w:val="en-US"/>
    </w:rPr>
  </w:style>
  <w:style w:type="table" w:customStyle="1" w:styleId="TableNormal">
    <w:name w:val="Table Normal"/>
    <w:uiPriority w:val="2"/>
    <w:semiHidden/>
    <w:unhideWhenUsed/>
    <w:qFormat/>
    <w:rsid w:val="00FD3BE0"/>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D3BE0"/>
    <w:pPr>
      <w:widowControl w:val="0"/>
      <w:ind w:left="101"/>
    </w:pPr>
    <w:rPr>
      <w:rFonts w:cstheme="minorBidi"/>
      <w:sz w:val="22"/>
      <w:szCs w:val="22"/>
      <w:lang w:val="en-US" w:eastAsia="en-US" w:bidi="ar-SA"/>
    </w:rPr>
  </w:style>
  <w:style w:type="character" w:customStyle="1" w:styleId="TextoindependienteCar">
    <w:name w:val="Texto independiente Car"/>
    <w:basedOn w:val="Fuentedeprrafopredeter"/>
    <w:link w:val="Textoindependiente"/>
    <w:uiPriority w:val="1"/>
    <w:rsid w:val="00FD3BE0"/>
    <w:rPr>
      <w:rFonts w:ascii="Times New Roman" w:eastAsia="Times New Roman" w:hAnsi="Times New Roman"/>
      <w:lang w:val="en-US"/>
    </w:rPr>
  </w:style>
  <w:style w:type="paragraph" w:styleId="Prrafodelista">
    <w:name w:val="List Paragraph"/>
    <w:basedOn w:val="Normal"/>
    <w:uiPriority w:val="1"/>
    <w:qFormat/>
    <w:rsid w:val="00FD3BE0"/>
    <w:pPr>
      <w:widowControl w:val="0"/>
    </w:pPr>
    <w:rPr>
      <w:rFonts w:asciiTheme="minorHAnsi" w:eastAsiaTheme="minorHAnsi" w:hAnsiTheme="minorHAnsi" w:cstheme="minorBidi"/>
      <w:sz w:val="22"/>
      <w:szCs w:val="22"/>
      <w:lang w:val="en-US" w:eastAsia="en-US" w:bidi="ar-SA"/>
    </w:rPr>
  </w:style>
  <w:style w:type="paragraph" w:customStyle="1" w:styleId="TableParagraph">
    <w:name w:val="Table Paragraph"/>
    <w:basedOn w:val="Normal"/>
    <w:uiPriority w:val="1"/>
    <w:qFormat/>
    <w:rsid w:val="00FD3BE0"/>
    <w:pPr>
      <w:widowControl w:val="0"/>
    </w:pPr>
    <w:rPr>
      <w:rFonts w:asciiTheme="minorHAnsi" w:eastAsiaTheme="minorHAnsi" w:hAnsiTheme="minorHAnsi" w:cstheme="minorBidi"/>
      <w:sz w:val="22"/>
      <w:szCs w:val="22"/>
      <w:lang w:val="en-US" w:eastAsia="en-US" w:bidi="ar-SA"/>
    </w:rPr>
  </w:style>
  <w:style w:type="paragraph" w:styleId="Textocomentario">
    <w:name w:val="annotation text"/>
    <w:basedOn w:val="Normal"/>
    <w:link w:val="TextocomentarioCar"/>
    <w:uiPriority w:val="99"/>
    <w:semiHidden/>
    <w:unhideWhenUsed/>
    <w:rsid w:val="00FD3BE0"/>
    <w:pPr>
      <w:spacing w:after="200"/>
    </w:pPr>
    <w:rPr>
      <w:rFonts w:asciiTheme="minorHAnsi" w:eastAsiaTheme="minorHAnsi" w:hAnsiTheme="minorHAnsi" w:cstheme="minorBidi"/>
      <w:lang w:val="es-ES" w:eastAsia="en-US" w:bidi="ar-SA"/>
    </w:rPr>
  </w:style>
  <w:style w:type="character" w:customStyle="1" w:styleId="TextocomentarioCar">
    <w:name w:val="Texto comentario Car"/>
    <w:basedOn w:val="Fuentedeprrafopredeter"/>
    <w:link w:val="Textocomentario"/>
    <w:uiPriority w:val="99"/>
    <w:semiHidden/>
    <w:rsid w:val="00FD3BE0"/>
    <w:rPr>
      <w:sz w:val="20"/>
      <w:szCs w:val="20"/>
    </w:rPr>
  </w:style>
  <w:style w:type="table" w:styleId="Tablaconcuadrcula">
    <w:name w:val="Table Grid"/>
    <w:basedOn w:val="Tablanormal"/>
    <w:uiPriority w:val="59"/>
    <w:rsid w:val="005E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semiHidden/>
    <w:rsid w:val="003D3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1961">
      <w:bodyDiv w:val="1"/>
      <w:marLeft w:val="0"/>
      <w:marRight w:val="0"/>
      <w:marTop w:val="0"/>
      <w:marBottom w:val="0"/>
      <w:divBdr>
        <w:top w:val="none" w:sz="0" w:space="0" w:color="auto"/>
        <w:left w:val="none" w:sz="0" w:space="0" w:color="auto"/>
        <w:bottom w:val="none" w:sz="0" w:space="0" w:color="auto"/>
        <w:right w:val="none" w:sz="0" w:space="0" w:color="auto"/>
      </w:divBdr>
      <w:divsChild>
        <w:div w:id="376782401">
          <w:marLeft w:val="0"/>
          <w:marRight w:val="0"/>
          <w:marTop w:val="0"/>
          <w:marBottom w:val="0"/>
          <w:divBdr>
            <w:top w:val="none" w:sz="0" w:space="0" w:color="auto"/>
            <w:left w:val="none" w:sz="0" w:space="0" w:color="auto"/>
            <w:bottom w:val="none" w:sz="0" w:space="0" w:color="auto"/>
            <w:right w:val="none" w:sz="0" w:space="0" w:color="auto"/>
          </w:divBdr>
          <w:divsChild>
            <w:div w:id="1703021055">
              <w:marLeft w:val="0"/>
              <w:marRight w:val="0"/>
              <w:marTop w:val="150"/>
              <w:marBottom w:val="0"/>
              <w:divBdr>
                <w:top w:val="none" w:sz="0" w:space="0" w:color="auto"/>
                <w:left w:val="none" w:sz="0" w:space="0" w:color="auto"/>
                <w:bottom w:val="none" w:sz="0" w:space="0" w:color="auto"/>
                <w:right w:val="none" w:sz="0" w:space="0" w:color="auto"/>
              </w:divBdr>
              <w:divsChild>
                <w:div w:id="5456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882</Words>
  <Characters>4856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Lopez de Heredia Lopez de Vicuña, Elena</cp:lastModifiedBy>
  <cp:revision>15</cp:revision>
  <dcterms:created xsi:type="dcterms:W3CDTF">2021-04-29T12:31:00Z</dcterms:created>
  <dcterms:modified xsi:type="dcterms:W3CDTF">2026-05-04T13:59:00Z</dcterms:modified>
</cp:coreProperties>
</file>