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0215" w14:textId="77777777" w:rsidR="00B64085" w:rsidRPr="00583304" w:rsidRDefault="00672959" w:rsidP="00583304">
      <w:pPr>
        <w:pStyle w:val="Ttulo3"/>
        <w:spacing w:before="0" w:after="240"/>
        <w:rPr>
          <w:rFonts w:cs="Times New Roman"/>
          <w:sz w:val="22"/>
          <w:szCs w:val="22"/>
        </w:rPr>
      </w:pPr>
      <w:r w:rsidRPr="00583304">
        <w:rPr>
          <w:rFonts w:cs="Times New Roman"/>
          <w:bCs/>
          <w:sz w:val="22"/>
          <w:szCs w:val="22"/>
          <w:lang w:val="eu-ES"/>
        </w:rPr>
        <w:t>PRESA FISKALEKO DEKRETU ARAUEMAILEA</w:t>
      </w:r>
    </w:p>
    <w:p w14:paraId="22DED9D7" w14:textId="77777777" w:rsidR="001557CD" w:rsidRPr="00583304" w:rsidRDefault="00672959" w:rsidP="00583304">
      <w:pPr>
        <w:tabs>
          <w:tab w:val="right" w:pos="8789"/>
        </w:tabs>
        <w:spacing w:after="240"/>
        <w:rPr>
          <w:rFonts w:cs="Times New Roman"/>
          <w:sz w:val="22"/>
          <w:szCs w:val="22"/>
          <w:lang w:val="es-ES"/>
        </w:rPr>
      </w:pPr>
      <w:r w:rsidRPr="00583304">
        <w:rPr>
          <w:rFonts w:cs="Times New Roman"/>
          <w:sz w:val="22"/>
          <w:szCs w:val="22"/>
          <w:lang w:val="eu-ES"/>
        </w:rPr>
        <w:t xml:space="preserve">Ogasun, Finantza eta Aurrekontu Saila </w:t>
      </w:r>
      <w:r w:rsidRPr="00583304">
        <w:rPr>
          <w:rFonts w:cs="Times New Roman"/>
          <w:sz w:val="22"/>
          <w:szCs w:val="22"/>
          <w:lang w:val="eu-ES"/>
        </w:rPr>
        <w:br/>
        <w:t>Zerga Araudiaren Zerbitzua</w:t>
      </w:r>
      <w:r w:rsidRPr="00583304">
        <w:rPr>
          <w:rFonts w:cs="Times New Roman"/>
          <w:sz w:val="22"/>
          <w:szCs w:val="22"/>
          <w:lang w:val="eu-ES"/>
        </w:rPr>
        <w:br/>
        <w:t>Esp. zk.: 60/2026</w:t>
      </w:r>
    </w:p>
    <w:p w14:paraId="5A57CA65" w14:textId="77777777" w:rsidR="00CC0E16" w:rsidRPr="00583304" w:rsidRDefault="00672959" w:rsidP="00583304">
      <w:pPr>
        <w:spacing w:after="240"/>
        <w:jc w:val="both"/>
        <w:rPr>
          <w:rFonts w:cs="Times New Roman"/>
          <w:b/>
          <w:sz w:val="22"/>
          <w:szCs w:val="22"/>
          <w:lang w:val="es-ES"/>
        </w:rPr>
      </w:pPr>
      <w:r w:rsidRPr="00583304">
        <w:rPr>
          <w:rFonts w:cs="Times New Roman"/>
          <w:b/>
          <w:bCs/>
          <w:sz w:val="22"/>
          <w:szCs w:val="22"/>
          <w:lang w:val="eu-ES"/>
        </w:rPr>
        <w:t>Onespena ematea Ekialde Ertaineko krisiaren ondoriozko egoera ekonomikoari erantzuteko premiazko zerga neurriei.</w:t>
      </w:r>
      <w:bookmarkStart w:id="0" w:name="_Hlk226534982"/>
    </w:p>
    <w:bookmarkEnd w:id="0"/>
    <w:p w14:paraId="74FC74DB" w14:textId="77777777" w:rsidR="00CC0E16"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Egungo egoera ekonomikoa dela-eta, komeni da premiazko zerga neurriak hartzea, zerga betebeharrak betetzea errazteko eta jarduera ekonomikoak egiten dituzten zergapekoen likidezia hobetzeko.</w:t>
      </w:r>
    </w:p>
    <w:p w14:paraId="141BF28B" w14:textId="77777777" w:rsidR="00CC0E16"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Testuinguru horretan, zerga zorrak geroratzeko eta zatikatzeko salbuespenezko araubide bat ezartzen du presa fiskaleko dekretu arauemaile honek, berandutze interesik sortu gabe eta bermerik eskatu gabe, zergadunen altxortegi beharrei berehala erantzuteko.</w:t>
      </w:r>
    </w:p>
    <w:p w14:paraId="0F347113" w14:textId="77777777" w:rsidR="00CC0E16"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Era berean, zenbait neurri sartzen dira pertsona fisikoen errentaren gaineko zergaren esparruan, hala nola aldi jakin bati dagokion ordainketa zatikatua ezin galdatzea. Horrez gain, pizgarriak emateko neurriak txertatzen dira sozietateen gaineko zergan, enplegua sortze eta enpresa inbertsioa sustatze aldera.</w:t>
      </w:r>
    </w:p>
    <w:p w14:paraId="69E2B0AE" w14:textId="77777777" w:rsidR="00CC0E16"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Era berean, aldaketak egiten dira ondare eskualdaketa eta egintza juridiko dokumentatuen gaineko zergaren araudian, energia aurrezkien eskualdaketei dagokienez, bai eta jarduera ekonomikoen gaineko zergaren tarifak aplikatzeko Jarraibidean ere, zerga sistemaren segurtasun juridikoa eta koherentzia indartzeko.</w:t>
      </w:r>
    </w:p>
    <w:p w14:paraId="38A0E7B1" w14:textId="77777777" w:rsidR="00B64085" w:rsidRPr="00583304" w:rsidRDefault="00672959" w:rsidP="00583304">
      <w:pPr>
        <w:spacing w:after="240"/>
        <w:jc w:val="both"/>
        <w:rPr>
          <w:rFonts w:cs="Times New Roman"/>
          <w:sz w:val="22"/>
          <w:szCs w:val="22"/>
          <w:lang w:val="es-ES"/>
        </w:rPr>
      </w:pPr>
      <w:r w:rsidRPr="00583304">
        <w:rPr>
          <w:rFonts w:cs="Times New Roman"/>
          <w:sz w:val="22"/>
          <w:szCs w:val="22"/>
          <w:lang w:val="eu-ES"/>
        </w:rPr>
        <w:t>Zerga Araudiaren Zerbitzuak horretarako emandako arau eraginari buruzko txosten laburtua ikusi da.</w:t>
      </w:r>
    </w:p>
    <w:p w14:paraId="0FE53B09" w14:textId="77777777" w:rsidR="009E15C1" w:rsidRPr="00583304" w:rsidRDefault="00672959" w:rsidP="00583304">
      <w:pPr>
        <w:spacing w:after="240"/>
        <w:jc w:val="both"/>
        <w:rPr>
          <w:rFonts w:cs="Times New Roman"/>
          <w:sz w:val="22"/>
          <w:szCs w:val="22"/>
        </w:rPr>
      </w:pPr>
      <w:r w:rsidRPr="00583304">
        <w:rPr>
          <w:rFonts w:cs="Times New Roman"/>
          <w:sz w:val="22"/>
          <w:szCs w:val="22"/>
          <w:lang w:val="eu-ES"/>
        </w:rPr>
        <w:t xml:space="preserve">Horregatik, bigarren diputatu nagusiorde eta Ogasun, Finantza eta Aurrekontu Sailaren foru diputatu arduradunak proposatuta, eta Foru Gobernu Kontseiluak gaur bertan egindako bilkuran gaia aztertu ondoren, eta Arabako Zergei buruzko otsailaren 28ko 6/2005 Foru Arau Orokorraren 8. artikuluak eta Arabako Foru Aldundiaren Gobernuari, Antolaketari eta Araubide Juridikoari buruzko martxoaren 15eko 10/2023 Foru Arauak foru aldundiari ematen dizkioten eskudantziak erabiliz, presako arrazoiengatik, </w:t>
      </w:r>
    </w:p>
    <w:p w14:paraId="6816718E" w14:textId="77777777" w:rsidR="00B64085" w:rsidRPr="00583304" w:rsidRDefault="00672959" w:rsidP="00583304">
      <w:pPr>
        <w:pStyle w:val="Ttulo1"/>
        <w:keepNext w:val="0"/>
        <w:spacing w:before="0" w:after="240"/>
        <w:rPr>
          <w:rFonts w:ascii="Times New Roman" w:hAnsi="Times New Roman" w:cs="Times New Roman"/>
          <w:bCs w:val="0"/>
          <w:lang w:val="es-ES"/>
        </w:rPr>
      </w:pPr>
      <w:r w:rsidRPr="00583304">
        <w:rPr>
          <w:rFonts w:ascii="Times New Roman" w:hAnsi="Times New Roman" w:cs="Times New Roman"/>
          <w:bCs w:val="0"/>
          <w:lang w:val="eu-ES"/>
        </w:rPr>
        <w:t>XEDATZEN DUT:</w:t>
      </w:r>
    </w:p>
    <w:p w14:paraId="400F31A6" w14:textId="77777777" w:rsidR="00B045D6" w:rsidRPr="00583304" w:rsidRDefault="00672959" w:rsidP="00583304">
      <w:pPr>
        <w:spacing w:after="240"/>
        <w:jc w:val="both"/>
        <w:rPr>
          <w:rFonts w:cs="Times New Roman"/>
          <w:b/>
          <w:sz w:val="22"/>
          <w:szCs w:val="22"/>
          <w:lang w:val="es-ES"/>
        </w:rPr>
      </w:pPr>
      <w:bookmarkStart w:id="1" w:name="_Hlk225421794"/>
      <w:r w:rsidRPr="00583304">
        <w:rPr>
          <w:rFonts w:cs="Times New Roman"/>
          <w:b/>
          <w:bCs/>
          <w:sz w:val="22"/>
          <w:szCs w:val="22"/>
          <w:lang w:val="eu-ES"/>
        </w:rPr>
        <w:t>1. artikulua. Zerga zorrak salbuespenez geroratzea eta zatikatzea.</w:t>
      </w:r>
    </w:p>
    <w:p w14:paraId="21F077B6" w14:textId="77777777" w:rsidR="00B045D6" w:rsidRPr="00583304" w:rsidRDefault="00672959" w:rsidP="00583304">
      <w:pPr>
        <w:spacing w:after="240"/>
        <w:jc w:val="both"/>
        <w:rPr>
          <w:rFonts w:cs="Times New Roman"/>
          <w:bCs/>
          <w:color w:val="000000" w:themeColor="text1"/>
          <w:sz w:val="22"/>
          <w:szCs w:val="22"/>
          <w:lang w:val="es-ES"/>
        </w:rPr>
      </w:pPr>
      <w:r w:rsidRPr="00583304">
        <w:rPr>
          <w:rFonts w:cs="Times New Roman"/>
          <w:color w:val="000000"/>
          <w:sz w:val="22"/>
          <w:szCs w:val="22"/>
          <w:lang w:val="eu-ES"/>
        </w:rPr>
        <w:t>1. Zergapekoen zerga zorrak, hilero edo hiru hilean behin egindako autolikidazioen ondoriozkoak, salbuespenez geroratu eta zatitu ahal izango dira, baldin eta haiek aurkezteko eta borondatez ordaintzeko epea 2026ko apirilaren 20tik 2026ko uztailaren 20ra bitartean amaitzen bada, bermea eman beharrik eta berandutze interesak sortu beharrik gabe, artikulu honetan aurreikusitako baldintzetan.</w:t>
      </w:r>
    </w:p>
    <w:p w14:paraId="212D42C2" w14:textId="77777777" w:rsidR="0051173C" w:rsidRPr="00583304" w:rsidRDefault="00672959" w:rsidP="00583304">
      <w:pPr>
        <w:spacing w:after="240"/>
        <w:jc w:val="both"/>
        <w:rPr>
          <w:rFonts w:cs="Times New Roman"/>
          <w:bCs/>
          <w:color w:val="000000" w:themeColor="text1"/>
          <w:sz w:val="22"/>
          <w:szCs w:val="22"/>
          <w:lang w:val="es-ES"/>
        </w:rPr>
      </w:pPr>
      <w:r w:rsidRPr="00583304">
        <w:rPr>
          <w:rFonts w:cs="Times New Roman"/>
          <w:bCs/>
          <w:color w:val="000000"/>
          <w:sz w:val="22"/>
          <w:szCs w:val="22"/>
          <w:lang w:val="eu-ES"/>
        </w:rPr>
        <w:t>Ondorio horietarako, ez dira sartuko borondatezko aldian aurkezteko eta ordaintzeko epea 2026ko uztailaren 20tik aurrera amaitzen zaien zorrak, nahiz eta autolikidazioa egun hori baino lehen aurkeztuta egon.</w:t>
      </w:r>
    </w:p>
    <w:p w14:paraId="6066C472" w14:textId="77777777" w:rsidR="00952327" w:rsidRPr="00583304" w:rsidRDefault="00672959" w:rsidP="00583304">
      <w:pPr>
        <w:spacing w:after="240"/>
        <w:jc w:val="both"/>
        <w:rPr>
          <w:rFonts w:cs="Times New Roman"/>
          <w:bCs/>
          <w:color w:val="000000" w:themeColor="text1"/>
          <w:sz w:val="22"/>
          <w:szCs w:val="22"/>
          <w:lang w:val="es-ES"/>
        </w:rPr>
      </w:pPr>
      <w:r w:rsidRPr="00583304">
        <w:rPr>
          <w:rFonts w:cs="Times New Roman"/>
          <w:bCs/>
          <w:color w:val="000000"/>
          <w:sz w:val="22"/>
          <w:szCs w:val="22"/>
          <w:lang w:val="eu-ES"/>
        </w:rPr>
        <w:lastRenderedPageBreak/>
        <w:t xml:space="preserve">Neurri honen onuradun izango dira jarduera ekonomikoak egiten dituzten pertsona fisikoen errentaren gaineko zergaren zergadun diren pertsona fisikoak, baldin eta jarduera horiek haien errenta iturri nagusi badira. Halaber, onuradun izango dira balio erantsiaren gaineko zergari lotutako eta zergatik salbuetsita ez dauden higiezinen errentamendutik sortutako kapital higiezinetik etekinak lortzen dituztenak. </w:t>
      </w:r>
      <w:r w:rsidRPr="00583304">
        <w:rPr>
          <w:rFonts w:cs="Times New Roman"/>
          <w:bCs/>
          <w:color w:val="000000"/>
          <w:sz w:val="22"/>
          <w:szCs w:val="22"/>
          <w:lang w:val="eu-ES"/>
        </w:rPr>
        <w:t xml:space="preserve"> </w:t>
      </w:r>
    </w:p>
    <w:p w14:paraId="618B3D8D" w14:textId="77777777" w:rsidR="0051173C" w:rsidRPr="00583304" w:rsidRDefault="00672959" w:rsidP="00583304">
      <w:pPr>
        <w:spacing w:after="240"/>
        <w:jc w:val="both"/>
        <w:rPr>
          <w:rFonts w:cs="Times New Roman"/>
          <w:bCs/>
          <w:color w:val="000000" w:themeColor="text1"/>
          <w:sz w:val="22"/>
          <w:szCs w:val="22"/>
          <w:lang w:val="es-ES"/>
        </w:rPr>
      </w:pPr>
      <w:r w:rsidRPr="00583304">
        <w:rPr>
          <w:rFonts w:cs="Times New Roman"/>
          <w:bCs/>
          <w:color w:val="000000"/>
          <w:sz w:val="22"/>
          <w:szCs w:val="22"/>
          <w:lang w:val="eu-ES"/>
        </w:rPr>
        <w:t>Era berean, neurri horri heldu ahal izango diote jarduera ekonomikoak egiten eta errentak eratxikitzeko araubidean dauden entitateek, baldin eta haien bazkide, oinordeko, erkide edo partaide guztiak pertsona fisikoak badira eta entitateak Sozietateen gaineko Zergari buruzko abenduaren 13ko 37/2013 Foru Arauaren 13. artikuluan aurreikusitako baldintzak betetzen baditu mikroenpresa edo enpresa txiki izateko.</w:t>
      </w:r>
      <w:r w:rsidRPr="00583304">
        <w:rPr>
          <w:rFonts w:cs="Times New Roman"/>
          <w:bCs/>
          <w:color w:val="000000"/>
          <w:sz w:val="22"/>
          <w:szCs w:val="22"/>
          <w:lang w:val="eu-ES"/>
        </w:rPr>
        <w:t xml:space="preserve"> </w:t>
      </w:r>
    </w:p>
    <w:p w14:paraId="35C538E5" w14:textId="77777777" w:rsidR="00952327"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Era berean, neurri horri heldu ahal izango diote aipatutako 13. artikuluan xedatutakoaren arabera izaera hori duten mikroenpresek eta enpresa txikiek.</w:t>
      </w:r>
    </w:p>
    <w:p w14:paraId="6A246788" w14:textId="77777777" w:rsidR="0051173C"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Kasu guztietan, zergapekoek egunean izan beharko dituzte zerga betebeharrak.</w:t>
      </w:r>
    </w:p>
    <w:p w14:paraId="11A4AB0B" w14:textId="77777777" w:rsidR="00952327"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Paragrafo honetan xedatutakoaren ondorioetarako, jarduera bat errenta iturri nagusitzat hartuko da zergadunaren pertsona fisikoen errentaren gaineko zergaren zerga oinarri osoaren ehuneko 50 baino gehiago jarduera horretatik datorrenean.</w:t>
      </w:r>
    </w:p>
    <w:p w14:paraId="75428847" w14:textId="77777777" w:rsidR="00952327" w:rsidRPr="00583304" w:rsidRDefault="00672959" w:rsidP="00583304">
      <w:pPr>
        <w:spacing w:after="240"/>
        <w:jc w:val="both"/>
        <w:rPr>
          <w:rFonts w:cs="Times New Roman"/>
          <w:bCs/>
          <w:sz w:val="22"/>
          <w:szCs w:val="22"/>
        </w:rPr>
      </w:pPr>
      <w:r w:rsidRPr="00583304">
        <w:rPr>
          <w:rFonts w:cs="Times New Roman"/>
          <w:bCs/>
          <w:sz w:val="22"/>
          <w:szCs w:val="22"/>
          <w:lang w:val="eu-ES"/>
        </w:rPr>
        <w:t>2. Neurri honetatik kanpo geratzen dira jokoaren gaineko zergetako zorrak, Estatuaren laguntzak berreskuratzeko erabakiak betearaztearen ondoriozkoak, bai eta pertsona fisikoen errentaren gaineko zergari, ondarearen gaineko zergari, fortuna handien aldi baterako elkartasun zergari, sozietateen gaineko zergari eta establezimendu iraunkorra duten ez-egoiliarren errentaren gaineko zergari dagozkienak ere.</w:t>
      </w:r>
    </w:p>
    <w:p w14:paraId="14731058" w14:textId="77777777" w:rsidR="00952327"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Era berean, kanpoan geratzen dira konkurtso legeriaren arabera masaren aurkako kreditutzat hartzen diren zorrak.</w:t>
      </w:r>
    </w:p>
    <w:p w14:paraId="1D46BFE3" w14:textId="77777777" w:rsidR="00E9089B"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3. Salbuespenezko zatikatze eskaera autolikidazioa aurkezten den unean egin beharko da, zerga administrazioak gaitutako bitarteko elektronikoen bidez.</w:t>
      </w:r>
    </w:p>
    <w:p w14:paraId="3E3C189E" w14:textId="77777777" w:rsidR="00B85158" w:rsidRPr="00583304" w:rsidRDefault="00672959" w:rsidP="00583304">
      <w:pPr>
        <w:spacing w:after="240"/>
        <w:jc w:val="both"/>
        <w:rPr>
          <w:rFonts w:cs="Times New Roman"/>
          <w:bCs/>
          <w:color w:val="FF0000"/>
          <w:sz w:val="22"/>
          <w:szCs w:val="22"/>
          <w:lang w:val="es-ES"/>
        </w:rPr>
      </w:pPr>
      <w:r w:rsidRPr="00583304">
        <w:rPr>
          <w:rFonts w:cs="Times New Roman"/>
          <w:bCs/>
          <w:color w:val="000000"/>
          <w:sz w:val="22"/>
          <w:szCs w:val="22"/>
          <w:lang w:val="eu-ES"/>
        </w:rPr>
        <w:t xml:space="preserve">Artikulu honetan aurreikusitako baldintzetan aurkeztutako eskaerak zehaztuko du zergapekoak artikulu honetan araututako geroratzea eta zatikatzea aplikatuko duen, zerga administrazioak egiaztatzeko eta kontrolatzeko dituen ahalmenak eragotzita egon gabe. </w:t>
      </w:r>
      <w:r w:rsidRPr="00583304">
        <w:rPr>
          <w:rFonts w:cs="Times New Roman"/>
          <w:bCs/>
          <w:sz w:val="22"/>
          <w:szCs w:val="22"/>
          <w:lang w:val="eu-ES"/>
        </w:rPr>
        <w:t xml:space="preserve"> </w:t>
      </w:r>
    </w:p>
    <w:p w14:paraId="2289453C" w14:textId="77777777" w:rsidR="00E9089B"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4. Artikulu honetan arautzen den salbuespenezko zatikapena artikuluan bertan xedatutakoaren arabera arautuko da, eta ez da aplikatuko zerga bilketako araudian aurreikusitako geroratzeen eta zatikatzeen araubide orokorra, salbuespeneko izaerarekin bat ez datozen alderdietan izan ezik.</w:t>
      </w:r>
    </w:p>
    <w:p w14:paraId="0731CE7D" w14:textId="77777777" w:rsidR="00900D7C"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 xml:space="preserve">5. Neurri honi atxikitako zerga zorrak bi hilabetez geroratuko dira, aurkezteko eta ordaintzeko borondatezko epea amaitzen denetik zenbatzen hasita, eta ez da berandutze interesik sortuko ezta bermerik eskatuko. </w:t>
      </w:r>
    </w:p>
    <w:p w14:paraId="1CCB5406" w14:textId="77777777" w:rsidR="00900D7C"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Geroratze aldi hori amaitutakoan, zorra zenbateko bereko lau kuotatan zatikatuta ordaindu beharko da lau hilabetetan, berandutze interesik sortu gabe eta bermeak eskatu gabe, eta epemuga hilabete bakoitzaren 10ean izango da.</w:t>
      </w:r>
    </w:p>
    <w:p w14:paraId="3F633003" w14:textId="77777777" w:rsidR="009D0DE5"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Lehenengo kuotaren epemuga geroratze aldia amaitu ondorengo hilaren 10ean izango da.</w:t>
      </w:r>
    </w:p>
    <w:p w14:paraId="5B35C804" w14:textId="77777777" w:rsidR="009D0DE5"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lastRenderedPageBreak/>
        <w:t xml:space="preserve">Zorraren zenbateko osoaren zatiketak zenbateko bereko kuotak zehaztea ahalbidetzen ez badu, dagokion doikuntza egingo da azken kuotan, zorraren kitapen osoa bermatzeko. </w:t>
      </w:r>
    </w:p>
    <w:p w14:paraId="394734FE" w14:textId="77777777" w:rsidR="00E6167C" w:rsidRPr="00583304" w:rsidRDefault="00672959" w:rsidP="00583304">
      <w:pPr>
        <w:spacing w:after="240"/>
        <w:jc w:val="both"/>
        <w:rPr>
          <w:rFonts w:cs="Times New Roman"/>
          <w:bCs/>
          <w:color w:val="000000" w:themeColor="text1"/>
          <w:sz w:val="22"/>
          <w:szCs w:val="22"/>
          <w:lang w:val="es-ES"/>
        </w:rPr>
      </w:pPr>
      <w:r w:rsidRPr="00583304">
        <w:rPr>
          <w:rFonts w:cs="Times New Roman"/>
          <w:bCs/>
          <w:color w:val="000000"/>
          <w:sz w:val="22"/>
          <w:szCs w:val="22"/>
          <w:lang w:val="eu-ES"/>
        </w:rPr>
        <w:t>6. Zerga administrazioko organoek izango dute eskaerak ebazteko eskumena, zorraren zenbatekoaren arabera, maiatzaren 10eko 48/1994 Foru Dekretuaren bidez onetsitako Arabako Lurralde Historikoko Dirubilketa Erregelamenduan xedatutakoarekin bat etorriz.</w:t>
      </w:r>
      <w:bookmarkStart w:id="2" w:name="_Hlk226547606"/>
      <w:r w:rsidRPr="00583304">
        <w:rPr>
          <w:rFonts w:cs="Times New Roman"/>
          <w:bCs/>
          <w:color w:val="000000"/>
          <w:sz w:val="22"/>
          <w:szCs w:val="22"/>
          <w:lang w:val="eu-ES"/>
        </w:rPr>
        <w:t xml:space="preserve"> </w:t>
      </w:r>
      <w:bookmarkStart w:id="3" w:name="_Hlk226548611"/>
      <w:bookmarkEnd w:id="2"/>
      <w:bookmarkEnd w:id="3"/>
    </w:p>
    <w:p w14:paraId="7BC8D18E" w14:textId="77777777" w:rsidR="003A188C"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7. Ogasun, Finantza eta Aurrekontu diputatua gaitzen da  salbuespenezko zatikatzea behar bezala aplikatzeko behar diren xedapen guztiak eman ditzan, betiere zerga zorren kontrol egokia bermatuz.</w:t>
      </w:r>
      <w:bookmarkEnd w:id="1"/>
    </w:p>
    <w:p w14:paraId="621C3A42" w14:textId="77777777" w:rsidR="00EC1C46" w:rsidRPr="00583304" w:rsidRDefault="00672959" w:rsidP="00583304">
      <w:pPr>
        <w:autoSpaceDE w:val="0"/>
        <w:autoSpaceDN w:val="0"/>
        <w:adjustRightInd w:val="0"/>
        <w:spacing w:after="240"/>
        <w:rPr>
          <w:rFonts w:cs="Times New Roman"/>
          <w:b/>
          <w:bCs/>
          <w:sz w:val="22"/>
          <w:szCs w:val="22"/>
          <w:lang w:bidi="ar-SA"/>
        </w:rPr>
      </w:pPr>
      <w:r w:rsidRPr="00583304">
        <w:rPr>
          <w:rFonts w:eastAsia="TimesNewRomanPS-BoldMT" w:cs="Times New Roman"/>
          <w:b/>
          <w:bCs/>
          <w:sz w:val="22"/>
          <w:szCs w:val="22"/>
          <w:lang w:val="eu-ES" w:bidi="ar-SA"/>
        </w:rPr>
        <w:t>2. artikulua. Enplegua sortzearen kenkaria eta emakumeen eta 36 urtetik beherakoen enplegua sortzearen kenkaria.</w:t>
      </w:r>
    </w:p>
    <w:p w14:paraId="6FF3D19C" w14:textId="77777777" w:rsidR="00EC1C46"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1. Sozietateen gaineko zergaren abenduaren 13ko 37/2013 Foru Arauaren 66. artikuluan aipatzen den enplegua sortzearen kenkariaren zenbatekoa ehuneko 10 handituko da 2026ko urtarrilaren 1etik abenduaren 31ra bitartean egiten diren lan kontratazio mugagabeetan.</w:t>
      </w:r>
    </w:p>
    <w:p w14:paraId="77BD537E" w14:textId="77777777" w:rsidR="00EC1C46"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2. Sozietateen gaineko zergari buruzko abenduaren 13ko 37/2013 Foru Arauaren 66 octies artikuluaren 2. apartatuan aurreikusitako kenkariaren ehunekoa 10 puntu handituko da 2026ko urtarrilaren 1etik abenduaren 31ra bitartean egiten diren kontratazioetan.</w:t>
      </w:r>
    </w:p>
    <w:p w14:paraId="3538F280" w14:textId="77777777" w:rsidR="00406F63" w:rsidRPr="00583304" w:rsidRDefault="00672959" w:rsidP="00583304">
      <w:pPr>
        <w:autoSpaceDE w:val="0"/>
        <w:autoSpaceDN w:val="0"/>
        <w:adjustRightInd w:val="0"/>
        <w:spacing w:after="240"/>
        <w:jc w:val="both"/>
        <w:rPr>
          <w:rFonts w:cs="Times New Roman"/>
          <w:b/>
          <w:bCs/>
          <w:sz w:val="22"/>
          <w:szCs w:val="22"/>
          <w:lang w:val="es-ES" w:bidi="ar-SA"/>
        </w:rPr>
      </w:pPr>
      <w:r w:rsidRPr="00583304">
        <w:rPr>
          <w:rFonts w:eastAsia="TimesNewRomanPSMT" w:cs="Times New Roman"/>
          <w:b/>
          <w:bCs/>
          <w:sz w:val="22"/>
          <w:szCs w:val="22"/>
          <w:lang w:val="eu-ES" w:bidi="ar-SA"/>
        </w:rPr>
        <w:t>3. artikulua. Ordainketa zatikatua.</w:t>
      </w:r>
    </w:p>
    <w:p w14:paraId="64BBD75D" w14:textId="77777777" w:rsidR="002817F8" w:rsidRPr="00583304" w:rsidRDefault="00672959" w:rsidP="00583304">
      <w:pPr>
        <w:spacing w:after="240"/>
        <w:jc w:val="both"/>
        <w:rPr>
          <w:rFonts w:cs="Times New Roman"/>
          <w:sz w:val="22"/>
          <w:szCs w:val="22"/>
        </w:rPr>
      </w:pPr>
      <w:r w:rsidRPr="00583304">
        <w:rPr>
          <w:rFonts w:cs="Times New Roman"/>
          <w:sz w:val="22"/>
          <w:szCs w:val="22"/>
          <w:lang w:val="eu-ES"/>
        </w:rPr>
        <w:t>Arabako Foru Ogasunak ez du likidatuko pertsona fisikoen errentaren gaineko zergaren ordainketa zatikatua, 2026ko lehen hiruhilekoari dagokiona, jarduera ekonomikoak egiten dituzten zergadunei dagokienez, eta, ondorioz, ez dago kontzeptu horrengatik ordaintzeko betebeharrik.</w:t>
      </w:r>
    </w:p>
    <w:p w14:paraId="1541F3D6" w14:textId="77777777" w:rsidR="00270CF7" w:rsidRPr="00583304" w:rsidRDefault="00672959" w:rsidP="00583304">
      <w:pPr>
        <w:spacing w:after="240"/>
        <w:jc w:val="both"/>
        <w:rPr>
          <w:rFonts w:cs="Times New Roman"/>
          <w:sz w:val="22"/>
          <w:szCs w:val="22"/>
        </w:rPr>
      </w:pPr>
      <w:r w:rsidRPr="00583304">
        <w:rPr>
          <w:rFonts w:cs="Times New Roman"/>
          <w:sz w:val="22"/>
          <w:szCs w:val="22"/>
          <w:lang w:val="eu-ES"/>
        </w:rPr>
        <w:t>Artikulu honetan aipatzen den ordainketa zatikatuarekin lotuta zergapekoek egindako diru sarrerak, halakorik badago, baliozkotasunez egindakotzat joko dira eta ez dute aukera emango okerreko diru sarrerak itzultzeko, ez eta berandutze interesak eskatzeko ere.</w:t>
      </w:r>
    </w:p>
    <w:p w14:paraId="1E34258C" w14:textId="77777777" w:rsidR="005E495E" w:rsidRPr="00583304" w:rsidRDefault="00672959" w:rsidP="00583304">
      <w:pPr>
        <w:spacing w:after="240"/>
        <w:jc w:val="both"/>
        <w:rPr>
          <w:rFonts w:cs="Times New Roman"/>
          <w:b/>
          <w:sz w:val="22"/>
          <w:szCs w:val="22"/>
        </w:rPr>
      </w:pPr>
      <w:r w:rsidRPr="00583304">
        <w:rPr>
          <w:rFonts w:cs="Times New Roman"/>
          <w:b/>
          <w:bCs/>
          <w:sz w:val="22"/>
          <w:szCs w:val="22"/>
          <w:lang w:val="eu-ES"/>
        </w:rPr>
        <w:t>4. artikulua. Ezohiko amortizazio azkartua.</w:t>
      </w:r>
    </w:p>
    <w:p w14:paraId="5191264D" w14:textId="77777777" w:rsidR="003A3465"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 xml:space="preserve">Ibilgetu </w:t>
      </w:r>
      <w:r w:rsidRPr="00583304">
        <w:rPr>
          <w:rFonts w:cs="Times New Roman"/>
          <w:bCs/>
          <w:sz w:val="22"/>
          <w:szCs w:val="22"/>
          <w:lang w:val="eu-ES"/>
        </w:rPr>
        <w:t>materialeko elementu berriak, Sozietateen gaineko Zergaren abenduaren 13ko 37/2013 Foru Arauaren 31. artikuluaren 3. apartatuaren a) letran eta d) letraren lehen eta bigarren paragrafoetan adierazitako arauak aplikatzen zaizkien eraikinak eta garraiobideak izan ezik, 2026ko urtarrilaren 1a eta 2026ko abenduaren 31 bitartean eskuratzen badira, martxan jartzen direnetik aurrera amortizatu ahal izango dira, aipatutako foru arauaren 17. artikuluan jasotako taulan aurreikusitako gehieneko amortizazio koefiziente</w:t>
      </w:r>
      <w:r w:rsidRPr="00583304">
        <w:rPr>
          <w:rFonts w:cs="Times New Roman"/>
          <w:bCs/>
          <w:sz w:val="22"/>
          <w:szCs w:val="22"/>
          <w:lang w:val="eu-ES"/>
        </w:rPr>
        <w:t>a bider 1,5 eginda ateratzen den koefizientea aplikatuta.</w:t>
      </w:r>
    </w:p>
    <w:p w14:paraId="48774BE3" w14:textId="77777777" w:rsidR="005E495E" w:rsidRPr="00583304" w:rsidRDefault="00672959" w:rsidP="00583304">
      <w:pPr>
        <w:spacing w:after="240"/>
        <w:jc w:val="both"/>
        <w:rPr>
          <w:rFonts w:cs="Times New Roman"/>
          <w:bCs/>
          <w:sz w:val="22"/>
          <w:szCs w:val="22"/>
          <w:lang w:val="es-ES"/>
        </w:rPr>
      </w:pPr>
      <w:r w:rsidRPr="00583304">
        <w:rPr>
          <w:rFonts w:cs="Times New Roman"/>
          <w:bCs/>
          <w:sz w:val="22"/>
          <w:szCs w:val="22"/>
          <w:lang w:val="eu-ES"/>
        </w:rPr>
        <w:t>Aurreko paragrafoan xedatutakoa enpresak berak eraikitako ibilgetu materialeko elementuei ere aplikatuko zaie, bai eta adierazitako aldian sinatutako obra gauzatzeko kontratu baten bidez enkargatutako elementuei ere, baldin eta kontratuan sinaturik agertzen den zergaldia amaitu eta hurrengo hamabi hilabeteen barruan jartzen bada eskura.</w:t>
      </w:r>
    </w:p>
    <w:p w14:paraId="23A71D3B" w14:textId="77777777" w:rsidR="00D151A7" w:rsidRPr="00583304" w:rsidRDefault="00672959" w:rsidP="00583304">
      <w:pPr>
        <w:autoSpaceDE w:val="0"/>
        <w:autoSpaceDN w:val="0"/>
        <w:adjustRightInd w:val="0"/>
        <w:spacing w:after="240"/>
        <w:jc w:val="both"/>
        <w:rPr>
          <w:rFonts w:cs="Times New Roman"/>
          <w:b/>
          <w:bCs/>
          <w:sz w:val="22"/>
          <w:szCs w:val="22"/>
          <w:lang w:val="es-ES" w:bidi="ar-SA"/>
        </w:rPr>
      </w:pPr>
      <w:r w:rsidRPr="00583304">
        <w:rPr>
          <w:rFonts w:eastAsia="TimesNewRomanPSMT" w:cs="Times New Roman"/>
          <w:b/>
          <w:bCs/>
          <w:sz w:val="22"/>
          <w:szCs w:val="22"/>
          <w:lang w:val="eu-ES" w:bidi="ar-SA"/>
        </w:rPr>
        <w:t>5. artikulua. Ondare eskualdaketen eta egintza juridiko dokumentatuen gaineko zergari buruzko martxoaren 31ko 11/2003 Foru Araua aldatzea</w:t>
      </w:r>
    </w:p>
    <w:p w14:paraId="5D192B23" w14:textId="77777777" w:rsidR="00796BD1"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lastRenderedPageBreak/>
        <w:t xml:space="preserve">Dekretu hau indarrean jartzen den egunetik aurrerako ondorioekin, 54 zenbakia gehitzen zaio Ondare Eskualdaketa eta Egintza Juridiko Dokumentatuen gaineko Zergari buruzko martxoaren 31ko 11/2003 Foru Arauaren 69. artikuluaren Bat B) letrari. Honela geratuko da idatzita: </w:t>
      </w:r>
    </w:p>
    <w:p w14:paraId="2998BB3A"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“54. Aurrezpen energetikoen transmisioak, Energia Aurrezkiaren Ziurtagirien Sistemaren esparruan (Energia Aurrezkiaren Ziurtagirien Sistema ezartzen duen urtarrilaren 24ko 36/2023 Errege Dekretua)."</w:t>
      </w:r>
    </w:p>
    <w:p w14:paraId="63536DEB" w14:textId="77777777" w:rsidR="00524B9B" w:rsidRPr="00583304" w:rsidRDefault="00672959" w:rsidP="00583304">
      <w:pPr>
        <w:autoSpaceDE w:val="0"/>
        <w:autoSpaceDN w:val="0"/>
        <w:adjustRightInd w:val="0"/>
        <w:spacing w:after="240"/>
        <w:jc w:val="both"/>
        <w:rPr>
          <w:rFonts w:cs="Times New Roman"/>
          <w:b/>
          <w:bCs/>
          <w:sz w:val="22"/>
          <w:szCs w:val="22"/>
          <w:lang w:val="es-ES" w:bidi="ar-SA"/>
        </w:rPr>
      </w:pPr>
      <w:r w:rsidRPr="00583304">
        <w:rPr>
          <w:rFonts w:eastAsia="TimesNewRomanPSMT" w:cs="Times New Roman"/>
          <w:b/>
          <w:bCs/>
          <w:sz w:val="22"/>
          <w:szCs w:val="22"/>
          <w:lang w:val="eu-ES" w:bidi="ar-SA"/>
        </w:rPr>
        <w:t>6. artikulua. Uztailaren 23ko 573/1991 Foru Dekretu Arauemailearen bidez onetsi ziren jarduera ekonomikoen gaineko zergaren tarifak aplikatzeko jarraibidea aldatzea.</w:t>
      </w:r>
    </w:p>
    <w:p w14:paraId="12ACC603" w14:textId="77777777" w:rsidR="00AF4922"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Jarduera ekonomikoen gaineko zergaren tarifak eta haiek aplikatzeko jarraibidea onesten dituen uztailaren 23ko 573/1991 Foru Dekretu Arauemailearen bidez onetsi ziren jarduera ekonomikoen gaineko zergaren tarifak aplikatzeko Jarraibidearen 14. arauaren 1. apartatuaren A) letra aldatzen da, zeina III. eranskinaren III. kapituluan baitago. Honela geratzen da idatzita:</w:t>
      </w:r>
    </w:p>
    <w:p w14:paraId="09351B50"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"A) Potentzia instalatua.</w:t>
      </w:r>
    </w:p>
    <w:p w14:paraId="556584B5"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 xml:space="preserve">Potentzia instalatu zergapegarritzat jotzen da, tipifikatutako arauen arabera, industria ekipamenduari lotutako </w:t>
      </w:r>
      <w:r w:rsidRPr="00583304">
        <w:rPr>
          <w:rFonts w:eastAsia="TimesNewRomanPSMT" w:cs="Times New Roman"/>
          <w:sz w:val="22"/>
          <w:szCs w:val="22"/>
          <w:lang w:val="eu-ES" w:bidi="ar-SA"/>
        </w:rPr>
        <w:t>energia elementu elektriko edo mekanikoen potentzia nominalen baturatik ateratzen dena.</w:t>
      </w:r>
    </w:p>
    <w:p w14:paraId="32A0F9E2"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Beraz, ez dira zenbatuko hurrengo elementuen potentziak: berogailuak, argiak, aire egokitua, kutsaduraren aurkako instalazioak, langileen igogailuak, gizarte zerbitzuak, osasunekoak eta, oro har, ekoizpenari zuzenean loturik ez dauden guztiak, energia elektrikoa eraldatzeko eta errektifikatzeko direnak barne.</w:t>
      </w:r>
    </w:p>
    <w:p w14:paraId="649F1CAE"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Halaber, aipatutako ondorioetarako, ez dira kontuan hartuko erregai solido, likido edo gaseosoz dabiltzan labeak eta galdarak, ez eta labe eta galdara elektrikoak ere.</w:t>
      </w:r>
    </w:p>
    <w:p w14:paraId="471C2749"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Industriaren kuotak kalkulatzeko erabiliko den potentzia fiskala instalatutako potentzia konputagarri osoa kilowattetara pasatzearen emaitza matematikoa izango da, honako baliokidetasun hau aplikatuta: ZP 1 = 0,736 kW.</w:t>
      </w:r>
    </w:p>
    <w:p w14:paraId="1E1C00D3"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Instalatutako benetako potentziaren % 10 kontuan hartuko da proba bankuetan, saiakuntza plataformetan eta antzekoetan instalatutako potentzia zenbatzeko.</w:t>
      </w:r>
    </w:p>
    <w:p w14:paraId="3358684F" w14:textId="77777777" w:rsidR="00D151A7"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Fabrika instalazioetako erreserba ekipoak ez dira zerga elementu baldin eta hala aitortuta badaude zerga administrazioan".</w:t>
      </w:r>
    </w:p>
    <w:p w14:paraId="61A66761" w14:textId="77777777" w:rsidR="00A273DC" w:rsidRPr="00583304" w:rsidRDefault="00672959" w:rsidP="00583304">
      <w:pPr>
        <w:autoSpaceDE w:val="0"/>
        <w:autoSpaceDN w:val="0"/>
        <w:adjustRightInd w:val="0"/>
        <w:spacing w:after="240"/>
        <w:jc w:val="both"/>
        <w:rPr>
          <w:rFonts w:cs="Times New Roman"/>
          <w:b/>
          <w:bCs/>
          <w:sz w:val="22"/>
          <w:szCs w:val="22"/>
          <w:lang w:val="es-ES" w:bidi="ar-SA"/>
        </w:rPr>
      </w:pPr>
      <w:r w:rsidRPr="00583304">
        <w:rPr>
          <w:rFonts w:eastAsia="TimesNewRomanPSMT" w:cs="Times New Roman"/>
          <w:b/>
          <w:bCs/>
          <w:sz w:val="22"/>
          <w:szCs w:val="22"/>
          <w:lang w:val="eu-ES" w:bidi="ar-SA"/>
        </w:rPr>
        <w:t>XEDAPEN IRAGANKOR BAKARRA  Ordenantza fiskalak moldatzeko epealdia.</w:t>
      </w:r>
    </w:p>
    <w:p w14:paraId="47D8D56C" w14:textId="77777777" w:rsidR="00A273DC" w:rsidRPr="00583304" w:rsidRDefault="00672959" w:rsidP="00583304">
      <w:pPr>
        <w:autoSpaceDE w:val="0"/>
        <w:autoSpaceDN w:val="0"/>
        <w:adjustRightInd w:val="0"/>
        <w:spacing w:after="240"/>
        <w:jc w:val="both"/>
        <w:rPr>
          <w:rFonts w:cs="Times New Roman"/>
          <w:sz w:val="22"/>
          <w:szCs w:val="22"/>
          <w:lang w:val="es-ES" w:bidi="ar-SA"/>
        </w:rPr>
      </w:pPr>
      <w:r w:rsidRPr="00583304">
        <w:rPr>
          <w:rFonts w:eastAsia="TimesNewRomanPSMT" w:cs="Times New Roman"/>
          <w:sz w:val="22"/>
          <w:szCs w:val="22"/>
          <w:lang w:val="eu-ES" w:bidi="ar-SA"/>
        </w:rPr>
        <w:t>Toki erakundeek 2026ko urriaren 30era arteko epealdia edukiko dute ordenantza fiskaletan behar diren aldaketak egin ditzaten, araudia presa fiskaleko dekretu arauemaile honetan ezarritakora moldatzeko.</w:t>
      </w:r>
    </w:p>
    <w:p w14:paraId="64805A43" w14:textId="77777777" w:rsidR="00B64085" w:rsidRPr="00583304" w:rsidRDefault="00672959" w:rsidP="00583304">
      <w:pPr>
        <w:pStyle w:val="Ttulo2"/>
        <w:rPr>
          <w:rFonts w:ascii="Times New Roman" w:hAnsi="Times New Roman" w:cs="Times New Roman"/>
          <w:szCs w:val="22"/>
          <w:lang w:val="es-ES"/>
        </w:rPr>
      </w:pPr>
      <w:r w:rsidRPr="00583304">
        <w:rPr>
          <w:rFonts w:ascii="Times New Roman" w:hAnsi="Times New Roman" w:cs="Times New Roman"/>
          <w:bCs/>
          <w:szCs w:val="22"/>
          <w:lang w:val="eu-ES"/>
        </w:rPr>
        <w:t>AZKEN XEDAPENAK</w:t>
      </w:r>
    </w:p>
    <w:p w14:paraId="2B13A7DD" w14:textId="77777777" w:rsidR="00B64085" w:rsidRPr="00583304" w:rsidRDefault="00672959" w:rsidP="00583304">
      <w:pPr>
        <w:widowControl w:val="0"/>
        <w:spacing w:after="240"/>
        <w:jc w:val="both"/>
        <w:rPr>
          <w:rFonts w:cs="Times New Roman"/>
          <w:sz w:val="22"/>
          <w:szCs w:val="22"/>
          <w:lang w:val="es-ES"/>
        </w:rPr>
      </w:pPr>
      <w:r w:rsidRPr="00583304">
        <w:rPr>
          <w:rFonts w:cs="Times New Roman"/>
          <w:b/>
          <w:bCs/>
          <w:sz w:val="22"/>
          <w:szCs w:val="22"/>
          <w:lang w:val="eu-ES"/>
        </w:rPr>
        <w:t>Lehenengoa. Indarrean jartzea.</w:t>
      </w:r>
    </w:p>
    <w:p w14:paraId="2C1B95DD" w14:textId="77777777" w:rsidR="00B64085" w:rsidRPr="00583304" w:rsidRDefault="00672959" w:rsidP="00583304">
      <w:pPr>
        <w:spacing w:after="240"/>
        <w:jc w:val="both"/>
        <w:rPr>
          <w:rFonts w:cs="Times New Roman"/>
          <w:sz w:val="22"/>
          <w:szCs w:val="22"/>
          <w:lang w:val="es-ES"/>
        </w:rPr>
      </w:pPr>
      <w:r w:rsidRPr="00583304">
        <w:rPr>
          <w:rFonts w:cs="Times New Roman"/>
          <w:sz w:val="22"/>
          <w:szCs w:val="22"/>
          <w:lang w:val="eu-ES"/>
        </w:rPr>
        <w:t>Presa fiskaleko dekretu arauemaile hau ALHAOn argitaratu eta hurrengo egunean jarriko da indarrean, eta artikuluetan xedatzen diren ondorioak izango ditu.</w:t>
      </w:r>
    </w:p>
    <w:p w14:paraId="39510B30" w14:textId="77777777" w:rsidR="00B64085" w:rsidRPr="00583304" w:rsidRDefault="00672959" w:rsidP="00583304">
      <w:pPr>
        <w:widowControl w:val="0"/>
        <w:spacing w:after="240"/>
        <w:jc w:val="both"/>
        <w:rPr>
          <w:rFonts w:cs="Times New Roman"/>
          <w:sz w:val="22"/>
          <w:szCs w:val="22"/>
          <w:lang w:val="es-ES"/>
        </w:rPr>
      </w:pPr>
      <w:r w:rsidRPr="00583304">
        <w:rPr>
          <w:rFonts w:cs="Times New Roman"/>
          <w:b/>
          <w:bCs/>
          <w:sz w:val="22"/>
          <w:szCs w:val="22"/>
          <w:lang w:val="eu-ES"/>
        </w:rPr>
        <w:lastRenderedPageBreak/>
        <w:t>Bigarrena. Gaitzea.</w:t>
      </w:r>
    </w:p>
    <w:p w14:paraId="75270A59" w14:textId="77777777" w:rsidR="00B64085" w:rsidRPr="00583304" w:rsidRDefault="00672959" w:rsidP="00583304">
      <w:pPr>
        <w:widowControl w:val="0"/>
        <w:spacing w:after="240"/>
        <w:jc w:val="both"/>
        <w:rPr>
          <w:rFonts w:cs="Times New Roman"/>
          <w:sz w:val="22"/>
          <w:szCs w:val="22"/>
          <w:lang w:val="es-ES"/>
        </w:rPr>
      </w:pPr>
      <w:r w:rsidRPr="00583304">
        <w:rPr>
          <w:rFonts w:cs="Times New Roman"/>
          <w:sz w:val="22"/>
          <w:szCs w:val="22"/>
          <w:lang w:val="eu-ES"/>
        </w:rPr>
        <w:t>Baimena ematen zaio Arabako Foru Aldundiari xedapen orokor hau garatu eta aplikatzeko behar diren xedapen guztiak eman ditzan.</w:t>
      </w:r>
    </w:p>
    <w:p w14:paraId="75C4F755" w14:textId="77777777" w:rsidR="00B64085" w:rsidRPr="00583304" w:rsidRDefault="00672959" w:rsidP="00583304">
      <w:pPr>
        <w:widowControl w:val="0"/>
        <w:spacing w:after="240"/>
        <w:rPr>
          <w:rFonts w:cs="Times New Roman"/>
          <w:sz w:val="22"/>
          <w:szCs w:val="22"/>
          <w:lang w:val="es-ES"/>
        </w:rPr>
      </w:pPr>
      <w:r w:rsidRPr="00583304">
        <w:rPr>
          <w:rFonts w:cs="Times New Roman"/>
          <w:b/>
          <w:bCs/>
          <w:sz w:val="22"/>
          <w:szCs w:val="22"/>
          <w:lang w:val="eu-ES"/>
        </w:rPr>
        <w:t>Hirugarrena.</w:t>
      </w:r>
      <w:r w:rsidRPr="00583304">
        <w:rPr>
          <w:rFonts w:cs="Times New Roman"/>
          <w:sz w:val="22"/>
          <w:szCs w:val="22"/>
          <w:lang w:val="eu-ES"/>
        </w:rPr>
        <w:t xml:space="preserve"> </w:t>
      </w:r>
      <w:r w:rsidRPr="00583304">
        <w:rPr>
          <w:rFonts w:cs="Times New Roman"/>
          <w:b/>
          <w:bCs/>
          <w:sz w:val="22"/>
          <w:szCs w:val="22"/>
          <w:lang w:val="eu-ES"/>
        </w:rPr>
        <w:t>Batzar Nagusietara bidaltzea.</w:t>
      </w:r>
    </w:p>
    <w:p w14:paraId="20517396" w14:textId="77777777" w:rsidR="00B64085" w:rsidRPr="00583304" w:rsidRDefault="00672959" w:rsidP="00583304">
      <w:pPr>
        <w:widowControl w:val="0"/>
        <w:spacing w:after="240"/>
        <w:jc w:val="both"/>
        <w:rPr>
          <w:rFonts w:cs="Times New Roman"/>
          <w:sz w:val="22"/>
          <w:szCs w:val="22"/>
          <w:lang w:val="es-ES"/>
        </w:rPr>
      </w:pPr>
      <w:r w:rsidRPr="00583304">
        <w:rPr>
          <w:rFonts w:cs="Times New Roman"/>
          <w:sz w:val="22"/>
          <w:szCs w:val="22"/>
          <w:lang w:val="eu-ES"/>
        </w:rPr>
        <w:t xml:space="preserve">Presa fiskaleko dekretu arauemaile hau Arabako Batzar Nagusiei aurkeztuko zaie, berretsi edo </w:t>
      </w:r>
      <w:r w:rsidRPr="00583304">
        <w:rPr>
          <w:rFonts w:cs="Times New Roman"/>
          <w:sz w:val="22"/>
          <w:szCs w:val="22"/>
          <w:lang w:val="eu-ES"/>
        </w:rPr>
        <w:t>baliogabetu dezaten, indarrean dagoen araudian ezarritakoaren arabera.</w:t>
      </w:r>
    </w:p>
    <w:p w14:paraId="6FCC1722" w14:textId="77777777" w:rsidR="00B64085" w:rsidRPr="00583304" w:rsidRDefault="00672959" w:rsidP="00583304">
      <w:pPr>
        <w:spacing w:after="240"/>
        <w:rPr>
          <w:rFonts w:cs="Times New Roman"/>
          <w:sz w:val="22"/>
          <w:szCs w:val="22"/>
          <w:lang w:val="es-ES"/>
        </w:rPr>
      </w:pPr>
      <w:r w:rsidRPr="00583304">
        <w:rPr>
          <w:rFonts w:cs="Times New Roman"/>
          <w:sz w:val="22"/>
          <w:szCs w:val="22"/>
          <w:lang w:val="eu-ES"/>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86696E" w:rsidRPr="00583304" w14:paraId="61DBE8A9" w14:textId="77777777">
        <w:trPr>
          <w:trHeight w:val="1541"/>
        </w:trPr>
        <w:tc>
          <w:tcPr>
            <w:tcW w:w="4605" w:type="dxa"/>
          </w:tcPr>
          <w:p w14:paraId="03A064CC" w14:textId="77777777" w:rsidR="00B64085" w:rsidRPr="00583304" w:rsidRDefault="00672959" w:rsidP="00583304">
            <w:pPr>
              <w:spacing w:after="240"/>
              <w:rPr>
                <w:rFonts w:cs="Times New Roman"/>
                <w:b/>
                <w:sz w:val="22"/>
                <w:szCs w:val="22"/>
                <w:lang w:val="es-ES"/>
              </w:rPr>
            </w:pPr>
            <w:r w:rsidRPr="00583304">
              <w:rPr>
                <w:rFonts w:cs="Times New Roman"/>
                <w:b/>
                <w:bCs/>
                <w:sz w:val="22"/>
                <w:szCs w:val="22"/>
                <w:lang w:val="eu-ES"/>
              </w:rPr>
              <w:t>Ramiro González Vicente</w:t>
            </w:r>
          </w:p>
          <w:p w14:paraId="3B4799E3" w14:textId="77777777" w:rsidR="00B64085" w:rsidRPr="00583304" w:rsidRDefault="00672959" w:rsidP="00583304">
            <w:pPr>
              <w:spacing w:after="240"/>
              <w:rPr>
                <w:rFonts w:cs="Times New Roman"/>
                <w:sz w:val="22"/>
                <w:szCs w:val="22"/>
                <w:lang w:val="es-ES"/>
              </w:rPr>
            </w:pPr>
            <w:r w:rsidRPr="00583304">
              <w:rPr>
                <w:rFonts w:cs="Times New Roman"/>
                <w:sz w:val="22"/>
                <w:szCs w:val="22"/>
                <w:lang w:val="eu-ES"/>
              </w:rPr>
              <w:t>Diputatu nagusia</w:t>
            </w:r>
          </w:p>
          <w:p w14:paraId="44E760A6" w14:textId="77777777" w:rsidR="00B64085" w:rsidRPr="00583304" w:rsidRDefault="00672959" w:rsidP="00583304">
            <w:pPr>
              <w:spacing w:after="240"/>
              <w:rPr>
                <w:rFonts w:cs="Times New Roman"/>
                <w:sz w:val="22"/>
                <w:szCs w:val="22"/>
                <w:lang w:val="es-ES"/>
              </w:rPr>
            </w:pPr>
            <w:r w:rsidRPr="00583304">
              <w:rPr>
                <w:rFonts w:cs="Times New Roman"/>
                <w:sz w:val="22"/>
                <w:szCs w:val="22"/>
                <w:lang w:val="eu-ES"/>
              </w:rPr>
              <w:t>Diputado General</w:t>
            </w:r>
          </w:p>
        </w:tc>
        <w:tc>
          <w:tcPr>
            <w:tcW w:w="4605" w:type="dxa"/>
          </w:tcPr>
          <w:p w14:paraId="7B738935" w14:textId="77777777" w:rsidR="00B64085" w:rsidRPr="00583304" w:rsidRDefault="00672959" w:rsidP="00583304">
            <w:pPr>
              <w:pStyle w:val="Ttulo4"/>
              <w:spacing w:before="0" w:after="240" w:line="240" w:lineRule="auto"/>
              <w:rPr>
                <w:rFonts w:cs="Times New Roman"/>
                <w:szCs w:val="22"/>
                <w:lang w:val="es-ES"/>
              </w:rPr>
            </w:pPr>
            <w:r w:rsidRPr="00583304">
              <w:rPr>
                <w:rFonts w:cs="Times New Roman"/>
                <w:bCs/>
                <w:szCs w:val="22"/>
                <w:lang w:val="eu-ES"/>
              </w:rPr>
              <w:t>Itziar Gonzalo de Zuazo</w:t>
            </w:r>
          </w:p>
          <w:p w14:paraId="1A63AC58" w14:textId="77777777" w:rsidR="009E15C1" w:rsidRPr="00583304" w:rsidRDefault="00672959" w:rsidP="00583304">
            <w:pPr>
              <w:autoSpaceDE w:val="0"/>
              <w:autoSpaceDN w:val="0"/>
              <w:adjustRightInd w:val="0"/>
              <w:spacing w:after="240"/>
              <w:rPr>
                <w:rFonts w:cs="Times New Roman"/>
                <w:sz w:val="22"/>
                <w:szCs w:val="22"/>
                <w:lang w:val="es-ES" w:bidi="ar-SA"/>
              </w:rPr>
            </w:pPr>
            <w:r w:rsidRPr="00583304">
              <w:rPr>
                <w:rFonts w:eastAsia="TimesNewRomanPSMT" w:cs="Times New Roman"/>
                <w:sz w:val="22"/>
                <w:szCs w:val="22"/>
                <w:lang w:val="eu-ES" w:bidi="ar-SA"/>
              </w:rPr>
              <w:t>Bigarren diputatu nagusiorde eta Ogasun, Finantza eta Aurrekontu Saileko foru diputatua</w:t>
            </w:r>
          </w:p>
          <w:p w14:paraId="7CD769A2" w14:textId="77777777" w:rsidR="009E15C1" w:rsidRPr="00583304" w:rsidRDefault="00672959" w:rsidP="00583304">
            <w:pPr>
              <w:spacing w:after="240"/>
              <w:rPr>
                <w:rFonts w:cs="Times New Roman"/>
                <w:sz w:val="22"/>
                <w:szCs w:val="22"/>
              </w:rPr>
            </w:pPr>
            <w:r w:rsidRPr="00583304">
              <w:rPr>
                <w:rFonts w:eastAsia="TimesNewRomanPSMT" w:cs="Times New Roman"/>
                <w:sz w:val="22"/>
                <w:szCs w:val="22"/>
                <w:lang w:val="eu-ES" w:bidi="ar-SA"/>
              </w:rPr>
              <w:t>Segunda teniente de Diputado General y Diputada Foral del Departamento de Hacienda, Finanzas y Presupuestos</w:t>
            </w:r>
          </w:p>
          <w:p w14:paraId="6EFC587F" w14:textId="77777777" w:rsidR="00B64085" w:rsidRPr="00583304" w:rsidRDefault="00B64085" w:rsidP="00583304">
            <w:pPr>
              <w:spacing w:after="240"/>
              <w:rPr>
                <w:rFonts w:cs="Times New Roman"/>
                <w:sz w:val="22"/>
                <w:szCs w:val="22"/>
                <w:highlight w:val="yellow"/>
                <w:lang w:val="es-ES"/>
              </w:rPr>
            </w:pPr>
          </w:p>
        </w:tc>
      </w:tr>
      <w:tr w:rsidR="0086696E" w:rsidRPr="00583304" w14:paraId="00D34A5B" w14:textId="77777777">
        <w:tc>
          <w:tcPr>
            <w:tcW w:w="4605" w:type="dxa"/>
          </w:tcPr>
          <w:p w14:paraId="4C798438" w14:textId="77777777" w:rsidR="00B64085" w:rsidRPr="00583304" w:rsidRDefault="00672959" w:rsidP="00583304">
            <w:pPr>
              <w:spacing w:after="240"/>
              <w:rPr>
                <w:rFonts w:cs="Times New Roman"/>
                <w:b/>
                <w:sz w:val="22"/>
                <w:szCs w:val="22"/>
                <w:lang w:val="es-ES"/>
              </w:rPr>
            </w:pPr>
            <w:r w:rsidRPr="00583304">
              <w:rPr>
                <w:rFonts w:cs="Times New Roman"/>
                <w:b/>
                <w:bCs/>
                <w:sz w:val="22"/>
                <w:szCs w:val="22"/>
                <w:lang w:val="eu-ES"/>
              </w:rPr>
              <w:t>María José Perea Urteaga</w:t>
            </w:r>
          </w:p>
          <w:p w14:paraId="6CD2369A" w14:textId="77777777" w:rsidR="00B64085" w:rsidRPr="00583304" w:rsidRDefault="00672959" w:rsidP="00583304">
            <w:pPr>
              <w:spacing w:after="240"/>
              <w:rPr>
                <w:rFonts w:cs="Times New Roman"/>
                <w:sz w:val="22"/>
                <w:szCs w:val="22"/>
                <w:lang w:val="es-ES"/>
              </w:rPr>
            </w:pPr>
            <w:r w:rsidRPr="00583304">
              <w:rPr>
                <w:rFonts w:cs="Times New Roman"/>
                <w:sz w:val="22"/>
                <w:szCs w:val="22"/>
                <w:lang w:val="eu-ES"/>
              </w:rPr>
              <w:t>Ogasun zuzendaria</w:t>
            </w:r>
          </w:p>
          <w:p w14:paraId="57859F1D" w14:textId="77777777" w:rsidR="00B64085" w:rsidRPr="00583304" w:rsidRDefault="00672959" w:rsidP="00583304">
            <w:pPr>
              <w:spacing w:after="240"/>
              <w:rPr>
                <w:rFonts w:cs="Times New Roman"/>
                <w:sz w:val="22"/>
                <w:szCs w:val="22"/>
                <w:lang w:val="es-ES"/>
              </w:rPr>
            </w:pPr>
            <w:r w:rsidRPr="00583304">
              <w:rPr>
                <w:rFonts w:cs="Times New Roman"/>
                <w:sz w:val="22"/>
                <w:szCs w:val="22"/>
                <w:lang w:val="eu-ES"/>
              </w:rPr>
              <w:t xml:space="preserve">Directora de Hacienda </w:t>
            </w:r>
          </w:p>
        </w:tc>
        <w:tc>
          <w:tcPr>
            <w:tcW w:w="4605" w:type="dxa"/>
          </w:tcPr>
          <w:p w14:paraId="3C360E67" w14:textId="77777777" w:rsidR="00B64085" w:rsidRPr="00583304" w:rsidRDefault="00B64085" w:rsidP="00583304">
            <w:pPr>
              <w:spacing w:after="240"/>
              <w:rPr>
                <w:rFonts w:cs="Times New Roman"/>
                <w:sz w:val="22"/>
                <w:szCs w:val="22"/>
                <w:lang w:val="es-ES"/>
              </w:rPr>
            </w:pPr>
          </w:p>
        </w:tc>
      </w:tr>
    </w:tbl>
    <w:p w14:paraId="44D83CBB" w14:textId="77777777" w:rsidR="00B64085" w:rsidRPr="00583304" w:rsidRDefault="00B64085" w:rsidP="00583304">
      <w:pPr>
        <w:pStyle w:val="Encabezado"/>
        <w:tabs>
          <w:tab w:val="clear" w:pos="4252"/>
          <w:tab w:val="clear" w:pos="8504"/>
        </w:tabs>
        <w:spacing w:after="240"/>
        <w:rPr>
          <w:rFonts w:cs="Times New Roman"/>
          <w:sz w:val="22"/>
          <w:szCs w:val="22"/>
          <w:lang w:val="es-ES"/>
        </w:rPr>
      </w:pPr>
    </w:p>
    <w:sectPr w:rsidR="00B64085" w:rsidRPr="00583304" w:rsidSect="00420950">
      <w:headerReference w:type="default" r:id="rId6"/>
      <w:footerReference w:type="default" r:id="rId7"/>
      <w:headerReference w:type="firs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079E" w14:textId="77777777" w:rsidR="00672959" w:rsidRDefault="00672959">
      <w:r>
        <w:separator/>
      </w:r>
    </w:p>
  </w:endnote>
  <w:endnote w:type="continuationSeparator" w:id="0">
    <w:p w14:paraId="52B4DE6A" w14:textId="77777777" w:rsidR="00672959" w:rsidRDefault="0067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5DFA" w14:textId="77777777" w:rsidR="00B64085" w:rsidRDefault="00672959">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4B18" w14:textId="77777777" w:rsidR="00B64085" w:rsidRDefault="00672959">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4AC7" w14:textId="77777777" w:rsidR="00672959" w:rsidRDefault="00672959">
      <w:r>
        <w:separator/>
      </w:r>
    </w:p>
  </w:footnote>
  <w:footnote w:type="continuationSeparator" w:id="0">
    <w:p w14:paraId="5C7DFB8E" w14:textId="77777777" w:rsidR="00672959" w:rsidRDefault="0067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6696E" w14:paraId="1F21DE38" w14:textId="77777777">
      <w:trPr>
        <w:cantSplit/>
        <w:trHeight w:val="338"/>
      </w:trPr>
      <w:tc>
        <w:tcPr>
          <w:tcW w:w="3856" w:type="dxa"/>
        </w:tcPr>
        <w:p w14:paraId="51B6E960" w14:textId="77777777" w:rsidR="00B64085" w:rsidRDefault="00B64085">
          <w:pPr>
            <w:pStyle w:val="Encabezado"/>
          </w:pPr>
        </w:p>
      </w:tc>
      <w:tc>
        <w:tcPr>
          <w:tcW w:w="1361" w:type="dxa"/>
          <w:vMerge w:val="restart"/>
        </w:tcPr>
        <w:p w14:paraId="7123E60F" w14:textId="77777777" w:rsidR="00B64085" w:rsidRDefault="00672959">
          <w:pPr>
            <w:pStyle w:val="Encabezado"/>
            <w:jc w:val="center"/>
          </w:pPr>
          <w:r>
            <w:rPr>
              <w:noProof/>
            </w:rPr>
            <w:drawing>
              <wp:inline distT="0" distB="0" distL="0" distR="0" wp14:anchorId="012BDE22" wp14:editId="0AF57F9E">
                <wp:extent cx="429260" cy="4292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093DB3A8" w14:textId="77777777" w:rsidR="00B64085" w:rsidRDefault="00B64085">
          <w:pPr>
            <w:pStyle w:val="Encabezado"/>
          </w:pPr>
        </w:p>
      </w:tc>
    </w:tr>
    <w:tr w:rsidR="0086696E" w14:paraId="5A822BF2" w14:textId="77777777">
      <w:trPr>
        <w:cantSplit/>
        <w:trHeight w:val="337"/>
      </w:trPr>
      <w:tc>
        <w:tcPr>
          <w:tcW w:w="3856" w:type="dxa"/>
        </w:tcPr>
        <w:p w14:paraId="7156C7EF" w14:textId="77777777" w:rsidR="00B64085" w:rsidRDefault="00B64085">
          <w:pPr>
            <w:pStyle w:val="Encabezado"/>
          </w:pPr>
        </w:p>
      </w:tc>
      <w:tc>
        <w:tcPr>
          <w:tcW w:w="1361" w:type="dxa"/>
          <w:vMerge/>
        </w:tcPr>
        <w:p w14:paraId="29410181" w14:textId="77777777" w:rsidR="00B64085" w:rsidRDefault="00B64085">
          <w:pPr>
            <w:pStyle w:val="Encabezado"/>
            <w:jc w:val="center"/>
          </w:pPr>
        </w:p>
      </w:tc>
      <w:tc>
        <w:tcPr>
          <w:tcW w:w="3856" w:type="dxa"/>
        </w:tcPr>
        <w:p w14:paraId="3DE37812" w14:textId="77777777" w:rsidR="00B64085" w:rsidRDefault="00B64085">
          <w:pPr>
            <w:pStyle w:val="Encabezado"/>
          </w:pPr>
        </w:p>
      </w:tc>
    </w:tr>
  </w:tbl>
  <w:p w14:paraId="4EDCC1D9"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6696E" w14:paraId="6FD8DF89" w14:textId="77777777">
      <w:tc>
        <w:tcPr>
          <w:tcW w:w="6804" w:type="dxa"/>
        </w:tcPr>
        <w:p w14:paraId="25D5445C" w14:textId="77777777" w:rsidR="00B64085" w:rsidRDefault="00672959">
          <w:pPr>
            <w:pStyle w:val="Encabezado"/>
            <w:tabs>
              <w:tab w:val="clear" w:pos="4252"/>
              <w:tab w:val="clear" w:pos="8504"/>
            </w:tabs>
            <w:spacing w:after="1200"/>
            <w:ind w:left="74"/>
            <w:rPr>
              <w:rFonts w:ascii="Arial" w:hAnsi="Arial"/>
              <w:noProof/>
              <w:sz w:val="16"/>
            </w:rPr>
          </w:pPr>
          <w:r>
            <w:rPr>
              <w:rFonts w:ascii="Arial" w:hAnsi="Arial"/>
              <w:noProof/>
              <w:sz w:val="16"/>
            </w:rPr>
            <w:object w:dxaOrig="3312" w:dyaOrig="1128" w14:anchorId="072D8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37666244" r:id="rId2"/>
            </w:object>
          </w:r>
        </w:p>
        <w:p w14:paraId="01AC3553" w14:textId="77777777" w:rsidR="00B64085" w:rsidRDefault="00B64085">
          <w:pPr>
            <w:pStyle w:val="Encabezado"/>
            <w:ind w:left="1064"/>
            <w:rPr>
              <w:rFonts w:ascii="Arial" w:hAnsi="Arial"/>
              <w:noProof/>
              <w:sz w:val="16"/>
            </w:rPr>
          </w:pPr>
        </w:p>
      </w:tc>
      <w:tc>
        <w:tcPr>
          <w:tcW w:w="3402" w:type="dxa"/>
        </w:tcPr>
        <w:p w14:paraId="46865199" w14:textId="77777777" w:rsidR="00B64085" w:rsidRDefault="00672959">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29F52703" w14:textId="77777777" w:rsidR="00B64085" w:rsidRDefault="00672959">
          <w:pPr>
            <w:pStyle w:val="Encabezado"/>
            <w:tabs>
              <w:tab w:val="clear" w:pos="4252"/>
            </w:tabs>
            <w:spacing w:after="240" w:line="240" w:lineRule="exact"/>
            <w:ind w:left="-68"/>
            <w:rPr>
              <w:rFonts w:ascii="Arial" w:hAnsi="Arial"/>
              <w:b/>
              <w:noProof/>
              <w:sz w:val="18"/>
            </w:rPr>
          </w:pPr>
          <w:r>
            <w:rPr>
              <w:rFonts w:ascii="Arial" w:eastAsia="Arial" w:hAnsi="Arial"/>
              <w:b/>
              <w:bCs/>
              <w:noProof/>
              <w:sz w:val="18"/>
              <w:szCs w:val="18"/>
              <w:lang w:val="eu-ES"/>
            </w:rPr>
            <w:t>Consejo de Gobierno Foral</w:t>
          </w:r>
        </w:p>
        <w:p w14:paraId="3CE6730F" w14:textId="77777777" w:rsidR="00B64085" w:rsidRDefault="00B64085">
          <w:pPr>
            <w:pStyle w:val="Encabezado"/>
            <w:tabs>
              <w:tab w:val="clear" w:pos="4252"/>
            </w:tabs>
            <w:ind w:left="-70"/>
            <w:rPr>
              <w:rFonts w:ascii="Arial" w:hAnsi="Arial"/>
              <w:noProof/>
              <w:sz w:val="18"/>
            </w:rPr>
          </w:pPr>
        </w:p>
      </w:tc>
    </w:tr>
  </w:tbl>
  <w:p w14:paraId="6E0489D8"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201B9"/>
    <w:rsid w:val="000329E0"/>
    <w:rsid w:val="0005538A"/>
    <w:rsid w:val="00057D2D"/>
    <w:rsid w:val="00063185"/>
    <w:rsid w:val="00074811"/>
    <w:rsid w:val="000801F7"/>
    <w:rsid w:val="000903FE"/>
    <w:rsid w:val="000B5BBA"/>
    <w:rsid w:val="000D1087"/>
    <w:rsid w:val="000E56A4"/>
    <w:rsid w:val="000F4EE5"/>
    <w:rsid w:val="00111EC3"/>
    <w:rsid w:val="0012365B"/>
    <w:rsid w:val="001557CD"/>
    <w:rsid w:val="001859C0"/>
    <w:rsid w:val="00194BE9"/>
    <w:rsid w:val="001A3F98"/>
    <w:rsid w:val="001B06E3"/>
    <w:rsid w:val="001E7DF7"/>
    <w:rsid w:val="00201632"/>
    <w:rsid w:val="00201B38"/>
    <w:rsid w:val="00201F10"/>
    <w:rsid w:val="00217704"/>
    <w:rsid w:val="00224C00"/>
    <w:rsid w:val="002564F5"/>
    <w:rsid w:val="00270CF7"/>
    <w:rsid w:val="002803BA"/>
    <w:rsid w:val="002817F8"/>
    <w:rsid w:val="00290C73"/>
    <w:rsid w:val="002B5998"/>
    <w:rsid w:val="002C0394"/>
    <w:rsid w:val="002C48CB"/>
    <w:rsid w:val="002D0194"/>
    <w:rsid w:val="002E165E"/>
    <w:rsid w:val="002E3174"/>
    <w:rsid w:val="002F15D0"/>
    <w:rsid w:val="00304ED5"/>
    <w:rsid w:val="0030604F"/>
    <w:rsid w:val="0037106B"/>
    <w:rsid w:val="00383EB7"/>
    <w:rsid w:val="003903C4"/>
    <w:rsid w:val="003A188C"/>
    <w:rsid w:val="003A3465"/>
    <w:rsid w:val="003A6744"/>
    <w:rsid w:val="003F3360"/>
    <w:rsid w:val="00403D55"/>
    <w:rsid w:val="00406F63"/>
    <w:rsid w:val="00412A76"/>
    <w:rsid w:val="00420950"/>
    <w:rsid w:val="00424D92"/>
    <w:rsid w:val="00440B26"/>
    <w:rsid w:val="004411E7"/>
    <w:rsid w:val="00460E5A"/>
    <w:rsid w:val="004E3F08"/>
    <w:rsid w:val="0051173C"/>
    <w:rsid w:val="00524B9B"/>
    <w:rsid w:val="00531F23"/>
    <w:rsid w:val="005322DC"/>
    <w:rsid w:val="00534A8C"/>
    <w:rsid w:val="00560653"/>
    <w:rsid w:val="0056137C"/>
    <w:rsid w:val="0056249E"/>
    <w:rsid w:val="00562B9D"/>
    <w:rsid w:val="00583304"/>
    <w:rsid w:val="005B790E"/>
    <w:rsid w:val="005C4388"/>
    <w:rsid w:val="005D2A9B"/>
    <w:rsid w:val="005E495E"/>
    <w:rsid w:val="005E627E"/>
    <w:rsid w:val="00613661"/>
    <w:rsid w:val="0062404C"/>
    <w:rsid w:val="0063086D"/>
    <w:rsid w:val="006402C9"/>
    <w:rsid w:val="00654811"/>
    <w:rsid w:val="0066767E"/>
    <w:rsid w:val="00672959"/>
    <w:rsid w:val="00683B32"/>
    <w:rsid w:val="006A0388"/>
    <w:rsid w:val="006A4A90"/>
    <w:rsid w:val="006C072C"/>
    <w:rsid w:val="006C138E"/>
    <w:rsid w:val="006E1B97"/>
    <w:rsid w:val="006E411C"/>
    <w:rsid w:val="006F594A"/>
    <w:rsid w:val="0074091E"/>
    <w:rsid w:val="00787F50"/>
    <w:rsid w:val="00793877"/>
    <w:rsid w:val="00796BD1"/>
    <w:rsid w:val="007B00AB"/>
    <w:rsid w:val="007B3A5E"/>
    <w:rsid w:val="007C5A38"/>
    <w:rsid w:val="007E0420"/>
    <w:rsid w:val="008051D5"/>
    <w:rsid w:val="008063BC"/>
    <w:rsid w:val="00806776"/>
    <w:rsid w:val="00814BD9"/>
    <w:rsid w:val="00825D3B"/>
    <w:rsid w:val="00830971"/>
    <w:rsid w:val="0084090D"/>
    <w:rsid w:val="0086696E"/>
    <w:rsid w:val="008723DD"/>
    <w:rsid w:val="00897CB0"/>
    <w:rsid w:val="008B6D72"/>
    <w:rsid w:val="008D1430"/>
    <w:rsid w:val="008D5C97"/>
    <w:rsid w:val="008E04DF"/>
    <w:rsid w:val="008E16BC"/>
    <w:rsid w:val="008F01F7"/>
    <w:rsid w:val="008F0297"/>
    <w:rsid w:val="00900D7C"/>
    <w:rsid w:val="00913405"/>
    <w:rsid w:val="0092554B"/>
    <w:rsid w:val="009414C1"/>
    <w:rsid w:val="00952327"/>
    <w:rsid w:val="0096220B"/>
    <w:rsid w:val="009724DA"/>
    <w:rsid w:val="00981043"/>
    <w:rsid w:val="009A38C0"/>
    <w:rsid w:val="009C4317"/>
    <w:rsid w:val="009C55CD"/>
    <w:rsid w:val="009D0DE5"/>
    <w:rsid w:val="009E15C1"/>
    <w:rsid w:val="00A01BC5"/>
    <w:rsid w:val="00A17951"/>
    <w:rsid w:val="00A273DC"/>
    <w:rsid w:val="00A328BA"/>
    <w:rsid w:val="00A333F0"/>
    <w:rsid w:val="00A41DB8"/>
    <w:rsid w:val="00A83AAD"/>
    <w:rsid w:val="00A95776"/>
    <w:rsid w:val="00A96F75"/>
    <w:rsid w:val="00AA2E82"/>
    <w:rsid w:val="00AA3DB5"/>
    <w:rsid w:val="00AD4917"/>
    <w:rsid w:val="00AE37CD"/>
    <w:rsid w:val="00AF4922"/>
    <w:rsid w:val="00B045D6"/>
    <w:rsid w:val="00B17D1E"/>
    <w:rsid w:val="00B33C22"/>
    <w:rsid w:val="00B37C33"/>
    <w:rsid w:val="00B6065F"/>
    <w:rsid w:val="00B64085"/>
    <w:rsid w:val="00B7007D"/>
    <w:rsid w:val="00B70F83"/>
    <w:rsid w:val="00B85158"/>
    <w:rsid w:val="00B86DF5"/>
    <w:rsid w:val="00BB61D0"/>
    <w:rsid w:val="00BB72F9"/>
    <w:rsid w:val="00BC36F5"/>
    <w:rsid w:val="00BC4F9B"/>
    <w:rsid w:val="00BD04EF"/>
    <w:rsid w:val="00BD0E04"/>
    <w:rsid w:val="00BF2321"/>
    <w:rsid w:val="00BF6EFB"/>
    <w:rsid w:val="00C05F9E"/>
    <w:rsid w:val="00C437EE"/>
    <w:rsid w:val="00C609FD"/>
    <w:rsid w:val="00C62F48"/>
    <w:rsid w:val="00CB09D7"/>
    <w:rsid w:val="00CB5917"/>
    <w:rsid w:val="00CC0E16"/>
    <w:rsid w:val="00CC609A"/>
    <w:rsid w:val="00CD5BE9"/>
    <w:rsid w:val="00CF7D79"/>
    <w:rsid w:val="00D02C71"/>
    <w:rsid w:val="00D14E9F"/>
    <w:rsid w:val="00D151A7"/>
    <w:rsid w:val="00D30447"/>
    <w:rsid w:val="00D33C80"/>
    <w:rsid w:val="00DA32E6"/>
    <w:rsid w:val="00DB0D88"/>
    <w:rsid w:val="00DB6B6E"/>
    <w:rsid w:val="00DC29CF"/>
    <w:rsid w:val="00DD0A71"/>
    <w:rsid w:val="00DD5BEF"/>
    <w:rsid w:val="00DE1BE0"/>
    <w:rsid w:val="00E06F2F"/>
    <w:rsid w:val="00E252F5"/>
    <w:rsid w:val="00E56E3B"/>
    <w:rsid w:val="00E6167C"/>
    <w:rsid w:val="00E62890"/>
    <w:rsid w:val="00E84322"/>
    <w:rsid w:val="00E87322"/>
    <w:rsid w:val="00E9089B"/>
    <w:rsid w:val="00EC1C46"/>
    <w:rsid w:val="00EF2B3E"/>
    <w:rsid w:val="00EF5B62"/>
    <w:rsid w:val="00F0189E"/>
    <w:rsid w:val="00F7050A"/>
    <w:rsid w:val="00F80FF8"/>
    <w:rsid w:val="00F97078"/>
    <w:rsid w:val="00FA4477"/>
    <w:rsid w:val="00FA4A87"/>
    <w:rsid w:val="00FA795F"/>
    <w:rsid w:val="00FB1EA5"/>
    <w:rsid w:val="00FC70EA"/>
    <w:rsid w:val="00FD3809"/>
    <w:rsid w:val="00FF2FAE"/>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4F632"/>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customStyle="1" w:styleId="Default">
    <w:name w:val="Default"/>
    <w:rsid w:val="0066767E"/>
    <w:pPr>
      <w:autoSpaceDE w:val="0"/>
      <w:autoSpaceDN w:val="0"/>
      <w:adjustRightInd w:val="0"/>
    </w:pPr>
    <w:rPr>
      <w:color w:val="000000"/>
      <w:sz w:val="24"/>
      <w:szCs w:val="24"/>
    </w:rPr>
  </w:style>
  <w:style w:type="character" w:styleId="Textoennegrita">
    <w:name w:val="Strong"/>
    <w:basedOn w:val="Fuentedeprrafopredeter"/>
    <w:uiPriority w:val="22"/>
    <w:qFormat/>
    <w:rsid w:val="00B37C33"/>
    <w:rPr>
      <w:b/>
      <w:bCs/>
    </w:rPr>
  </w:style>
  <w:style w:type="paragraph" w:styleId="Prrafodelista">
    <w:name w:val="List Paragraph"/>
    <w:basedOn w:val="Normal"/>
    <w:uiPriority w:val="34"/>
    <w:qFormat/>
    <w:rsid w:val="00561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1428</Words>
  <Characters>10490</Characters>
  <Application>Microsoft Office Word</Application>
  <DocSecurity>0</DocSecurity>
  <Lines>87</Lines>
  <Paragraphs>23</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Prieto Sanchez, Francisco Javier</cp:lastModifiedBy>
  <cp:revision>3</cp:revision>
  <cp:lastPrinted>2026-04-14T07:49:00Z</cp:lastPrinted>
  <dcterms:created xsi:type="dcterms:W3CDTF">2026-04-09T08:57:00Z</dcterms:created>
  <dcterms:modified xsi:type="dcterms:W3CDTF">2026-04-14T08:04:00Z</dcterms:modified>
</cp:coreProperties>
</file>