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898CE" w14:textId="76A654D8" w:rsidR="00101AB5" w:rsidRDefault="00E076C4" w:rsidP="00C860CE">
      <w:pPr>
        <w:spacing w:after="39"/>
        <w:ind w:left="217"/>
      </w:pPr>
      <w:r>
        <w:rPr>
          <w:noProof/>
        </w:rPr>
        <w:drawing>
          <wp:inline distT="0" distB="0" distL="0" distR="0" wp14:anchorId="66015386" wp14:editId="5BEE380F">
            <wp:extent cx="1565910" cy="1292225"/>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7"/>
                    <a:stretch>
                      <a:fillRect/>
                    </a:stretch>
                  </pic:blipFill>
                  <pic:spPr>
                    <a:xfrm>
                      <a:off x="0" y="0"/>
                      <a:ext cx="1565910" cy="1292225"/>
                    </a:xfrm>
                    <a:prstGeom prst="rect">
                      <a:avLst/>
                    </a:prstGeom>
                  </pic:spPr>
                </pic:pic>
              </a:graphicData>
            </a:graphic>
          </wp:inline>
        </w:drawing>
      </w:r>
      <w:r>
        <w:rPr>
          <w:rFonts w:ascii="Arial" w:eastAsia="Arial" w:hAnsi="Arial" w:cs="Arial"/>
          <w:sz w:val="12"/>
        </w:rPr>
        <w:tab/>
      </w:r>
      <w:r>
        <w:rPr>
          <w:rFonts w:ascii="Arial" w:eastAsia="Arial" w:hAnsi="Arial" w:cs="Arial"/>
          <w:b/>
          <w:sz w:val="16"/>
        </w:rPr>
        <w:t xml:space="preserve"> </w:t>
      </w:r>
    </w:p>
    <w:p w14:paraId="75CB0EF1" w14:textId="77777777" w:rsidR="00101AB5" w:rsidRDefault="00E076C4">
      <w:pPr>
        <w:spacing w:after="36"/>
        <w:ind w:left="216"/>
      </w:pPr>
      <w:r>
        <w:rPr>
          <w:rFonts w:ascii="Arial" w:eastAsia="Arial" w:hAnsi="Arial" w:cs="Arial"/>
          <w:b/>
          <w:sz w:val="12"/>
        </w:rPr>
        <w:t xml:space="preserve"> </w:t>
      </w:r>
      <w:r>
        <w:rPr>
          <w:rFonts w:ascii="Arial" w:eastAsia="Arial" w:hAnsi="Arial" w:cs="Arial"/>
          <w:b/>
          <w:sz w:val="12"/>
        </w:rPr>
        <w:tab/>
      </w:r>
      <w:r>
        <w:rPr>
          <w:rFonts w:ascii="Arial" w:eastAsia="Arial" w:hAnsi="Arial" w:cs="Arial"/>
          <w:sz w:val="12"/>
        </w:rPr>
        <w:t xml:space="preserve"> </w:t>
      </w:r>
    </w:p>
    <w:p w14:paraId="0A093A47" w14:textId="77777777" w:rsidR="00101AB5" w:rsidRDefault="00E076C4">
      <w:pPr>
        <w:spacing w:after="0"/>
        <w:ind w:right="514"/>
        <w:jc w:val="center"/>
      </w:pPr>
      <w:r>
        <w:rPr>
          <w:rFonts w:ascii="Arial" w:eastAsia="Arial" w:hAnsi="Arial" w:cs="Arial"/>
          <w:sz w:val="12"/>
        </w:rPr>
        <w:t xml:space="preserve"> </w:t>
      </w:r>
      <w:r>
        <w:rPr>
          <w:rFonts w:ascii="Arial" w:eastAsia="Arial" w:hAnsi="Arial" w:cs="Arial"/>
          <w:sz w:val="12"/>
        </w:rPr>
        <w:tab/>
      </w:r>
      <w:r>
        <w:rPr>
          <w:rFonts w:ascii="Arial" w:eastAsia="Arial" w:hAnsi="Arial" w:cs="Arial"/>
          <w:b/>
          <w:sz w:val="16"/>
        </w:rPr>
        <w:t xml:space="preserve"> </w:t>
      </w:r>
    </w:p>
    <w:p w14:paraId="009D2F6B" w14:textId="77777777" w:rsidR="00101AB5" w:rsidRDefault="00E076C4">
      <w:pPr>
        <w:spacing w:after="131"/>
      </w:pPr>
      <w:r>
        <w:rPr>
          <w:rFonts w:ascii="Arial" w:eastAsia="Arial" w:hAnsi="Arial" w:cs="Arial"/>
          <w:sz w:val="16"/>
        </w:rPr>
        <w:t xml:space="preserve"> </w:t>
      </w:r>
    </w:p>
    <w:p w14:paraId="2930DCD6" w14:textId="77777777" w:rsidR="00101AB5" w:rsidRDefault="00E076C4">
      <w:pPr>
        <w:pStyle w:val="Ttulo1"/>
        <w:tabs>
          <w:tab w:val="center" w:pos="2837"/>
        </w:tabs>
        <w:spacing w:after="102"/>
        <w:ind w:left="0"/>
      </w:pPr>
      <w:r>
        <w:rPr>
          <w:rFonts w:ascii="Times New Roman" w:eastAsia="Times New Roman" w:hAnsi="Times New Roman" w:cs="Times New Roman"/>
          <w:color w:val="000000"/>
          <w:sz w:val="24"/>
          <w:u w:val="none"/>
        </w:rPr>
        <w:t xml:space="preserve">ORDEN FORAL     </w:t>
      </w:r>
      <w:r>
        <w:rPr>
          <w:rFonts w:ascii="Times New Roman" w:eastAsia="Times New Roman" w:hAnsi="Times New Roman" w:cs="Times New Roman"/>
          <w:color w:val="000000"/>
          <w:sz w:val="24"/>
          <w:u w:val="none"/>
        </w:rPr>
        <w:tab/>
        <w:t xml:space="preserve"> </w:t>
      </w:r>
    </w:p>
    <w:p w14:paraId="5294C3BA" w14:textId="77777777" w:rsidR="00101AB5" w:rsidRDefault="00E076C4">
      <w:pPr>
        <w:spacing w:after="76"/>
      </w:pPr>
      <w:r>
        <w:rPr>
          <w:rFonts w:ascii="Times New Roman" w:eastAsia="Times New Roman" w:hAnsi="Times New Roman" w:cs="Times New Roman"/>
          <w:b/>
          <w:sz w:val="24"/>
        </w:rPr>
        <w:t xml:space="preserve"> </w:t>
      </w:r>
    </w:p>
    <w:p w14:paraId="30258E93" w14:textId="77777777" w:rsidR="00101AB5" w:rsidRDefault="00E076C4">
      <w:pPr>
        <w:spacing w:after="10" w:line="248" w:lineRule="auto"/>
        <w:ind w:left="-5" w:hanging="10"/>
        <w:jc w:val="both"/>
      </w:pPr>
      <w:r>
        <w:rPr>
          <w:rFonts w:ascii="Times New Roman" w:eastAsia="Times New Roman" w:hAnsi="Times New Roman" w:cs="Times New Roman"/>
        </w:rPr>
        <w:t xml:space="preserve">Secretaría Técnica de Infraestructuras Viarias y Movilidad </w:t>
      </w:r>
    </w:p>
    <w:p w14:paraId="2BDB7106" w14:textId="64A8D5D1" w:rsidR="00101AB5" w:rsidRDefault="00E076C4">
      <w:pPr>
        <w:spacing w:after="10" w:line="248" w:lineRule="auto"/>
        <w:ind w:left="-5" w:hanging="10"/>
        <w:jc w:val="both"/>
      </w:pPr>
      <w:r>
        <w:rPr>
          <w:rFonts w:ascii="Times New Roman" w:eastAsia="Times New Roman" w:hAnsi="Times New Roman" w:cs="Times New Roman"/>
        </w:rPr>
        <w:t xml:space="preserve">Negociado de Infraestructuras Viarias y Movilidad </w:t>
      </w:r>
    </w:p>
    <w:p w14:paraId="1C8BC1EF" w14:textId="77777777" w:rsidR="00101AB5" w:rsidRDefault="00E076C4">
      <w:pPr>
        <w:spacing w:after="10" w:line="248" w:lineRule="auto"/>
        <w:ind w:left="-5" w:hanging="10"/>
        <w:jc w:val="both"/>
      </w:pPr>
      <w:r>
        <w:rPr>
          <w:rFonts w:ascii="Times New Roman" w:eastAsia="Times New Roman" w:hAnsi="Times New Roman" w:cs="Times New Roman"/>
        </w:rPr>
        <w:t xml:space="preserve">Nº Expte: INFOPU 2026/63 </w:t>
      </w:r>
    </w:p>
    <w:p w14:paraId="389B9DA1" w14:textId="77777777" w:rsidR="00101AB5" w:rsidRDefault="00E076C4">
      <w:pPr>
        <w:spacing w:after="0"/>
      </w:pPr>
      <w:r>
        <w:rPr>
          <w:rFonts w:ascii="Times New Roman" w:eastAsia="Times New Roman" w:hAnsi="Times New Roman" w:cs="Times New Roman"/>
        </w:rPr>
        <w:t xml:space="preserve"> </w:t>
      </w:r>
    </w:p>
    <w:p w14:paraId="44FAFEFB" w14:textId="46B359F8" w:rsidR="00101AB5" w:rsidRDefault="00E076C4">
      <w:pPr>
        <w:spacing w:after="235" w:line="239" w:lineRule="auto"/>
        <w:jc w:val="both"/>
      </w:pPr>
      <w:r>
        <w:rPr>
          <w:rFonts w:ascii="Times New Roman" w:eastAsia="Times New Roman" w:hAnsi="Times New Roman" w:cs="Times New Roman"/>
          <w:b/>
        </w:rPr>
        <w:t xml:space="preserve">Desestimar la solicitud de acceso a la información pública presentada por </w:t>
      </w:r>
      <w:r w:rsidR="00C860CE" w:rsidRPr="00C860CE">
        <w:rPr>
          <w:rFonts w:ascii="Times New Roman" w:eastAsia="Times New Roman" w:hAnsi="Times New Roman" w:cs="Times New Roman"/>
          <w:b/>
          <w:highlight w:val="black"/>
        </w:rPr>
        <w:t>XXXXX</w:t>
      </w:r>
      <w:r>
        <w:rPr>
          <w:rFonts w:ascii="Times New Roman" w:eastAsia="Times New Roman" w:hAnsi="Times New Roman" w:cs="Times New Roman"/>
          <w:b/>
        </w:rPr>
        <w:t xml:space="preserve"> por la que solicita información estadística y anonimizada sobre las autorizaciones VTC-N domiciliadas en el Territorio Histórico de Álava durante el año 2026. </w:t>
      </w:r>
    </w:p>
    <w:p w14:paraId="6C14C6B0" w14:textId="2EC09A89" w:rsidR="00101AB5" w:rsidRDefault="00E076C4">
      <w:pPr>
        <w:spacing w:after="188" w:line="248" w:lineRule="auto"/>
        <w:ind w:left="-5" w:hanging="10"/>
        <w:jc w:val="both"/>
      </w:pPr>
      <w:r>
        <w:rPr>
          <w:rFonts w:ascii="Times New Roman" w:eastAsia="Times New Roman" w:hAnsi="Times New Roman" w:cs="Times New Roman"/>
        </w:rPr>
        <w:t xml:space="preserve">Con fecha 2 de septiembre de 2026 tuvo entrada en el Registro Electrónico Común de la Diputación Foral de Álava solicitud de acceso a la información pública presentada por </w:t>
      </w:r>
      <w:r w:rsidR="00C860CE" w:rsidRPr="00C860CE">
        <w:rPr>
          <w:rFonts w:ascii="Times New Roman" w:eastAsia="Times New Roman" w:hAnsi="Times New Roman" w:cs="Times New Roman"/>
          <w:highlight w:val="black"/>
        </w:rPr>
        <w:t>XXXXX</w:t>
      </w:r>
      <w:r>
        <w:rPr>
          <w:rFonts w:ascii="Times New Roman" w:eastAsia="Times New Roman" w:hAnsi="Times New Roman" w:cs="Times New Roman"/>
        </w:rPr>
        <w:t xml:space="preserve">, por la que solicita información estadística y anonimizada sobre las autorizaciones VTC-N domiciliadas en el Territorio Histórico de Álava durante el año 2026, y más específicamente, sobre el: </w:t>
      </w:r>
    </w:p>
    <w:p w14:paraId="7417302A" w14:textId="77777777" w:rsidR="00101AB5" w:rsidRDefault="00E076C4">
      <w:pPr>
        <w:spacing w:after="111" w:line="248" w:lineRule="auto"/>
        <w:ind w:left="-5" w:hanging="10"/>
        <w:jc w:val="both"/>
      </w:pPr>
      <w:r>
        <w:rPr>
          <w:rFonts w:ascii="Times New Roman" w:eastAsia="Times New Roman" w:hAnsi="Times New Roman" w:cs="Times New Roman"/>
        </w:rPr>
        <w:t>“</w:t>
      </w:r>
      <w:r>
        <w:rPr>
          <w:rFonts w:ascii="Times New Roman" w:eastAsia="Times New Roman" w:hAnsi="Times New Roman" w:cs="Times New Roman"/>
          <w:i/>
        </w:rPr>
        <w:t xml:space="preserve">1. Número de autorizaciones VTC-N que hayan causado alta en cada mes de 2026 hasta la fecha, indicando, si consta de forma diferenciada en sus registros, cuántas corresponden a: </w:t>
      </w:r>
    </w:p>
    <w:p w14:paraId="389FC08E" w14:textId="77777777" w:rsidR="00101AB5" w:rsidRDefault="00E076C4">
      <w:pPr>
        <w:numPr>
          <w:ilvl w:val="0"/>
          <w:numId w:val="1"/>
        </w:numPr>
        <w:spacing w:after="106" w:line="248" w:lineRule="auto"/>
        <w:jc w:val="both"/>
      </w:pPr>
      <w:r>
        <w:rPr>
          <w:rFonts w:ascii="Times New Roman" w:eastAsia="Times New Roman" w:hAnsi="Times New Roman" w:cs="Times New Roman"/>
          <w:i/>
        </w:rPr>
        <w:t xml:space="preserve">nuevas autorizaciones otorgadas; </w:t>
      </w:r>
    </w:p>
    <w:p w14:paraId="63AAE6D1" w14:textId="77777777" w:rsidR="00101AB5" w:rsidRDefault="00E076C4">
      <w:pPr>
        <w:numPr>
          <w:ilvl w:val="0"/>
          <w:numId w:val="1"/>
        </w:numPr>
        <w:spacing w:after="109" w:line="248" w:lineRule="auto"/>
        <w:jc w:val="both"/>
      </w:pPr>
      <w:r>
        <w:rPr>
          <w:rFonts w:ascii="Times New Roman" w:eastAsia="Times New Roman" w:hAnsi="Times New Roman" w:cs="Times New Roman"/>
          <w:i/>
        </w:rPr>
        <w:t xml:space="preserve">ejecución de sentencias o resoluciones; </w:t>
      </w:r>
    </w:p>
    <w:p w14:paraId="2E65DAF6" w14:textId="77777777" w:rsidR="00101AB5" w:rsidRDefault="00E076C4">
      <w:pPr>
        <w:numPr>
          <w:ilvl w:val="0"/>
          <w:numId w:val="1"/>
        </w:numPr>
        <w:spacing w:after="106" w:line="248" w:lineRule="auto"/>
        <w:jc w:val="both"/>
      </w:pPr>
      <w:r>
        <w:rPr>
          <w:rFonts w:ascii="Times New Roman" w:eastAsia="Times New Roman" w:hAnsi="Times New Roman" w:cs="Times New Roman"/>
          <w:i/>
        </w:rPr>
        <w:t xml:space="preserve">rehabilitaciones; </w:t>
      </w:r>
    </w:p>
    <w:p w14:paraId="148DCC96" w14:textId="77777777" w:rsidR="00101AB5" w:rsidRDefault="00E076C4">
      <w:pPr>
        <w:numPr>
          <w:ilvl w:val="0"/>
          <w:numId w:val="1"/>
        </w:numPr>
        <w:spacing w:after="0" w:line="350" w:lineRule="auto"/>
        <w:jc w:val="both"/>
      </w:pPr>
      <w:r>
        <w:rPr>
          <w:rFonts w:ascii="Times New Roman" w:eastAsia="Times New Roman" w:hAnsi="Times New Roman" w:cs="Times New Roman"/>
          <w:i/>
        </w:rPr>
        <w:t xml:space="preserve">cambios de domicilio o residencia desde otro territorio; - otras causas. Así como,  </w:t>
      </w:r>
    </w:p>
    <w:p w14:paraId="1EEE5955" w14:textId="77777777" w:rsidR="00101AB5" w:rsidRDefault="00E076C4">
      <w:pPr>
        <w:spacing w:after="108" w:line="248" w:lineRule="auto"/>
        <w:ind w:left="-5" w:hanging="10"/>
        <w:jc w:val="both"/>
      </w:pPr>
      <w:r>
        <w:rPr>
          <w:rFonts w:ascii="Times New Roman" w:eastAsia="Times New Roman" w:hAnsi="Times New Roman" w:cs="Times New Roman"/>
          <w:i/>
        </w:rPr>
        <w:t xml:space="preserve">2. Respecto de las nuevas autorizaciones VTC-N otorgadas durante 2026, indicar, si consta: </w:t>
      </w:r>
    </w:p>
    <w:p w14:paraId="38E5C641" w14:textId="77777777" w:rsidR="00101AB5" w:rsidRDefault="00E076C4">
      <w:pPr>
        <w:numPr>
          <w:ilvl w:val="0"/>
          <w:numId w:val="2"/>
        </w:numPr>
        <w:spacing w:after="106" w:line="248" w:lineRule="auto"/>
        <w:ind w:hanging="130"/>
        <w:jc w:val="both"/>
      </w:pPr>
      <w:r>
        <w:rPr>
          <w:rFonts w:ascii="Times New Roman" w:eastAsia="Times New Roman" w:hAnsi="Times New Roman" w:cs="Times New Roman"/>
          <w:i/>
        </w:rPr>
        <w:t xml:space="preserve">número de autorizaciones concedidas; </w:t>
      </w:r>
    </w:p>
    <w:p w14:paraId="61F3842D" w14:textId="77777777" w:rsidR="00101AB5" w:rsidRPr="00C860CE" w:rsidRDefault="00E076C4">
      <w:pPr>
        <w:numPr>
          <w:ilvl w:val="0"/>
          <w:numId w:val="2"/>
        </w:numPr>
        <w:spacing w:after="143" w:line="248" w:lineRule="auto"/>
        <w:ind w:hanging="130"/>
        <w:jc w:val="both"/>
      </w:pPr>
      <w:r>
        <w:rPr>
          <w:rFonts w:ascii="Times New Roman" w:eastAsia="Times New Roman" w:hAnsi="Times New Roman" w:cs="Times New Roman"/>
          <w:i/>
        </w:rPr>
        <w:t xml:space="preserve">mes o año en que se presentaron las solicitudes; </w:t>
      </w:r>
    </w:p>
    <w:p w14:paraId="5B8B9F6C" w14:textId="77777777" w:rsidR="00C860CE" w:rsidRDefault="00C860CE" w:rsidP="00C860CE">
      <w:pPr>
        <w:numPr>
          <w:ilvl w:val="0"/>
          <w:numId w:val="2"/>
        </w:numPr>
        <w:spacing w:after="226" w:line="248" w:lineRule="auto"/>
        <w:ind w:hanging="130"/>
        <w:jc w:val="both"/>
      </w:pPr>
      <w:proofErr w:type="spellStart"/>
      <w:r>
        <w:rPr>
          <w:rFonts w:ascii="Times New Roman" w:eastAsia="Times New Roman" w:hAnsi="Times New Roman" w:cs="Times New Roman"/>
          <w:i/>
        </w:rPr>
        <w:t>si</w:t>
      </w:r>
      <w:proofErr w:type="spellEnd"/>
      <w:r>
        <w:rPr>
          <w:rFonts w:ascii="Times New Roman" w:eastAsia="Times New Roman" w:hAnsi="Times New Roman" w:cs="Times New Roman"/>
          <w:i/>
        </w:rPr>
        <w:t xml:space="preserve"> para iniciar esas solicitudes fue necesario identificar desde el primer momento vehículo y matrícula, o si pudieron aportarse posteriormente durante la tramitación o mediante requerimiento/subsanación.” </w:t>
      </w:r>
    </w:p>
    <w:p w14:paraId="09FA1F33" w14:textId="77777777" w:rsidR="00C860CE" w:rsidRDefault="00C860CE" w:rsidP="00C860CE">
      <w:pPr>
        <w:spacing w:after="143" w:line="248" w:lineRule="auto"/>
        <w:ind w:left="130"/>
        <w:jc w:val="both"/>
      </w:pPr>
    </w:p>
    <w:p w14:paraId="5622A703" w14:textId="0A9AD009" w:rsidR="00101AB5" w:rsidRDefault="00101AB5">
      <w:pPr>
        <w:spacing w:after="0"/>
        <w:ind w:left="-5" w:hanging="10"/>
        <w:rPr>
          <w:rFonts w:ascii="Arial" w:eastAsia="Arial" w:hAnsi="Arial" w:cs="Arial"/>
          <w:sz w:val="14"/>
        </w:rPr>
      </w:pPr>
    </w:p>
    <w:p w14:paraId="545FBA9A" w14:textId="77777777" w:rsidR="00C860CE" w:rsidRDefault="00C860CE">
      <w:pPr>
        <w:spacing w:after="0"/>
        <w:ind w:left="-5" w:hanging="10"/>
        <w:rPr>
          <w:rFonts w:ascii="Arial" w:eastAsia="Arial" w:hAnsi="Arial" w:cs="Arial"/>
          <w:sz w:val="14"/>
        </w:rPr>
      </w:pPr>
    </w:p>
    <w:p w14:paraId="7D96570D" w14:textId="77777777" w:rsidR="00C860CE" w:rsidRDefault="00C860CE">
      <w:pPr>
        <w:spacing w:after="0"/>
        <w:ind w:left="-5" w:hanging="10"/>
        <w:rPr>
          <w:rFonts w:ascii="Arial" w:eastAsia="Arial" w:hAnsi="Arial" w:cs="Arial"/>
          <w:sz w:val="14"/>
        </w:rPr>
      </w:pPr>
    </w:p>
    <w:p w14:paraId="288D9D55" w14:textId="77777777" w:rsidR="00C860CE" w:rsidRDefault="00C860CE">
      <w:pPr>
        <w:spacing w:after="0"/>
        <w:ind w:left="-5" w:hanging="10"/>
        <w:rPr>
          <w:rFonts w:ascii="Arial" w:eastAsia="Arial" w:hAnsi="Arial" w:cs="Arial"/>
          <w:sz w:val="14"/>
        </w:rPr>
      </w:pPr>
    </w:p>
    <w:p w14:paraId="42397C69" w14:textId="77777777" w:rsidR="00C860CE" w:rsidRDefault="00C860CE">
      <w:pPr>
        <w:spacing w:after="0"/>
        <w:ind w:left="-5" w:hanging="10"/>
        <w:rPr>
          <w:rFonts w:ascii="Arial" w:eastAsia="Arial" w:hAnsi="Arial" w:cs="Arial"/>
          <w:sz w:val="14"/>
        </w:rPr>
      </w:pPr>
    </w:p>
    <w:p w14:paraId="25F0F744" w14:textId="77777777" w:rsidR="00C860CE" w:rsidRDefault="00C860CE">
      <w:pPr>
        <w:spacing w:after="0"/>
        <w:ind w:left="-5" w:hanging="10"/>
        <w:rPr>
          <w:rFonts w:ascii="Arial" w:eastAsia="Arial" w:hAnsi="Arial" w:cs="Arial"/>
          <w:sz w:val="14"/>
        </w:rPr>
      </w:pPr>
    </w:p>
    <w:p w14:paraId="52CF0D9D" w14:textId="77777777" w:rsidR="00C860CE" w:rsidRDefault="00C860CE">
      <w:pPr>
        <w:spacing w:after="0"/>
        <w:ind w:left="-5" w:hanging="10"/>
        <w:rPr>
          <w:rFonts w:ascii="Arial" w:eastAsia="Arial" w:hAnsi="Arial" w:cs="Arial"/>
          <w:sz w:val="14"/>
        </w:rPr>
      </w:pPr>
    </w:p>
    <w:p w14:paraId="7308C9F3" w14:textId="77777777" w:rsidR="00C860CE" w:rsidRDefault="00C860CE">
      <w:pPr>
        <w:spacing w:after="0"/>
        <w:ind w:left="-5" w:hanging="10"/>
        <w:rPr>
          <w:rFonts w:ascii="Arial" w:eastAsia="Arial" w:hAnsi="Arial" w:cs="Arial"/>
          <w:sz w:val="14"/>
        </w:rPr>
      </w:pPr>
    </w:p>
    <w:p w14:paraId="12F7C306" w14:textId="77777777" w:rsidR="00C860CE" w:rsidRDefault="00C860CE">
      <w:pPr>
        <w:spacing w:after="0"/>
        <w:ind w:left="-5" w:hanging="10"/>
        <w:rPr>
          <w:rFonts w:ascii="Arial" w:eastAsia="Arial" w:hAnsi="Arial" w:cs="Arial"/>
          <w:sz w:val="14"/>
        </w:rPr>
      </w:pPr>
    </w:p>
    <w:p w14:paraId="4453A046" w14:textId="77777777" w:rsidR="00C860CE" w:rsidRDefault="00C860CE">
      <w:pPr>
        <w:spacing w:after="0"/>
        <w:ind w:left="-5" w:hanging="10"/>
        <w:rPr>
          <w:rFonts w:ascii="Arial" w:eastAsia="Arial" w:hAnsi="Arial" w:cs="Arial"/>
          <w:sz w:val="14"/>
        </w:rPr>
      </w:pPr>
    </w:p>
    <w:p w14:paraId="2EB427AD" w14:textId="77777777" w:rsidR="00C860CE" w:rsidRDefault="00C860CE">
      <w:pPr>
        <w:spacing w:after="0"/>
        <w:ind w:left="-5" w:hanging="10"/>
        <w:rPr>
          <w:rFonts w:ascii="Arial" w:eastAsia="Arial" w:hAnsi="Arial" w:cs="Arial"/>
          <w:sz w:val="14"/>
        </w:rPr>
      </w:pPr>
    </w:p>
    <w:p w14:paraId="7D0473F2" w14:textId="77777777" w:rsidR="00C860CE" w:rsidRDefault="00C860CE">
      <w:pPr>
        <w:spacing w:after="0"/>
        <w:ind w:left="-5" w:hanging="10"/>
        <w:rPr>
          <w:rFonts w:ascii="Arial" w:eastAsia="Arial" w:hAnsi="Arial" w:cs="Arial"/>
          <w:sz w:val="14"/>
        </w:rPr>
      </w:pPr>
    </w:p>
    <w:p w14:paraId="08CDC296" w14:textId="77777777" w:rsidR="00C860CE" w:rsidRDefault="00C860CE">
      <w:pPr>
        <w:spacing w:after="0"/>
        <w:ind w:left="-5" w:hanging="10"/>
        <w:rPr>
          <w:rFonts w:ascii="Arial" w:eastAsia="Arial" w:hAnsi="Arial" w:cs="Arial"/>
          <w:sz w:val="14"/>
        </w:rPr>
      </w:pPr>
    </w:p>
    <w:p w14:paraId="3E29D561" w14:textId="77777777" w:rsidR="00C860CE" w:rsidRDefault="00C860CE">
      <w:pPr>
        <w:spacing w:after="0"/>
        <w:ind w:left="-5" w:hanging="10"/>
        <w:rPr>
          <w:rFonts w:ascii="Arial" w:eastAsia="Arial" w:hAnsi="Arial" w:cs="Arial"/>
          <w:sz w:val="14"/>
        </w:rPr>
      </w:pPr>
    </w:p>
    <w:p w14:paraId="2188DC89" w14:textId="77777777" w:rsidR="00C860CE" w:rsidRDefault="00C860CE">
      <w:pPr>
        <w:spacing w:after="0"/>
        <w:ind w:left="-5" w:hanging="10"/>
        <w:rPr>
          <w:rFonts w:ascii="Arial" w:eastAsia="Arial" w:hAnsi="Arial" w:cs="Arial"/>
          <w:sz w:val="14"/>
        </w:rPr>
      </w:pPr>
    </w:p>
    <w:p w14:paraId="67D40D2B" w14:textId="77777777" w:rsidR="00C860CE" w:rsidRDefault="00C860CE">
      <w:pPr>
        <w:spacing w:after="0"/>
        <w:ind w:left="-5" w:hanging="10"/>
        <w:rPr>
          <w:rFonts w:ascii="Arial" w:eastAsia="Arial" w:hAnsi="Arial" w:cs="Arial"/>
          <w:sz w:val="14"/>
        </w:rPr>
      </w:pPr>
    </w:p>
    <w:p w14:paraId="44C4570C" w14:textId="77777777" w:rsidR="00C860CE" w:rsidRDefault="00C860CE">
      <w:pPr>
        <w:spacing w:after="0"/>
        <w:ind w:left="-5" w:hanging="10"/>
      </w:pPr>
    </w:p>
    <w:p w14:paraId="0A6DF0D0" w14:textId="77777777" w:rsidR="00101AB5" w:rsidRDefault="00E076C4">
      <w:pPr>
        <w:spacing w:after="66"/>
        <w:ind w:left="-29" w:right="-26"/>
      </w:pPr>
      <w:r>
        <w:rPr>
          <w:noProof/>
        </w:rPr>
        <mc:AlternateContent>
          <mc:Choice Requires="wpg">
            <w:drawing>
              <wp:inline distT="0" distB="0" distL="0" distR="0" wp14:anchorId="2E6C05C8" wp14:editId="0126A539">
                <wp:extent cx="6248146" cy="6096"/>
                <wp:effectExtent l="0" t="0" r="0" b="0"/>
                <wp:docPr id="6243" name="Group 6243"/>
                <wp:cNvGraphicFramePr/>
                <a:graphic xmlns:a="http://schemas.openxmlformats.org/drawingml/2006/main">
                  <a:graphicData uri="http://schemas.microsoft.com/office/word/2010/wordprocessingGroup">
                    <wpg:wgp>
                      <wpg:cNvGrpSpPr/>
                      <wpg:grpSpPr>
                        <a:xfrm>
                          <a:off x="0" y="0"/>
                          <a:ext cx="6248146" cy="6096"/>
                          <a:chOff x="0" y="0"/>
                          <a:chExt cx="6248146" cy="6096"/>
                        </a:xfrm>
                      </wpg:grpSpPr>
                      <wps:wsp>
                        <wps:cNvPr id="7417" name="Shape 7417"/>
                        <wps:cNvSpPr/>
                        <wps:spPr>
                          <a:xfrm>
                            <a:off x="0" y="0"/>
                            <a:ext cx="6248146" cy="9144"/>
                          </a:xfrm>
                          <a:custGeom>
                            <a:avLst/>
                            <a:gdLst/>
                            <a:ahLst/>
                            <a:cxnLst/>
                            <a:rect l="0" t="0" r="0" b="0"/>
                            <a:pathLst>
                              <a:path w="6248146" h="9144">
                                <a:moveTo>
                                  <a:pt x="0" y="0"/>
                                </a:moveTo>
                                <a:lnTo>
                                  <a:pt x="6248146" y="0"/>
                                </a:lnTo>
                                <a:lnTo>
                                  <a:pt x="62481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243" style="width:491.98pt;height:0.47998pt;mso-position-horizontal-relative:char;mso-position-vertical-relative:line" coordsize="62481,60">
                <v:shape id="Shape 7418" style="position:absolute;width:62481;height:91;left:0;top:0;" coordsize="6248146,9144" path="m0,0l6248146,0l6248146,9144l0,9144l0,0">
                  <v:stroke weight="0pt" endcap="flat" joinstyle="miter" miterlimit="10" on="false" color="#000000" opacity="0"/>
                  <v:fill on="true" color="#000000"/>
                </v:shape>
              </v:group>
            </w:pict>
          </mc:Fallback>
        </mc:AlternateContent>
      </w:r>
    </w:p>
    <w:p w14:paraId="36BC236B" w14:textId="77777777" w:rsidR="00101AB5" w:rsidRDefault="00E076C4">
      <w:pPr>
        <w:tabs>
          <w:tab w:val="center" w:pos="5646"/>
          <w:tab w:val="center" w:pos="8070"/>
        </w:tabs>
        <w:spacing w:after="58"/>
      </w:pPr>
      <w:r>
        <w:rPr>
          <w:rFonts w:ascii="Arial" w:eastAsia="Arial" w:hAnsi="Arial" w:cs="Arial"/>
          <w:b/>
          <w:sz w:val="16"/>
        </w:rPr>
        <w:t xml:space="preserve">Berdintasun, Euskara eta Gobernantza Saila </w:t>
      </w:r>
      <w:r>
        <w:rPr>
          <w:rFonts w:ascii="Arial" w:eastAsia="Arial" w:hAnsi="Arial" w:cs="Arial"/>
          <w:b/>
          <w:sz w:val="16"/>
        </w:rPr>
        <w:tab/>
      </w:r>
      <w:r>
        <w:rPr>
          <w:rFonts w:ascii="Arial" w:eastAsia="Arial" w:hAnsi="Arial" w:cs="Arial"/>
          <w:sz w:val="16"/>
        </w:rPr>
        <w:t xml:space="preserve">Euskararen eta Gobernu Irekiaren </w:t>
      </w:r>
      <w:r>
        <w:rPr>
          <w:rFonts w:ascii="Arial" w:eastAsia="Arial" w:hAnsi="Arial" w:cs="Arial"/>
          <w:sz w:val="16"/>
        </w:rPr>
        <w:tab/>
      </w:r>
      <w:r>
        <w:rPr>
          <w:rFonts w:ascii="Arial" w:eastAsia="Arial" w:hAnsi="Arial" w:cs="Arial"/>
          <w:sz w:val="14"/>
        </w:rPr>
        <w:t xml:space="preserve">Probintzia plaza,  </w:t>
      </w:r>
    </w:p>
    <w:p w14:paraId="6AA7A120" w14:textId="77777777" w:rsidR="00101AB5" w:rsidRDefault="00E076C4">
      <w:pPr>
        <w:tabs>
          <w:tab w:val="center" w:pos="4899"/>
          <w:tab w:val="center" w:pos="8226"/>
        </w:tabs>
        <w:spacing w:after="0"/>
      </w:pPr>
      <w:r>
        <w:tab/>
      </w:r>
      <w:r>
        <w:rPr>
          <w:rFonts w:ascii="Arial" w:eastAsia="Arial" w:hAnsi="Arial" w:cs="Arial"/>
          <w:sz w:val="16"/>
        </w:rPr>
        <w:t xml:space="preserve">Zuzendaritza </w:t>
      </w:r>
      <w:r>
        <w:rPr>
          <w:rFonts w:ascii="Arial" w:eastAsia="Arial" w:hAnsi="Arial" w:cs="Arial"/>
          <w:sz w:val="16"/>
        </w:rPr>
        <w:tab/>
      </w:r>
      <w:r>
        <w:rPr>
          <w:rFonts w:ascii="Arial" w:eastAsia="Arial" w:hAnsi="Arial" w:cs="Arial"/>
          <w:sz w:val="14"/>
        </w:rPr>
        <w:t xml:space="preserve">01001 Vitoria-Gasteiz </w:t>
      </w:r>
    </w:p>
    <w:p w14:paraId="3BDD3FFD" w14:textId="77777777" w:rsidR="00101AB5" w:rsidRDefault="00E076C4">
      <w:pPr>
        <w:spacing w:after="0"/>
        <w:ind w:left="79" w:hanging="10"/>
      </w:pPr>
      <w:r>
        <w:rPr>
          <w:rFonts w:ascii="Arial" w:eastAsia="Arial" w:hAnsi="Arial" w:cs="Arial"/>
          <w:b/>
          <w:sz w:val="16"/>
        </w:rPr>
        <w:t>Departamento de Igualdad, Euskera y Gobernanza</w:t>
      </w:r>
      <w:r>
        <w:rPr>
          <w:rFonts w:ascii="Arial" w:eastAsia="Arial" w:hAnsi="Arial" w:cs="Arial"/>
          <w:sz w:val="16"/>
        </w:rPr>
        <w:t xml:space="preserve"> </w:t>
      </w:r>
    </w:p>
    <w:p w14:paraId="31EC8DF3" w14:textId="77777777" w:rsidR="00101AB5" w:rsidRDefault="00E076C4">
      <w:pPr>
        <w:tabs>
          <w:tab w:val="center" w:pos="5886"/>
          <w:tab w:val="center" w:pos="8117"/>
        </w:tabs>
        <w:spacing w:after="82" w:line="248" w:lineRule="auto"/>
      </w:pPr>
      <w:r>
        <w:tab/>
      </w:r>
      <w:r>
        <w:rPr>
          <w:rFonts w:ascii="Arial" w:eastAsia="Arial" w:hAnsi="Arial" w:cs="Arial"/>
          <w:sz w:val="16"/>
        </w:rPr>
        <w:t xml:space="preserve">Dirección de Euskera y Gobierno Abierto </w:t>
      </w:r>
      <w:r>
        <w:rPr>
          <w:rFonts w:ascii="Arial" w:eastAsia="Arial" w:hAnsi="Arial" w:cs="Arial"/>
          <w:sz w:val="16"/>
        </w:rPr>
        <w:tab/>
      </w:r>
      <w:r>
        <w:rPr>
          <w:rFonts w:ascii="Arial" w:eastAsia="Arial" w:hAnsi="Arial" w:cs="Arial"/>
          <w:sz w:val="14"/>
        </w:rPr>
        <w:t xml:space="preserve">Tel.: 945 18 18 18 </w:t>
      </w:r>
    </w:p>
    <w:p w14:paraId="5B0E703A" w14:textId="77777777" w:rsidR="00101AB5" w:rsidRDefault="00E076C4">
      <w:pPr>
        <w:spacing w:after="9"/>
        <w:ind w:right="1104"/>
        <w:jc w:val="right"/>
      </w:pPr>
      <w:r>
        <w:rPr>
          <w:rFonts w:ascii="Arial" w:eastAsia="Arial" w:hAnsi="Arial" w:cs="Arial"/>
          <w:sz w:val="14"/>
        </w:rPr>
        <w:t>Fax: 945 18 19 47</w:t>
      </w:r>
      <w:r>
        <w:rPr>
          <w:rFonts w:ascii="Arial" w:eastAsia="Arial" w:hAnsi="Arial" w:cs="Arial"/>
        </w:rPr>
        <w:t xml:space="preserve"> </w:t>
      </w:r>
    </w:p>
    <w:p w14:paraId="53F44FD0" w14:textId="77777777" w:rsidR="00101AB5" w:rsidRDefault="00E076C4">
      <w:pPr>
        <w:spacing w:after="0"/>
      </w:pPr>
      <w:r>
        <w:rPr>
          <w:rFonts w:ascii="Times New Roman" w:eastAsia="Times New Roman" w:hAnsi="Times New Roman" w:cs="Times New Roman"/>
          <w:sz w:val="24"/>
        </w:rPr>
        <w:lastRenderedPageBreak/>
        <w:t xml:space="preserve"> </w:t>
      </w:r>
    </w:p>
    <w:p w14:paraId="3FA93A50" w14:textId="77777777" w:rsidR="00101AB5" w:rsidRDefault="00E076C4">
      <w:pPr>
        <w:spacing w:after="238" w:line="239" w:lineRule="auto"/>
      </w:pPr>
      <w:r>
        <w:rPr>
          <w:rFonts w:ascii="Times New Roman" w:eastAsia="Times New Roman" w:hAnsi="Times New Roman" w:cs="Times New Roman"/>
        </w:rPr>
        <w:t xml:space="preserve">La Ley 19/2013, de 9 de diciembre, de transparencia, acceso a la información pública y buen gobierno, tiene por objeto regular la transparencia de la actividad pública y garantizar el derecho de acceso a la información relativa a aquella actividad y establecer las obligaciones de buen gobierno que deben cumplir los responsables públicos.  </w:t>
      </w:r>
    </w:p>
    <w:p w14:paraId="5A2ED2B9" w14:textId="77777777" w:rsidR="00101AB5" w:rsidRDefault="00E076C4">
      <w:pPr>
        <w:spacing w:after="226" w:line="248" w:lineRule="auto"/>
        <w:ind w:left="-5" w:hanging="10"/>
        <w:jc w:val="both"/>
      </w:pPr>
      <w:r>
        <w:rPr>
          <w:rFonts w:ascii="Times New Roman" w:eastAsia="Times New Roman" w:hAnsi="Times New Roman" w:cs="Times New Roman"/>
        </w:rPr>
        <w:t>La disposición adicional primera de dicha Ley, relativa a las regulaciones especiales del derecho de acceso a la información pública, establece en su punto 2. que “</w:t>
      </w:r>
      <w:r>
        <w:rPr>
          <w:rFonts w:ascii="Times New Roman" w:eastAsia="Times New Roman" w:hAnsi="Times New Roman" w:cs="Times New Roman"/>
          <w:i/>
        </w:rPr>
        <w:t>Se regirán por su normativa específica, y por esta Ley con carácter supletorio, aquellas materias que tengan previsto un régimen jurídico específico de acceso a la información</w:t>
      </w:r>
      <w:r>
        <w:rPr>
          <w:rFonts w:ascii="Times New Roman" w:eastAsia="Times New Roman" w:hAnsi="Times New Roman" w:cs="Times New Roman"/>
        </w:rPr>
        <w:t xml:space="preserve">”.  </w:t>
      </w:r>
    </w:p>
    <w:p w14:paraId="5156DDDF" w14:textId="77777777" w:rsidR="00101AB5" w:rsidRDefault="00E076C4">
      <w:pPr>
        <w:spacing w:after="229" w:line="248" w:lineRule="auto"/>
        <w:ind w:left="-5" w:hanging="10"/>
        <w:jc w:val="both"/>
      </w:pPr>
      <w:r>
        <w:rPr>
          <w:rFonts w:ascii="Times New Roman" w:eastAsia="Times New Roman" w:hAnsi="Times New Roman" w:cs="Times New Roman"/>
        </w:rPr>
        <w:t xml:space="preserve">La Diputación Foral de Álava gestiona las autorizaciones VTC-N, en virtud de la delegación conferida por la disposición adicional primera de la Ley Orgánica 5/1987, de 30 de julio, de Delegación de Facultades del Estado en las Comunidades Autónomas en relación con los transportes por carretera y por cable.  </w:t>
      </w:r>
    </w:p>
    <w:p w14:paraId="0C8A859D" w14:textId="77777777" w:rsidR="00101AB5" w:rsidRDefault="00E076C4">
      <w:pPr>
        <w:spacing w:after="229" w:line="248" w:lineRule="auto"/>
        <w:ind w:left="-5" w:hanging="10"/>
        <w:jc w:val="both"/>
      </w:pPr>
      <w:r>
        <w:rPr>
          <w:rFonts w:ascii="Times New Roman" w:eastAsia="Times New Roman" w:hAnsi="Times New Roman" w:cs="Times New Roman"/>
        </w:rPr>
        <w:t xml:space="preserve">Según establece, el art. 16 de la citada Ley Orgánica 5/1987 el Estado ostenta la función legislativa y la potestad reglamentaria sobre las materias objeto de delegación. Todas las autorizaciones de transporte de ámbito nacional se gestionan y se inscriben, en una base de datos denominada Registro de Empresas y Actividades de Transporte, que tiene un régimen jurídico propio de acceso a la información en materia de transportes terrestres por carretera de ámbito nacional. Concretamente, al respecto el art. 53 de la Ley 16/1987, de 30 de julio, de Ordenación de los Transportes Terrestres (en adelante LOTT), establece lo siguiente: </w:t>
      </w:r>
    </w:p>
    <w:p w14:paraId="39348418" w14:textId="77777777" w:rsidR="00101AB5" w:rsidRDefault="00E076C4">
      <w:pPr>
        <w:spacing w:after="214"/>
        <w:ind w:left="718" w:hanging="10"/>
      </w:pPr>
      <w:r>
        <w:rPr>
          <w:rFonts w:ascii="Times New Roman" w:eastAsia="Times New Roman" w:hAnsi="Times New Roman" w:cs="Times New Roman"/>
          <w:i/>
        </w:rPr>
        <w:t xml:space="preserve">“1. El Registro de Empresas y Actividades de Transporte tiene por objeto: </w:t>
      </w:r>
    </w:p>
    <w:p w14:paraId="2EBC5F11" w14:textId="77777777" w:rsidR="00101AB5" w:rsidRDefault="00E076C4">
      <w:pPr>
        <w:numPr>
          <w:ilvl w:val="0"/>
          <w:numId w:val="3"/>
        </w:numPr>
        <w:spacing w:after="226" w:line="248" w:lineRule="auto"/>
        <w:ind w:hanging="10"/>
        <w:jc w:val="both"/>
      </w:pPr>
      <w:r>
        <w:rPr>
          <w:rFonts w:ascii="Times New Roman" w:eastAsia="Times New Roman" w:hAnsi="Times New Roman" w:cs="Times New Roman"/>
          <w:i/>
        </w:rPr>
        <w:t xml:space="preserve">La inscripción de las empresas y personas que obtengan alguno de los títulos que habilitan para el ejercicio de las actividades y profesiones reguladas en esta ley o en las normas dictadas para su desarrollo. </w:t>
      </w:r>
    </w:p>
    <w:p w14:paraId="0B97DA8F" w14:textId="77777777" w:rsidR="00101AB5" w:rsidRDefault="00E076C4">
      <w:pPr>
        <w:numPr>
          <w:ilvl w:val="0"/>
          <w:numId w:val="3"/>
        </w:numPr>
        <w:spacing w:after="226" w:line="248" w:lineRule="auto"/>
        <w:ind w:hanging="10"/>
        <w:jc w:val="both"/>
      </w:pPr>
      <w:r>
        <w:rPr>
          <w:rFonts w:ascii="Times New Roman" w:eastAsia="Times New Roman" w:hAnsi="Times New Roman" w:cs="Times New Roman"/>
          <w:i/>
        </w:rPr>
        <w:t xml:space="preserve">La inscripción de los contratos de gestión de los servicios públicos de transporte regular de viajeros de uso general. </w:t>
      </w:r>
    </w:p>
    <w:p w14:paraId="5BA84915" w14:textId="77777777" w:rsidR="00101AB5" w:rsidRDefault="00E076C4">
      <w:pPr>
        <w:numPr>
          <w:ilvl w:val="0"/>
          <w:numId w:val="3"/>
        </w:numPr>
        <w:spacing w:after="226" w:line="248" w:lineRule="auto"/>
        <w:ind w:hanging="10"/>
        <w:jc w:val="both"/>
      </w:pPr>
      <w:r>
        <w:rPr>
          <w:rFonts w:ascii="Times New Roman" w:eastAsia="Times New Roman" w:hAnsi="Times New Roman" w:cs="Times New Roman"/>
          <w:i/>
        </w:rPr>
        <w:t xml:space="preserve">La anotación de todas las incidencias y datos relativos a las empresas, personas, títulos y contratos señalados en los apartados anteriores que reglamentariamente se determinen. </w:t>
      </w:r>
    </w:p>
    <w:p w14:paraId="6208A01D" w14:textId="77777777" w:rsidR="00101AB5" w:rsidRDefault="00E076C4">
      <w:pPr>
        <w:numPr>
          <w:ilvl w:val="0"/>
          <w:numId w:val="3"/>
        </w:numPr>
        <w:spacing w:after="226" w:line="248" w:lineRule="auto"/>
        <w:ind w:hanging="10"/>
        <w:jc w:val="both"/>
      </w:pPr>
      <w:r>
        <w:rPr>
          <w:rFonts w:ascii="Times New Roman" w:eastAsia="Times New Roman" w:hAnsi="Times New Roman" w:cs="Times New Roman"/>
          <w:i/>
        </w:rPr>
        <w:t xml:space="preserve">Las sanciones impuestas por la comisión de las infracciones tipificadas en esta ley, así como aquellas otras anotaciones relativas a expedientes sancionadores que se consideren relevantes reglamentariamente. </w:t>
      </w:r>
    </w:p>
    <w:p w14:paraId="7FF3718A" w14:textId="77777777" w:rsidR="00101AB5" w:rsidRDefault="00E076C4">
      <w:pPr>
        <w:numPr>
          <w:ilvl w:val="0"/>
          <w:numId w:val="4"/>
        </w:numPr>
        <w:spacing w:after="226" w:line="248" w:lineRule="auto"/>
        <w:ind w:hanging="221"/>
        <w:jc w:val="both"/>
      </w:pPr>
      <w:r>
        <w:rPr>
          <w:rFonts w:ascii="Times New Roman" w:eastAsia="Times New Roman" w:hAnsi="Times New Roman" w:cs="Times New Roman"/>
          <w:i/>
        </w:rPr>
        <w:t xml:space="preserve">La inscripción en el Registro tendrá carácter obligatorio y se realizará de oficio por la Administración. </w:t>
      </w:r>
    </w:p>
    <w:p w14:paraId="3957C8BF" w14:textId="77777777" w:rsidR="00101AB5" w:rsidRDefault="00E076C4">
      <w:pPr>
        <w:numPr>
          <w:ilvl w:val="0"/>
          <w:numId w:val="4"/>
        </w:numPr>
        <w:spacing w:after="226" w:line="248" w:lineRule="auto"/>
        <w:ind w:hanging="221"/>
        <w:jc w:val="both"/>
      </w:pPr>
      <w:r>
        <w:rPr>
          <w:rFonts w:ascii="Times New Roman" w:eastAsia="Times New Roman" w:hAnsi="Times New Roman" w:cs="Times New Roman"/>
          <w:i/>
        </w:rPr>
        <w:t xml:space="preserve">La organización del Registro, integrada por los Registros territoriales y el Registro Central, se articulará conforme a lo que reglamentariamente se determine. </w:t>
      </w:r>
    </w:p>
    <w:p w14:paraId="77BD2CE9" w14:textId="77777777" w:rsidR="00101AB5" w:rsidRDefault="00E076C4">
      <w:pPr>
        <w:numPr>
          <w:ilvl w:val="0"/>
          <w:numId w:val="4"/>
        </w:numPr>
        <w:spacing w:after="226" w:line="248" w:lineRule="auto"/>
        <w:ind w:hanging="221"/>
        <w:jc w:val="both"/>
      </w:pPr>
      <w:r>
        <w:rPr>
          <w:rFonts w:ascii="Times New Roman" w:eastAsia="Times New Roman" w:hAnsi="Times New Roman" w:cs="Times New Roman"/>
          <w:i/>
        </w:rPr>
        <w:t xml:space="preserve">El contenido del Registro se presume exacto y válido. </w:t>
      </w:r>
    </w:p>
    <w:p w14:paraId="2F70EB92" w14:textId="77777777" w:rsidR="00101AB5" w:rsidRDefault="00E076C4">
      <w:pPr>
        <w:numPr>
          <w:ilvl w:val="0"/>
          <w:numId w:val="4"/>
        </w:numPr>
        <w:spacing w:after="226" w:line="248" w:lineRule="auto"/>
        <w:ind w:hanging="221"/>
        <w:jc w:val="both"/>
      </w:pPr>
      <w:r>
        <w:rPr>
          <w:rFonts w:ascii="Times New Roman" w:eastAsia="Times New Roman" w:hAnsi="Times New Roman" w:cs="Times New Roman"/>
          <w:i/>
        </w:rPr>
        <w:t xml:space="preserve">Realizada una inscripción o anotación en el Registro, no podrá realizarse otra de igual o anterior fecha que resulte opuesta o incompatible con aquélla. </w:t>
      </w:r>
    </w:p>
    <w:p w14:paraId="1A09FC82" w14:textId="77777777" w:rsidR="00101AB5" w:rsidRDefault="00E076C4">
      <w:pPr>
        <w:numPr>
          <w:ilvl w:val="0"/>
          <w:numId w:val="4"/>
        </w:numPr>
        <w:spacing w:after="224" w:line="250" w:lineRule="auto"/>
        <w:ind w:hanging="221"/>
        <w:jc w:val="both"/>
      </w:pPr>
      <w:r>
        <w:rPr>
          <w:rFonts w:ascii="Times New Roman" w:eastAsia="Times New Roman" w:hAnsi="Times New Roman" w:cs="Times New Roman"/>
          <w:i/>
        </w:rPr>
        <w:t xml:space="preserve">El Registro </w:t>
      </w:r>
      <w:r>
        <w:rPr>
          <w:rFonts w:ascii="Times New Roman" w:eastAsia="Times New Roman" w:hAnsi="Times New Roman" w:cs="Times New Roman"/>
          <w:i/>
          <w:u w:val="single" w:color="000000"/>
        </w:rPr>
        <w:t>es público en los términos siguientes</w:t>
      </w:r>
      <w:r>
        <w:rPr>
          <w:rFonts w:ascii="Times New Roman" w:eastAsia="Times New Roman" w:hAnsi="Times New Roman" w:cs="Times New Roman"/>
          <w:i/>
        </w:rPr>
        <w:t xml:space="preserve">: </w:t>
      </w:r>
    </w:p>
    <w:p w14:paraId="0C28D11C" w14:textId="77777777" w:rsidR="00101AB5" w:rsidRDefault="00E076C4">
      <w:pPr>
        <w:numPr>
          <w:ilvl w:val="0"/>
          <w:numId w:val="5"/>
        </w:numPr>
        <w:spacing w:after="226" w:line="248" w:lineRule="auto"/>
        <w:ind w:hanging="10"/>
        <w:jc w:val="both"/>
      </w:pPr>
      <w:r>
        <w:rPr>
          <w:rFonts w:ascii="Times New Roman" w:eastAsia="Times New Roman" w:hAnsi="Times New Roman" w:cs="Times New Roman"/>
          <w:i/>
          <w:u w:val="single" w:color="000000"/>
        </w:rPr>
        <w:t>Publicidad plena</w:t>
      </w:r>
      <w:r>
        <w:rPr>
          <w:rFonts w:ascii="Times New Roman" w:eastAsia="Times New Roman" w:hAnsi="Times New Roman" w:cs="Times New Roman"/>
          <w:i/>
        </w:rPr>
        <w:t xml:space="preserve">: todo ciudadano podrá conocer los títulos habilitantes en vigor que posea cualquier otra persona física o jurídica en el momento de hacer su consulta, así como la tarifa y aquella </w:t>
      </w:r>
      <w:r>
        <w:rPr>
          <w:rFonts w:ascii="Times New Roman" w:eastAsia="Times New Roman" w:hAnsi="Times New Roman" w:cs="Times New Roman"/>
          <w:i/>
        </w:rPr>
        <w:lastRenderedPageBreak/>
        <w:t xml:space="preserve">otra parte del contenido de los contratos de gestión de servicios públicos de transporte regular de viajeros de uso general que reglamentariamente se determine. </w:t>
      </w:r>
    </w:p>
    <w:p w14:paraId="14EAD666" w14:textId="77777777" w:rsidR="00101AB5" w:rsidRDefault="00E076C4">
      <w:pPr>
        <w:numPr>
          <w:ilvl w:val="0"/>
          <w:numId w:val="5"/>
        </w:numPr>
        <w:spacing w:after="226" w:line="248" w:lineRule="auto"/>
        <w:ind w:hanging="10"/>
        <w:jc w:val="both"/>
      </w:pPr>
      <w:r>
        <w:rPr>
          <w:rFonts w:ascii="Times New Roman" w:eastAsia="Times New Roman" w:hAnsi="Times New Roman" w:cs="Times New Roman"/>
          <w:i/>
          <w:u w:val="single" w:color="000000"/>
        </w:rPr>
        <w:t>Publicidad restringida</w:t>
      </w:r>
      <w:r>
        <w:rPr>
          <w:rFonts w:ascii="Times New Roman" w:eastAsia="Times New Roman" w:hAnsi="Times New Roman" w:cs="Times New Roman"/>
          <w:i/>
        </w:rPr>
        <w:t xml:space="preserve">: las anotaciones relativas a un procedimiento sancionador únicamente podrán ser conocidas por la persona o personas a que estén referidas. </w:t>
      </w:r>
    </w:p>
    <w:p w14:paraId="102FB583" w14:textId="77777777" w:rsidR="00101AB5" w:rsidRDefault="00E076C4">
      <w:pPr>
        <w:numPr>
          <w:ilvl w:val="0"/>
          <w:numId w:val="5"/>
        </w:numPr>
        <w:spacing w:after="226" w:line="248" w:lineRule="auto"/>
        <w:ind w:hanging="10"/>
        <w:jc w:val="both"/>
      </w:pPr>
      <w:r>
        <w:rPr>
          <w:rFonts w:ascii="Times New Roman" w:eastAsia="Times New Roman" w:hAnsi="Times New Roman" w:cs="Times New Roman"/>
          <w:i/>
          <w:u w:val="single" w:color="000000"/>
        </w:rPr>
        <w:t>Publicidad ordinaria</w:t>
      </w:r>
      <w:r>
        <w:rPr>
          <w:rFonts w:ascii="Times New Roman" w:eastAsia="Times New Roman" w:hAnsi="Times New Roman" w:cs="Times New Roman"/>
          <w:i/>
        </w:rPr>
        <w:t xml:space="preserve">: el acceso a datos obrantes en el Registro no incluidos en los apartados anteriores y que no pertenezcan a la intimidad de las personas podrá ser ejercido, además de por el propio sujeto al que estén referidos, </w:t>
      </w:r>
      <w:r>
        <w:rPr>
          <w:rFonts w:ascii="Times New Roman" w:eastAsia="Times New Roman" w:hAnsi="Times New Roman" w:cs="Times New Roman"/>
          <w:b/>
          <w:i/>
          <w:u w:val="single" w:color="000000"/>
        </w:rPr>
        <w:t>por terceros que acrediten un interés legítimo</w:t>
      </w:r>
      <w:r>
        <w:rPr>
          <w:rFonts w:ascii="Times New Roman" w:eastAsia="Times New Roman" w:hAnsi="Times New Roman" w:cs="Times New Roman"/>
          <w:i/>
        </w:rPr>
        <w:t xml:space="preserve">.” </w:t>
      </w:r>
    </w:p>
    <w:p w14:paraId="11532DBF" w14:textId="77777777" w:rsidR="00101AB5" w:rsidRDefault="00E076C4">
      <w:pPr>
        <w:spacing w:after="229" w:line="248" w:lineRule="auto"/>
        <w:ind w:left="-5" w:hanging="10"/>
        <w:jc w:val="both"/>
      </w:pPr>
      <w:r>
        <w:rPr>
          <w:rFonts w:ascii="Times New Roman" w:eastAsia="Times New Roman" w:hAnsi="Times New Roman" w:cs="Times New Roman"/>
        </w:rPr>
        <w:t xml:space="preserve">Asimismo, en los arts. 49 y 50 del Real Decreto 1211/1990, de 28 de septiembre, por el que se aprueba el Reglamento de la Ley de Ordenación de los Transportes Terrestres (en adelante ROTT), se desarrolla el modo de acceder por la ciudadanía a los datos del Registro de Empresas y Actividades de Transporte. En el art.50 se establece lo siguiente: </w:t>
      </w:r>
    </w:p>
    <w:p w14:paraId="3F0EB2FB" w14:textId="77777777" w:rsidR="00101AB5" w:rsidRDefault="00E076C4">
      <w:pPr>
        <w:spacing w:after="235" w:line="240" w:lineRule="auto"/>
        <w:ind w:right="1"/>
        <w:jc w:val="both"/>
      </w:pPr>
      <w:r>
        <w:rPr>
          <w:rFonts w:ascii="Times New Roman" w:eastAsia="Times New Roman" w:hAnsi="Times New Roman" w:cs="Times New Roman"/>
        </w:rPr>
        <w:t>“</w:t>
      </w:r>
      <w:r>
        <w:rPr>
          <w:rFonts w:ascii="Times New Roman" w:eastAsia="Times New Roman" w:hAnsi="Times New Roman" w:cs="Times New Roman"/>
          <w:i/>
        </w:rPr>
        <w:t xml:space="preserve">2. Cualquier certificación o </w:t>
      </w:r>
      <w:r>
        <w:rPr>
          <w:rFonts w:ascii="Times New Roman" w:eastAsia="Times New Roman" w:hAnsi="Times New Roman" w:cs="Times New Roman"/>
          <w:b/>
          <w:i/>
        </w:rPr>
        <w:t>informe relativo a los datos obrantes en el Registro</w:t>
      </w:r>
      <w:r>
        <w:rPr>
          <w:rFonts w:ascii="Times New Roman" w:eastAsia="Times New Roman" w:hAnsi="Times New Roman" w:cs="Times New Roman"/>
          <w:i/>
        </w:rPr>
        <w:t xml:space="preserve"> en relación con una empresa, </w:t>
      </w:r>
      <w:r>
        <w:rPr>
          <w:rFonts w:ascii="Times New Roman" w:eastAsia="Times New Roman" w:hAnsi="Times New Roman" w:cs="Times New Roman"/>
          <w:b/>
          <w:i/>
          <w:u w:val="single" w:color="000000"/>
        </w:rPr>
        <w:t>título habilitante</w:t>
      </w:r>
      <w:r>
        <w:rPr>
          <w:rFonts w:ascii="Times New Roman" w:eastAsia="Times New Roman" w:hAnsi="Times New Roman" w:cs="Times New Roman"/>
          <w:i/>
        </w:rPr>
        <w:t xml:space="preserve"> o contrato de gestión </w:t>
      </w:r>
      <w:r>
        <w:rPr>
          <w:rFonts w:ascii="Times New Roman" w:eastAsia="Times New Roman" w:hAnsi="Times New Roman" w:cs="Times New Roman"/>
          <w:b/>
          <w:i/>
          <w:u w:val="single" w:color="000000"/>
        </w:rPr>
        <w:t>deberá ser emitida por la Oficina Territorial a la que corresponda su</w:t>
      </w:r>
      <w:r>
        <w:rPr>
          <w:rFonts w:ascii="Times New Roman" w:eastAsia="Times New Roman" w:hAnsi="Times New Roman" w:cs="Times New Roman"/>
          <w:b/>
          <w:i/>
        </w:rPr>
        <w:t xml:space="preserve"> </w:t>
      </w:r>
      <w:r>
        <w:rPr>
          <w:rFonts w:ascii="Times New Roman" w:eastAsia="Times New Roman" w:hAnsi="Times New Roman" w:cs="Times New Roman"/>
          <w:b/>
          <w:i/>
          <w:u w:val="single" w:color="000000"/>
        </w:rPr>
        <w:t>anotación</w:t>
      </w:r>
      <w:r>
        <w:rPr>
          <w:rFonts w:ascii="Times New Roman" w:eastAsia="Times New Roman" w:hAnsi="Times New Roman" w:cs="Times New Roman"/>
          <w:b/>
          <w:i/>
        </w:rPr>
        <w:t xml:space="preserve">. </w:t>
      </w:r>
    </w:p>
    <w:p w14:paraId="31F522AC" w14:textId="77777777" w:rsidR="00101AB5" w:rsidRDefault="00E076C4">
      <w:pPr>
        <w:spacing w:after="224" w:line="250" w:lineRule="auto"/>
        <w:ind w:left="-5" w:hanging="10"/>
      </w:pPr>
      <w:r>
        <w:rPr>
          <w:rFonts w:ascii="Times New Roman" w:eastAsia="Times New Roman" w:hAnsi="Times New Roman" w:cs="Times New Roman"/>
          <w:i/>
        </w:rPr>
        <w:t xml:space="preserve">A estos efectos, </w:t>
      </w:r>
      <w:r>
        <w:rPr>
          <w:rFonts w:ascii="Times New Roman" w:eastAsia="Times New Roman" w:hAnsi="Times New Roman" w:cs="Times New Roman"/>
          <w:i/>
          <w:u w:val="single" w:color="000000"/>
        </w:rPr>
        <w:t xml:space="preserve">el interesado deberá concretar </w:t>
      </w:r>
      <w:r>
        <w:rPr>
          <w:rFonts w:ascii="Times New Roman" w:eastAsia="Times New Roman" w:hAnsi="Times New Roman" w:cs="Times New Roman"/>
          <w:i/>
        </w:rPr>
        <w:t>la empresa</w:t>
      </w:r>
      <w:r>
        <w:rPr>
          <w:rFonts w:ascii="Times New Roman" w:eastAsia="Times New Roman" w:hAnsi="Times New Roman" w:cs="Times New Roman"/>
          <w:i/>
          <w:u w:val="single" w:color="000000"/>
        </w:rPr>
        <w:t xml:space="preserve">, </w:t>
      </w:r>
      <w:r>
        <w:rPr>
          <w:rFonts w:ascii="Times New Roman" w:eastAsia="Times New Roman" w:hAnsi="Times New Roman" w:cs="Times New Roman"/>
          <w:b/>
          <w:i/>
          <w:u w:val="single" w:color="000000"/>
        </w:rPr>
        <w:t>título habilitante</w:t>
      </w:r>
      <w:r>
        <w:rPr>
          <w:rFonts w:ascii="Times New Roman" w:eastAsia="Times New Roman" w:hAnsi="Times New Roman" w:cs="Times New Roman"/>
          <w:i/>
          <w:u w:val="single" w:color="000000"/>
        </w:rPr>
        <w:t xml:space="preserve"> o contrato a que se refiere su</w:t>
      </w:r>
      <w:r>
        <w:rPr>
          <w:rFonts w:ascii="Times New Roman" w:eastAsia="Times New Roman" w:hAnsi="Times New Roman" w:cs="Times New Roman"/>
          <w:i/>
        </w:rPr>
        <w:t xml:space="preserve"> </w:t>
      </w:r>
      <w:r>
        <w:rPr>
          <w:rFonts w:ascii="Times New Roman" w:eastAsia="Times New Roman" w:hAnsi="Times New Roman" w:cs="Times New Roman"/>
          <w:i/>
          <w:u w:val="single" w:color="000000"/>
        </w:rPr>
        <w:t>solicitud, no admitiéndose las solicitudes genéricas</w:t>
      </w:r>
      <w:r>
        <w:rPr>
          <w:rFonts w:ascii="Times New Roman" w:eastAsia="Times New Roman" w:hAnsi="Times New Roman" w:cs="Times New Roman"/>
          <w:i/>
        </w:rPr>
        <w:t xml:space="preserve"> o que pretendan un volcado de todos los datos del Registro.” </w:t>
      </w:r>
    </w:p>
    <w:p w14:paraId="243FF202" w14:textId="77777777" w:rsidR="00101AB5" w:rsidRDefault="00E076C4">
      <w:pPr>
        <w:spacing w:after="229" w:line="248" w:lineRule="auto"/>
        <w:ind w:left="-5" w:hanging="10"/>
        <w:jc w:val="both"/>
      </w:pPr>
      <w:r>
        <w:rPr>
          <w:rFonts w:ascii="Times New Roman" w:eastAsia="Times New Roman" w:hAnsi="Times New Roman" w:cs="Times New Roman"/>
        </w:rPr>
        <w:t xml:space="preserve">El régimen propio y específico de acceso a la información contenido en la LOTT, cumple con los parámetros de la doctrina del Tribunal Supremo sobre el significado y alcance del apartado 2 de la D. A. 1.ª de la Ley 19/2013. Según la doctrina del Tribunal Supremo, el desplazamiento de las previsiones contenidas en la Ley 19/2013 y, por lo tanto, del régimen jurídico general previsto en dicha norma, en todo lo relativo al acceso a la información pública, sus límites y el procedimiento que ha de seguirse, exige que otra norma </w:t>
      </w:r>
      <w:r>
        <w:rPr>
          <w:rFonts w:ascii="Times New Roman" w:eastAsia="Times New Roman" w:hAnsi="Times New Roman" w:cs="Times New Roman"/>
          <w:u w:val="single" w:color="000000"/>
        </w:rPr>
        <w:t>de rango legal</w:t>
      </w:r>
      <w:r>
        <w:rPr>
          <w:rFonts w:ascii="Times New Roman" w:eastAsia="Times New Roman" w:hAnsi="Times New Roman" w:cs="Times New Roman"/>
        </w:rPr>
        <w:t xml:space="preserve"> incluya un régimen propio y específico que permita entender que nos encontramos ante una regulación alternativa por las especialidades existentes en un ámbito o materia determinada, creando así una regulación autónoma en relación con los sujetos legitimados y/o el contenido y límites de la información que puede proporcionarse. </w:t>
      </w:r>
    </w:p>
    <w:p w14:paraId="4434022E" w14:textId="77777777" w:rsidR="00101AB5" w:rsidRDefault="00E076C4">
      <w:pPr>
        <w:spacing w:after="229" w:line="248" w:lineRule="auto"/>
        <w:ind w:left="-5" w:hanging="10"/>
        <w:jc w:val="both"/>
      </w:pPr>
      <w:r>
        <w:rPr>
          <w:rFonts w:ascii="Times New Roman" w:eastAsia="Times New Roman" w:hAnsi="Times New Roman" w:cs="Times New Roman"/>
        </w:rPr>
        <w:t xml:space="preserve">Como ejemplo en la sentencia del Tribunal Supremo 311/2022, de 10 de marzo, que indicó lo siguiente: </w:t>
      </w:r>
    </w:p>
    <w:p w14:paraId="1A44752E" w14:textId="77777777" w:rsidR="00101AB5" w:rsidRDefault="00E076C4">
      <w:pPr>
        <w:spacing w:after="226" w:line="248" w:lineRule="auto"/>
        <w:ind w:left="-5" w:hanging="10"/>
        <w:jc w:val="both"/>
      </w:pPr>
      <w:r>
        <w:rPr>
          <w:rFonts w:ascii="Times New Roman" w:eastAsia="Times New Roman" w:hAnsi="Times New Roman" w:cs="Times New Roman"/>
          <w:i/>
        </w:rPr>
        <w:t xml:space="preserve">“En las mencionadas sentencias se fijó como jurisprudencia que "(...) las previsiones contenidas en la Ley 19/2013, de Transparencia y Buen Gobierno, por lo que respecta al régimen jurídico previsto para al acceso a la información pública, sus límites y el procedimiento que ha de seguirse, tan solo quedan desplazadas, actuando en este caso como supletoria, cuando otra norma legal haya dispuesto un régimen jurídico propio y especifico de acceso a la información en un ámbito determinado, tal y como establece la Disposición Adicional Primera apartado segundo de la Ley 19/2013, de 9 de diciembre. Ello exige que otra norma de rango legal incluya un régimen propio y específico que permita entender que nos encontramos ante una regulación alternativa por las especialidades que existen en un ámbito o materia determinada, creando una regulación autónoma respecto de los sujetos legitimados y/o el contenido y límites de la información que puede proporcionarse.  </w:t>
      </w:r>
    </w:p>
    <w:p w14:paraId="4F5030B7" w14:textId="77777777" w:rsidR="00101AB5" w:rsidRDefault="00E076C4">
      <w:pPr>
        <w:spacing w:after="214"/>
        <w:ind w:left="-5" w:hanging="10"/>
      </w:pPr>
      <w:r>
        <w:rPr>
          <w:rFonts w:ascii="Times New Roman" w:eastAsia="Times New Roman" w:hAnsi="Times New Roman" w:cs="Times New Roman"/>
          <w:i/>
        </w:rPr>
        <w:t>(…).</w:t>
      </w:r>
      <w:r>
        <w:rPr>
          <w:rFonts w:ascii="Times New Roman" w:eastAsia="Times New Roman" w:hAnsi="Times New Roman" w:cs="Times New Roman"/>
        </w:rPr>
        <w:t xml:space="preserve"> </w:t>
      </w:r>
    </w:p>
    <w:p w14:paraId="5269AF80" w14:textId="77777777" w:rsidR="00101AB5" w:rsidRDefault="00E076C4">
      <w:pPr>
        <w:spacing w:after="226" w:line="248" w:lineRule="auto"/>
        <w:ind w:left="-5" w:hanging="10"/>
        <w:jc w:val="both"/>
      </w:pPr>
      <w:r>
        <w:rPr>
          <w:rFonts w:ascii="Times New Roman" w:eastAsia="Times New Roman" w:hAnsi="Times New Roman" w:cs="Times New Roman"/>
          <w:i/>
        </w:rPr>
        <w:t xml:space="preserve">La reseñada jurisprudencia ha sido perfilada y matizada con posterioridad. Así en la STS de 18 de marzo de 2021 (RCA 3934/2020), tras recordar la doctrina sentada en las dos SSTS mencionadas, recuerda que en la STS de 8 de marzo de 2021 (RCA 1975/2020) se aclaró en qué consiste un régimen específico propio manifestando que existe "un régimen específico propio cuando en un determinado sector del ordenamiento jurídico existe una regulación completa que desarrolla en dicho ámbito el derecho de acceso a la información por parte, bien de los ciudadanos en general, bien de los sujetos interesados. En tales supuestos es claro que dicho régimen habrá de ser aplicado con carácter preferente a la regulación de la Ley de Transparencia, que en todo caso será de aplicación supletoria para aquellos aspectos que no hayan sido contemplados en tal regulación específica </w:t>
      </w:r>
      <w:r>
        <w:rPr>
          <w:rFonts w:ascii="Times New Roman" w:eastAsia="Times New Roman" w:hAnsi="Times New Roman" w:cs="Times New Roman"/>
          <w:i/>
        </w:rPr>
        <w:lastRenderedPageBreak/>
        <w:t xml:space="preserve">siempre, claro está, que resulten compatibles con ella". Sin embargo, se añadía en la citada STS de 8 de marzo de 2021, "más frecuente que una regulación alternativa completa es la existencia en diversos ámbitos sectoriales de disposiciones, anteriores a la Ley de Transparencia, que contienen previsiones que afectan al derecho de acceso a la información, muy especialmente en relación con sus límites, como ocurre en el presente asunto con la previsión sobre confidencialidad en el sector de los productos sanitarios. Pues bien, hemos de precisar que en este caso, y aunque no se trate de un régimen específico completo, dicha regulación parcial también resulta de aplicación prevalente de conformidad con lo dispuesto en la disposición adicional, manteniendo la Ley de Transparencia su aplicación supletoria en todo lo demás, esto es, el marco general del derecho de acceso a la información y el resto de la normativa establecida en la Ley de Transparencia, a excepción de lo que haya quedado desplazado por la regulación parcial. Resulta así, por tanto, que cuando la disposición adicional primera dispone que se regirán por su normativa específica las materias que tengan previsto un régimen jurídico específico de acceso a la información, incluye la aplicación prevalente de cualquier regulación sectorial que se refiera al acceso a la información, aunque no se configure como un tratamiento global y sistemático del mismo, quedando en todo caso la Ley de Transparencia como regulación supletoria". </w:t>
      </w:r>
    </w:p>
    <w:p w14:paraId="3B7EA53B" w14:textId="77777777" w:rsidR="00101AB5" w:rsidRDefault="00E076C4">
      <w:pPr>
        <w:spacing w:after="229" w:line="248" w:lineRule="auto"/>
        <w:ind w:left="-5" w:hanging="10"/>
        <w:jc w:val="both"/>
      </w:pPr>
      <w:r>
        <w:rPr>
          <w:rFonts w:ascii="Times New Roman" w:eastAsia="Times New Roman" w:hAnsi="Times New Roman" w:cs="Times New Roman"/>
        </w:rPr>
        <w:t xml:space="preserve">Finalmente, también ha de señalarse que ha generado controversia la interpretación del alcance de esta disposición en relación con el ámbito de competencia de las autoridades de transparencia para conocer reclamaciones sobre el derecho de acceso a la información. En este sentido, el Tribunal Supremo, en su Sentencia 312/2022, de 10 de marzo, ha precisado que la existencia de normativa sectorial específica reguladora del derecho de acceso a la información no impide el acceso a la reclamación potestativa ante el Consejo de Transparencia y Buen Gobierno establecido en la Ley 9/2013.  </w:t>
      </w:r>
    </w:p>
    <w:p w14:paraId="04959936" w14:textId="62A53B1B" w:rsidR="00101AB5" w:rsidRDefault="00E076C4">
      <w:pPr>
        <w:spacing w:after="229" w:line="248" w:lineRule="auto"/>
        <w:ind w:left="-5" w:hanging="10"/>
        <w:jc w:val="both"/>
      </w:pPr>
      <w:r>
        <w:rPr>
          <w:rFonts w:ascii="Times New Roman" w:eastAsia="Times New Roman" w:hAnsi="Times New Roman" w:cs="Times New Roman"/>
        </w:rPr>
        <w:t xml:space="preserve">Expuesto lo anterior, procede tramitar la solicitud de acceso a la información formulada por </w:t>
      </w:r>
      <w:r w:rsidR="00C860CE" w:rsidRPr="00C860CE">
        <w:rPr>
          <w:rFonts w:ascii="Times New Roman" w:eastAsia="Times New Roman" w:hAnsi="Times New Roman" w:cs="Times New Roman"/>
          <w:highlight w:val="black"/>
        </w:rPr>
        <w:t>XXXXX</w:t>
      </w:r>
      <w:r>
        <w:rPr>
          <w:rFonts w:ascii="Times New Roman" w:eastAsia="Times New Roman" w:hAnsi="Times New Roman" w:cs="Times New Roman"/>
        </w:rPr>
        <w:t xml:space="preserve">, aplicando en primer lugar las previsiones contenidas en la LOTT y en el ROTT, y supletoriamente la Ley 19/2013. </w:t>
      </w:r>
    </w:p>
    <w:p w14:paraId="7A2358BF" w14:textId="130F9E19" w:rsidR="00101AB5" w:rsidRDefault="00E076C4">
      <w:pPr>
        <w:spacing w:after="229" w:line="248" w:lineRule="auto"/>
        <w:ind w:left="-5" w:hanging="10"/>
        <w:jc w:val="both"/>
      </w:pPr>
      <w:r>
        <w:rPr>
          <w:rFonts w:ascii="Times New Roman" w:eastAsia="Times New Roman" w:hAnsi="Times New Roman" w:cs="Times New Roman"/>
        </w:rPr>
        <w:t xml:space="preserve">Con arreglo al art. 53.6 de la LOTT la información solicitada por </w:t>
      </w:r>
      <w:r w:rsidR="00C860CE" w:rsidRPr="00C860CE">
        <w:rPr>
          <w:rFonts w:ascii="Times New Roman" w:eastAsia="Times New Roman" w:hAnsi="Times New Roman" w:cs="Times New Roman"/>
          <w:highlight w:val="black"/>
        </w:rPr>
        <w:t>XXXXX</w:t>
      </w:r>
      <w:r>
        <w:rPr>
          <w:rFonts w:ascii="Times New Roman" w:eastAsia="Times New Roman" w:hAnsi="Times New Roman" w:cs="Times New Roman"/>
        </w:rPr>
        <w:t xml:space="preserve"> constituye un supuesto de publicidad ordinaria, es decir, un acceso a los datos obrantes en el Registro de Empresas y Actividades de Transporte que puede ser ejercido por “</w:t>
      </w:r>
      <w:r>
        <w:rPr>
          <w:rFonts w:ascii="Times New Roman" w:eastAsia="Times New Roman" w:hAnsi="Times New Roman" w:cs="Times New Roman"/>
          <w:i/>
        </w:rPr>
        <w:t>terceros que acrediten un interés legítimo</w:t>
      </w:r>
      <w:r>
        <w:rPr>
          <w:rFonts w:ascii="Times New Roman" w:eastAsia="Times New Roman" w:hAnsi="Times New Roman" w:cs="Times New Roman"/>
        </w:rPr>
        <w:t>”. Dado que en su solicitud no incluye motivación ni explicación alguna de la necesidad de dicha información, no concurre el necesario “</w:t>
      </w:r>
      <w:r>
        <w:rPr>
          <w:rFonts w:ascii="Times New Roman" w:eastAsia="Times New Roman" w:hAnsi="Times New Roman" w:cs="Times New Roman"/>
          <w:i/>
        </w:rPr>
        <w:t>interés legítimo</w:t>
      </w:r>
      <w:r>
        <w:rPr>
          <w:rFonts w:ascii="Times New Roman" w:eastAsia="Times New Roman" w:hAnsi="Times New Roman" w:cs="Times New Roman"/>
        </w:rPr>
        <w:t xml:space="preserve">” por lo que procede denegar su solicitud. </w:t>
      </w:r>
    </w:p>
    <w:p w14:paraId="39109711" w14:textId="77777777" w:rsidR="00101AB5" w:rsidRDefault="00E076C4">
      <w:pPr>
        <w:spacing w:after="229" w:line="248" w:lineRule="auto"/>
        <w:ind w:left="-5" w:hanging="10"/>
        <w:jc w:val="both"/>
      </w:pPr>
      <w:r>
        <w:rPr>
          <w:rFonts w:ascii="Times New Roman" w:eastAsia="Times New Roman" w:hAnsi="Times New Roman" w:cs="Times New Roman"/>
        </w:rPr>
        <w:t>Sin perjuicio de lo anterior, se informa al solicitante que la actividad general de la Dirección de Movilidad y Transportes está sometida al Capítulo II “</w:t>
      </w:r>
      <w:r>
        <w:rPr>
          <w:rFonts w:ascii="Times New Roman" w:eastAsia="Times New Roman" w:hAnsi="Times New Roman" w:cs="Times New Roman"/>
          <w:i/>
        </w:rPr>
        <w:t>Publicidad activa</w:t>
      </w:r>
      <w:r>
        <w:rPr>
          <w:rFonts w:ascii="Times New Roman" w:eastAsia="Times New Roman" w:hAnsi="Times New Roman" w:cs="Times New Roman"/>
        </w:rPr>
        <w:t xml:space="preserve">” de la Ley 9/2013, y por ello, todos los años durante el primer semestre se publica una Memoria Anual de la Dirección de Movilidad y Transportes, que puede consultar en </w:t>
      </w:r>
      <w:r>
        <w:rPr>
          <w:rFonts w:ascii="Times New Roman" w:eastAsia="Times New Roman" w:hAnsi="Times New Roman" w:cs="Times New Roman"/>
          <w:color w:val="4C6F99"/>
        </w:rPr>
        <w:t>https://irekia.araba.eus/es/-/memoria-movilidad-y-transportes</w:t>
      </w:r>
      <w:r>
        <w:rPr>
          <w:rFonts w:ascii="Times New Roman" w:eastAsia="Times New Roman" w:hAnsi="Times New Roman" w:cs="Times New Roman"/>
        </w:rPr>
        <w:t xml:space="preserve">  </w:t>
      </w:r>
    </w:p>
    <w:p w14:paraId="4C802E6F" w14:textId="77777777" w:rsidR="00101AB5" w:rsidRDefault="00E076C4">
      <w:pPr>
        <w:spacing w:after="229" w:line="248" w:lineRule="auto"/>
        <w:ind w:left="-5" w:hanging="10"/>
        <w:jc w:val="both"/>
      </w:pPr>
      <w:r>
        <w:rPr>
          <w:rFonts w:ascii="Times New Roman" w:eastAsia="Times New Roman" w:hAnsi="Times New Roman" w:cs="Times New Roman"/>
        </w:rPr>
        <w:t xml:space="preserve">En dichas Memorias se publica el número de autorizaciones de transportes clasificadas por tipología, entre las que se encuentran las VTC-N, en la que se incluye una comparativa con los dos años anteriores, por lo que se puede ver su evolución y el incremento/decrecimiento de cada tipo de autorización con respecto a los años anteriores. </w:t>
      </w:r>
    </w:p>
    <w:p w14:paraId="6C822832" w14:textId="6CAC1A88" w:rsidR="00101AB5" w:rsidRDefault="00E076C4">
      <w:pPr>
        <w:spacing w:after="229" w:line="248" w:lineRule="auto"/>
        <w:ind w:left="-5" w:hanging="10"/>
        <w:jc w:val="both"/>
      </w:pPr>
      <w:r>
        <w:rPr>
          <w:rFonts w:ascii="Times New Roman" w:eastAsia="Times New Roman" w:hAnsi="Times New Roman" w:cs="Times New Roman"/>
        </w:rPr>
        <w:t xml:space="preserve">Si bien esta información que se publica todos los años durante el primer semestre, no contiene una estadística tan detallada como la solicitada por </w:t>
      </w:r>
      <w:r w:rsidR="00C860CE" w:rsidRPr="00C860CE">
        <w:rPr>
          <w:rFonts w:ascii="Times New Roman" w:eastAsia="Times New Roman" w:hAnsi="Times New Roman" w:cs="Times New Roman"/>
          <w:highlight w:val="black"/>
        </w:rPr>
        <w:t>XXXXX</w:t>
      </w:r>
      <w:r w:rsidRPr="00C860CE">
        <w:rPr>
          <w:rFonts w:ascii="Times New Roman" w:eastAsia="Times New Roman" w:hAnsi="Times New Roman" w:cs="Times New Roman"/>
          <w:highlight w:val="black"/>
        </w:rPr>
        <w:t>,</w:t>
      </w:r>
      <w:r>
        <w:rPr>
          <w:rFonts w:ascii="Times New Roman" w:eastAsia="Times New Roman" w:hAnsi="Times New Roman" w:cs="Times New Roman"/>
        </w:rPr>
        <w:t xml:space="preserve"> sirve para dar cumplimiento al Capítulo II de la Ley 9/2013, por lo que en aplicación supletoria de la citada Ley, la información que ha solicitado estaría incursa en las causas de inadmisión previstas en los apartados a y c del art. 18  Ley 9/2013:  “</w:t>
      </w:r>
      <w:r>
        <w:rPr>
          <w:rFonts w:ascii="Times New Roman" w:eastAsia="Times New Roman" w:hAnsi="Times New Roman" w:cs="Times New Roman"/>
          <w:i/>
        </w:rPr>
        <w:t>Que se refieran a información que esté en curso de elaboración o de publicación general</w:t>
      </w:r>
      <w:r>
        <w:rPr>
          <w:rFonts w:ascii="Times New Roman" w:eastAsia="Times New Roman" w:hAnsi="Times New Roman" w:cs="Times New Roman"/>
        </w:rPr>
        <w:t>” dado que la información de las autorizaciones de 2026 se publicará en el primer semestre de 2027, y “</w:t>
      </w:r>
      <w:r>
        <w:rPr>
          <w:rFonts w:ascii="Times New Roman" w:eastAsia="Times New Roman" w:hAnsi="Times New Roman" w:cs="Times New Roman"/>
          <w:i/>
        </w:rPr>
        <w:t>Relativas a información para cuya divulgación sea necesaria una acción previa de reelaboración de la Ley</w:t>
      </w:r>
      <w:r>
        <w:rPr>
          <w:rFonts w:ascii="Times New Roman" w:eastAsia="Times New Roman" w:hAnsi="Times New Roman" w:cs="Times New Roman"/>
        </w:rPr>
        <w:t xml:space="preserve">”.   </w:t>
      </w:r>
    </w:p>
    <w:p w14:paraId="584CF821" w14:textId="7C7B9F0B" w:rsidR="00101AB5" w:rsidRDefault="00E076C4">
      <w:pPr>
        <w:spacing w:after="229" w:line="248" w:lineRule="auto"/>
        <w:ind w:left="-5" w:hanging="10"/>
        <w:jc w:val="both"/>
      </w:pPr>
      <w:r>
        <w:rPr>
          <w:rFonts w:ascii="Times New Roman" w:eastAsia="Times New Roman" w:hAnsi="Times New Roman" w:cs="Times New Roman"/>
        </w:rPr>
        <w:t xml:space="preserve">Por último, en la petición formulada por </w:t>
      </w:r>
      <w:r w:rsidR="00C860CE" w:rsidRPr="00C860CE">
        <w:rPr>
          <w:rFonts w:ascii="Times New Roman" w:eastAsia="Times New Roman" w:hAnsi="Times New Roman" w:cs="Times New Roman"/>
          <w:highlight w:val="black"/>
        </w:rPr>
        <w:t>XXXXX</w:t>
      </w:r>
      <w:r>
        <w:rPr>
          <w:rFonts w:ascii="Times New Roman" w:eastAsia="Times New Roman" w:hAnsi="Times New Roman" w:cs="Times New Roman"/>
        </w:rPr>
        <w:t xml:space="preserve"> cuando indica que “</w:t>
      </w:r>
      <w:r>
        <w:rPr>
          <w:rFonts w:ascii="Times New Roman" w:eastAsia="Times New Roman" w:hAnsi="Times New Roman" w:cs="Times New Roman"/>
          <w:i/>
        </w:rPr>
        <w:t>si para iniciar esas solicitudes fue necesario identificar desde el primer momento vehículo y matrícula, o si pudieron aportarse posteriormente durante la tramitación o mediante requerimiento/subsanación</w:t>
      </w:r>
      <w:r>
        <w:rPr>
          <w:rFonts w:ascii="Times New Roman" w:eastAsia="Times New Roman" w:hAnsi="Times New Roman" w:cs="Times New Roman"/>
        </w:rPr>
        <w:t xml:space="preserve">”, esto en realidad sería una consulta de tipo jurídico, y en respuesta a esta consulta se les informa que  en todos los expedientes debe indicarse un número de </w:t>
      </w:r>
      <w:r>
        <w:rPr>
          <w:rFonts w:ascii="Times New Roman" w:eastAsia="Times New Roman" w:hAnsi="Times New Roman" w:cs="Times New Roman"/>
        </w:rPr>
        <w:lastRenderedPageBreak/>
        <w:t xml:space="preserve">matrícula desde un inicio, al cual se pretenda adscribir a la autorización, y sin el dato de la matrícula el expediente no puede ser analizado. </w:t>
      </w:r>
    </w:p>
    <w:p w14:paraId="1BD7EE78" w14:textId="77777777" w:rsidR="00101AB5" w:rsidRDefault="00E076C4">
      <w:pPr>
        <w:spacing w:after="0" w:line="248" w:lineRule="auto"/>
        <w:ind w:left="-5" w:hanging="10"/>
        <w:jc w:val="both"/>
      </w:pPr>
      <w:r>
        <w:rPr>
          <w:rFonts w:ascii="Times New Roman" w:eastAsia="Times New Roman" w:hAnsi="Times New Roman" w:cs="Times New Roman"/>
        </w:rPr>
        <w:t xml:space="preserve">Cuando se analiza un expediente, en caso de que deba subsanarse algún requisito preceptivo siempre se realiza un requerimiento de subsanación, con la excepción de que los vehículos consten domiciliados fuera del </w:t>
      </w:r>
    </w:p>
    <w:p w14:paraId="45E43B53" w14:textId="77777777" w:rsidR="00101AB5" w:rsidRDefault="00E076C4">
      <w:pPr>
        <w:spacing w:after="147" w:line="248" w:lineRule="auto"/>
        <w:ind w:left="-5" w:hanging="10"/>
        <w:jc w:val="both"/>
      </w:pPr>
      <w:r>
        <w:rPr>
          <w:rFonts w:ascii="Times New Roman" w:eastAsia="Times New Roman" w:hAnsi="Times New Roman" w:cs="Times New Roman"/>
        </w:rPr>
        <w:t xml:space="preserve">Territorio Histórico de Álava, en cuyo caso, se procede a la denegación directa de la solicitud al no ser el requisito del domicilio del vehículo subsanable, en aplicación de la doctrina del Tribunal Superior de Justicia del País Vasco (entre otras muchas, STSJPV 277/2025, de 1 de julio). </w:t>
      </w:r>
    </w:p>
    <w:p w14:paraId="5FC4AECD" w14:textId="77777777" w:rsidR="00101AB5" w:rsidRDefault="00E076C4">
      <w:pPr>
        <w:spacing w:after="190" w:line="248" w:lineRule="auto"/>
        <w:ind w:left="-5" w:hanging="10"/>
        <w:jc w:val="both"/>
      </w:pPr>
      <w:r>
        <w:rPr>
          <w:rFonts w:ascii="Times New Roman" w:eastAsia="Times New Roman" w:hAnsi="Times New Roman" w:cs="Times New Roman"/>
        </w:rPr>
        <w:t xml:space="preserve">En su virtud, en ejercicio de las facultades que me competen como Diputado de Movilidad Sostenible e Infraestructuras Viarias, </w:t>
      </w:r>
    </w:p>
    <w:p w14:paraId="1772CB89" w14:textId="77777777" w:rsidR="00101AB5" w:rsidRDefault="00E076C4">
      <w:pPr>
        <w:spacing w:after="218"/>
        <w:ind w:left="50"/>
        <w:jc w:val="center"/>
      </w:pPr>
      <w:r>
        <w:rPr>
          <w:rFonts w:ascii="Times New Roman" w:eastAsia="Times New Roman" w:hAnsi="Times New Roman" w:cs="Times New Roman"/>
          <w:b/>
        </w:rPr>
        <w:t xml:space="preserve"> </w:t>
      </w:r>
    </w:p>
    <w:p w14:paraId="29F7112D" w14:textId="77777777" w:rsidR="00101AB5" w:rsidRDefault="00E076C4">
      <w:pPr>
        <w:spacing w:after="216"/>
        <w:ind w:right="1"/>
        <w:jc w:val="center"/>
      </w:pPr>
      <w:r>
        <w:rPr>
          <w:rFonts w:ascii="Times New Roman" w:eastAsia="Times New Roman" w:hAnsi="Times New Roman" w:cs="Times New Roman"/>
          <w:b/>
        </w:rPr>
        <w:t xml:space="preserve">DISPONGO </w:t>
      </w:r>
    </w:p>
    <w:p w14:paraId="065AACFD" w14:textId="7FD04DBE" w:rsidR="00101AB5" w:rsidRDefault="00E076C4">
      <w:pPr>
        <w:spacing w:after="185" w:line="248" w:lineRule="auto"/>
        <w:ind w:left="-5" w:hanging="10"/>
        <w:jc w:val="both"/>
      </w:pPr>
      <w:r>
        <w:rPr>
          <w:rFonts w:ascii="Times New Roman" w:eastAsia="Times New Roman" w:hAnsi="Times New Roman" w:cs="Times New Roman"/>
          <w:b/>
        </w:rPr>
        <w:t>Primero.</w:t>
      </w:r>
      <w:r>
        <w:rPr>
          <w:rFonts w:ascii="Times New Roman" w:eastAsia="Times New Roman" w:hAnsi="Times New Roman" w:cs="Times New Roman"/>
        </w:rPr>
        <w:t xml:space="preserve"> Desestimar la solicitud de acceso a la información pública presentada por </w:t>
      </w:r>
      <w:r w:rsidR="00C860CE" w:rsidRPr="00C860CE">
        <w:rPr>
          <w:rFonts w:ascii="Times New Roman" w:eastAsia="Times New Roman" w:hAnsi="Times New Roman" w:cs="Times New Roman"/>
          <w:highlight w:val="black"/>
        </w:rPr>
        <w:t>XXXXX</w:t>
      </w:r>
      <w:r>
        <w:rPr>
          <w:rFonts w:ascii="Times New Roman" w:eastAsia="Times New Roman" w:hAnsi="Times New Roman" w:cs="Times New Roman"/>
        </w:rPr>
        <w:t xml:space="preserve">  </w:t>
      </w:r>
    </w:p>
    <w:p w14:paraId="5FAB1DE1" w14:textId="77777777" w:rsidR="00101AB5" w:rsidRDefault="00E076C4">
      <w:pPr>
        <w:spacing w:after="190" w:line="248" w:lineRule="auto"/>
        <w:ind w:left="-5" w:hanging="10"/>
        <w:jc w:val="both"/>
      </w:pPr>
      <w:r>
        <w:rPr>
          <w:rFonts w:ascii="Times New Roman" w:eastAsia="Times New Roman" w:hAnsi="Times New Roman" w:cs="Times New Roman"/>
          <w:b/>
        </w:rPr>
        <w:t>Segundo.</w:t>
      </w:r>
      <w:r>
        <w:rPr>
          <w:rFonts w:ascii="Times New Roman" w:eastAsia="Times New Roman" w:hAnsi="Times New Roman" w:cs="Times New Roman"/>
        </w:rPr>
        <w:t xml:space="preserve"> Contra la presente resolución, que pone fin a la vía administrativa, podrá interponerse recurso contencioso-administrativo en el plazo de dos meses o, previa y potestativamente, reclamación ante el Consejo Foral de Transparencia y Buen Gobierno en el plazo de un mes; en ambos casos, el plazo se contará desde el día siguiente al de la notificación de la presente resolución. </w:t>
      </w:r>
    </w:p>
    <w:p w14:paraId="42A634E1" w14:textId="77777777" w:rsidR="00101AB5" w:rsidRDefault="00E076C4">
      <w:pPr>
        <w:spacing w:after="333" w:line="248" w:lineRule="auto"/>
        <w:ind w:left="-5" w:hanging="10"/>
        <w:jc w:val="both"/>
      </w:pPr>
      <w:r>
        <w:rPr>
          <w:rFonts w:ascii="Times New Roman" w:eastAsia="Times New Roman" w:hAnsi="Times New Roman" w:cs="Times New Roman"/>
        </w:rPr>
        <w:t xml:space="preserve">Vitoria-Gasteiz. </w:t>
      </w:r>
    </w:p>
    <w:tbl>
      <w:tblPr>
        <w:tblStyle w:val="TableGrid"/>
        <w:tblW w:w="7912" w:type="dxa"/>
        <w:tblInd w:w="108" w:type="dxa"/>
        <w:tblLook w:val="04A0" w:firstRow="1" w:lastRow="0" w:firstColumn="1" w:lastColumn="0" w:noHBand="0" w:noVBand="1"/>
      </w:tblPr>
      <w:tblGrid>
        <w:gridCol w:w="4532"/>
        <w:gridCol w:w="3380"/>
      </w:tblGrid>
      <w:tr w:rsidR="00101AB5" w14:paraId="7C4D43E7" w14:textId="77777777">
        <w:trPr>
          <w:trHeight w:val="1217"/>
        </w:trPr>
        <w:tc>
          <w:tcPr>
            <w:tcW w:w="4532" w:type="dxa"/>
            <w:tcBorders>
              <w:top w:val="nil"/>
              <w:left w:val="nil"/>
              <w:bottom w:val="nil"/>
              <w:right w:val="nil"/>
            </w:tcBorders>
          </w:tcPr>
          <w:p w14:paraId="7D47640A" w14:textId="77777777" w:rsidR="00101AB5" w:rsidRDefault="00E076C4">
            <w:pPr>
              <w:spacing w:after="24"/>
            </w:pPr>
            <w:r>
              <w:rPr>
                <w:rFonts w:ascii="Times New Roman" w:eastAsia="Times New Roman" w:hAnsi="Times New Roman" w:cs="Times New Roman"/>
                <w:b/>
              </w:rPr>
              <w:t xml:space="preserve">Jon Nogales Prieto  </w:t>
            </w:r>
          </w:p>
          <w:p w14:paraId="36D5DEB3" w14:textId="77777777" w:rsidR="00101AB5" w:rsidRDefault="00E076C4">
            <w:r>
              <w:rPr>
                <w:rFonts w:ascii="Times New Roman" w:eastAsia="Times New Roman" w:hAnsi="Times New Roman" w:cs="Times New Roman"/>
              </w:rPr>
              <w:t xml:space="preserve">Mugikortasun Jasangarriaren eta Bide </w:t>
            </w:r>
          </w:p>
          <w:p w14:paraId="45CD57A9" w14:textId="77777777" w:rsidR="00101AB5" w:rsidRDefault="00E076C4">
            <w:r>
              <w:rPr>
                <w:rFonts w:ascii="Times New Roman" w:eastAsia="Times New Roman" w:hAnsi="Times New Roman" w:cs="Times New Roman"/>
              </w:rPr>
              <w:t xml:space="preserve">Azpiegituren Saileko foru diputatua </w:t>
            </w:r>
          </w:p>
          <w:p w14:paraId="71A8D80A" w14:textId="77777777" w:rsidR="00101AB5" w:rsidRDefault="00E076C4">
            <w:r>
              <w:rPr>
                <w:rFonts w:ascii="Times New Roman" w:eastAsia="Times New Roman" w:hAnsi="Times New Roman" w:cs="Times New Roman"/>
              </w:rPr>
              <w:t xml:space="preserve">Diputado Foral de Movilidad Sostenible e </w:t>
            </w:r>
          </w:p>
          <w:p w14:paraId="7574FC2E" w14:textId="77777777" w:rsidR="00101AB5" w:rsidRDefault="00E076C4">
            <w:r>
              <w:rPr>
                <w:rFonts w:ascii="Times New Roman" w:eastAsia="Times New Roman" w:hAnsi="Times New Roman" w:cs="Times New Roman"/>
              </w:rPr>
              <w:t xml:space="preserve">Infraestructuras Viarias </w:t>
            </w:r>
          </w:p>
        </w:tc>
        <w:tc>
          <w:tcPr>
            <w:tcW w:w="3380" w:type="dxa"/>
            <w:tcBorders>
              <w:top w:val="nil"/>
              <w:left w:val="nil"/>
              <w:bottom w:val="nil"/>
              <w:right w:val="nil"/>
            </w:tcBorders>
          </w:tcPr>
          <w:p w14:paraId="23FB56FD" w14:textId="77777777" w:rsidR="00101AB5" w:rsidRDefault="00E076C4">
            <w:pPr>
              <w:spacing w:after="24"/>
            </w:pPr>
            <w:r>
              <w:rPr>
                <w:rFonts w:ascii="Times New Roman" w:eastAsia="Times New Roman" w:hAnsi="Times New Roman" w:cs="Times New Roman"/>
                <w:b/>
              </w:rPr>
              <w:t xml:space="preserve">Patricia Perez Aguirre </w:t>
            </w:r>
          </w:p>
          <w:p w14:paraId="7C44FF7F" w14:textId="77777777" w:rsidR="00101AB5" w:rsidRDefault="00E076C4">
            <w:pPr>
              <w:jc w:val="both"/>
            </w:pPr>
            <w:r>
              <w:rPr>
                <w:rFonts w:ascii="Times New Roman" w:eastAsia="Times New Roman" w:hAnsi="Times New Roman" w:cs="Times New Roman"/>
              </w:rPr>
              <w:t xml:space="preserve">Mugikortasun eta Garraio zuzendaria </w:t>
            </w:r>
          </w:p>
          <w:p w14:paraId="7E0AB84C" w14:textId="77777777" w:rsidR="00101AB5" w:rsidRDefault="00E076C4">
            <w:pPr>
              <w:jc w:val="both"/>
            </w:pPr>
            <w:r>
              <w:rPr>
                <w:rFonts w:ascii="Times New Roman" w:eastAsia="Times New Roman" w:hAnsi="Times New Roman" w:cs="Times New Roman"/>
              </w:rPr>
              <w:t xml:space="preserve">Directora de Movilidad y Transportes </w:t>
            </w:r>
          </w:p>
        </w:tc>
      </w:tr>
    </w:tbl>
    <w:p w14:paraId="3B32DE58" w14:textId="77777777" w:rsidR="00101AB5" w:rsidRDefault="00E076C4">
      <w:pPr>
        <w:spacing w:after="0"/>
      </w:pPr>
      <w:r>
        <w:rPr>
          <w:rFonts w:ascii="Arial" w:eastAsia="Arial" w:hAnsi="Arial" w:cs="Arial"/>
          <w:b/>
          <w:sz w:val="16"/>
        </w:rPr>
        <w:t xml:space="preserve"> </w:t>
      </w:r>
    </w:p>
    <w:p w14:paraId="29889F53" w14:textId="77777777" w:rsidR="00101AB5" w:rsidRDefault="00E076C4">
      <w:pPr>
        <w:spacing w:after="0"/>
      </w:pPr>
      <w:r>
        <w:rPr>
          <w:rFonts w:ascii="Arial" w:eastAsia="Arial" w:hAnsi="Arial" w:cs="Arial"/>
          <w:b/>
          <w:sz w:val="16"/>
        </w:rPr>
        <w:t xml:space="preserve"> </w:t>
      </w:r>
    </w:p>
    <w:p w14:paraId="79550652" w14:textId="77777777" w:rsidR="00101AB5" w:rsidRDefault="00E076C4">
      <w:pPr>
        <w:spacing w:after="0"/>
      </w:pPr>
      <w:r>
        <w:rPr>
          <w:rFonts w:ascii="Arial" w:eastAsia="Arial" w:hAnsi="Arial" w:cs="Arial"/>
          <w:b/>
          <w:sz w:val="16"/>
        </w:rPr>
        <w:t xml:space="preserve"> </w:t>
      </w:r>
    </w:p>
    <w:p w14:paraId="4DE06974" w14:textId="77777777" w:rsidR="00101AB5" w:rsidRDefault="00E076C4">
      <w:pPr>
        <w:spacing w:after="0"/>
      </w:pPr>
      <w:r>
        <w:rPr>
          <w:rFonts w:ascii="Arial" w:eastAsia="Arial" w:hAnsi="Arial" w:cs="Arial"/>
          <w:b/>
          <w:sz w:val="16"/>
        </w:rPr>
        <w:t xml:space="preserve"> </w:t>
      </w:r>
    </w:p>
    <w:p w14:paraId="353A761C" w14:textId="77777777" w:rsidR="00101AB5" w:rsidRDefault="00E076C4">
      <w:pPr>
        <w:spacing w:after="0"/>
      </w:pPr>
      <w:r>
        <w:rPr>
          <w:rFonts w:ascii="Arial" w:eastAsia="Arial" w:hAnsi="Arial" w:cs="Arial"/>
          <w:color w:val="4F81BD"/>
          <w:sz w:val="16"/>
        </w:rPr>
        <w:t xml:space="preserve"> </w:t>
      </w:r>
    </w:p>
    <w:p w14:paraId="1ED1EA63" w14:textId="77777777" w:rsidR="00101AB5" w:rsidRDefault="00E076C4">
      <w:pPr>
        <w:spacing w:after="41"/>
        <w:ind w:left="216"/>
      </w:pPr>
      <w:r>
        <w:rPr>
          <w:rFonts w:ascii="Arial" w:eastAsia="Arial" w:hAnsi="Arial" w:cs="Arial"/>
          <w:sz w:val="16"/>
        </w:rPr>
        <w:t xml:space="preserve"> </w:t>
      </w:r>
    </w:p>
    <w:p w14:paraId="69E584BB" w14:textId="7472913D" w:rsidR="00101AB5" w:rsidRDefault="00101AB5">
      <w:pPr>
        <w:spacing w:after="0"/>
      </w:pPr>
    </w:p>
    <w:p w14:paraId="2521F019" w14:textId="77777777" w:rsidR="00101AB5" w:rsidRDefault="00E076C4">
      <w:pPr>
        <w:spacing w:after="57"/>
      </w:pPr>
      <w:r>
        <w:rPr>
          <w:rFonts w:ascii="Arial" w:eastAsia="Arial" w:hAnsi="Arial" w:cs="Arial"/>
          <w:b/>
          <w:sz w:val="16"/>
        </w:rPr>
        <w:t xml:space="preserve"> </w:t>
      </w:r>
    </w:p>
    <w:p w14:paraId="2204B3B8" w14:textId="77777777" w:rsidR="00101AB5" w:rsidRDefault="00E076C4">
      <w:pPr>
        <w:spacing w:after="0"/>
      </w:pPr>
      <w:r>
        <w:rPr>
          <w:rFonts w:ascii="Times New Roman" w:eastAsia="Times New Roman" w:hAnsi="Times New Roman" w:cs="Times New Roman"/>
          <w:sz w:val="24"/>
        </w:rPr>
        <w:t xml:space="preserve"> </w:t>
      </w:r>
    </w:p>
    <w:p w14:paraId="296F5C02" w14:textId="77777777" w:rsidR="00101AB5" w:rsidRDefault="00E076C4">
      <w:pPr>
        <w:spacing w:after="0"/>
      </w:pPr>
      <w:r>
        <w:rPr>
          <w:rFonts w:ascii="Times New Roman" w:eastAsia="Times New Roman" w:hAnsi="Times New Roman" w:cs="Times New Roman"/>
          <w:sz w:val="24"/>
        </w:rPr>
        <w:t xml:space="preserve"> </w:t>
      </w:r>
    </w:p>
    <w:p w14:paraId="30297B1D" w14:textId="35FDDE34" w:rsidR="00101AB5" w:rsidRDefault="00101AB5">
      <w:pPr>
        <w:spacing w:after="0"/>
        <w:ind w:left="2648"/>
      </w:pPr>
    </w:p>
    <w:p w14:paraId="4264DED4" w14:textId="77777777" w:rsidR="00101AB5" w:rsidRDefault="00E076C4">
      <w:pPr>
        <w:spacing w:after="0"/>
        <w:ind w:right="3985"/>
      </w:pPr>
      <w:r>
        <w:rPr>
          <w:rFonts w:ascii="Times New Roman" w:eastAsia="Times New Roman" w:hAnsi="Times New Roman" w:cs="Times New Roman"/>
          <w:sz w:val="24"/>
        </w:rPr>
        <w:t xml:space="preserve"> </w:t>
      </w:r>
    </w:p>
    <w:p w14:paraId="4435FB95" w14:textId="7543681C" w:rsidR="00101AB5" w:rsidRDefault="00E076C4">
      <w:pPr>
        <w:spacing w:after="15" w:line="265" w:lineRule="auto"/>
        <w:ind w:left="2947" w:right="4048" w:hanging="10"/>
      </w:pPr>
      <w:r>
        <w:rPr>
          <w:b/>
          <w:sz w:val="17"/>
        </w:rPr>
        <w:t xml:space="preserve"> </w:t>
      </w:r>
    </w:p>
    <w:sectPr w:rsidR="00101AB5">
      <w:headerReference w:type="even" r:id="rId8"/>
      <w:headerReference w:type="default" r:id="rId9"/>
      <w:footerReference w:type="even" r:id="rId10"/>
      <w:footerReference w:type="default" r:id="rId11"/>
      <w:pgSz w:w="11906" w:h="16841"/>
      <w:pgMar w:top="284" w:right="989" w:bottom="284" w:left="1133" w:header="128"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8D0E7" w14:textId="77777777" w:rsidR="002D49A6" w:rsidRDefault="002D49A6">
      <w:pPr>
        <w:spacing w:after="0" w:line="240" w:lineRule="auto"/>
      </w:pPr>
      <w:r>
        <w:separator/>
      </w:r>
    </w:p>
  </w:endnote>
  <w:endnote w:type="continuationSeparator" w:id="0">
    <w:p w14:paraId="11DE63A8" w14:textId="77777777" w:rsidR="002D49A6" w:rsidRDefault="002D4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8C62" w14:textId="77777777" w:rsidR="00101AB5" w:rsidRDefault="00E076C4">
    <w:pPr>
      <w:spacing w:after="355"/>
      <w:ind w:right="107"/>
      <w:jc w:val="right"/>
    </w:pPr>
    <w:r>
      <w:rPr>
        <w:noProof/>
      </w:rPr>
      <mc:AlternateContent>
        <mc:Choice Requires="wpg">
          <w:drawing>
            <wp:anchor distT="0" distB="0" distL="114300" distR="114300" simplePos="0" relativeHeight="251660288" behindDoc="0" locked="0" layoutInCell="1" allowOverlap="1" wp14:anchorId="7D2E11F3" wp14:editId="6B739993">
              <wp:simplePos x="0" y="0"/>
              <wp:positionH relativeFrom="page">
                <wp:posOffset>719328</wp:posOffset>
              </wp:positionH>
              <wp:positionV relativeFrom="page">
                <wp:posOffset>9972750</wp:posOffset>
              </wp:positionV>
              <wp:extent cx="6211570" cy="6097"/>
              <wp:effectExtent l="0" t="0" r="0" b="0"/>
              <wp:wrapSquare wrapText="bothSides"/>
              <wp:docPr id="7186" name="Group 7186"/>
              <wp:cNvGraphicFramePr/>
              <a:graphic xmlns:a="http://schemas.openxmlformats.org/drawingml/2006/main">
                <a:graphicData uri="http://schemas.microsoft.com/office/word/2010/wordprocessingGroup">
                  <wpg:wgp>
                    <wpg:cNvGrpSpPr/>
                    <wpg:grpSpPr>
                      <a:xfrm>
                        <a:off x="0" y="0"/>
                        <a:ext cx="6211570" cy="6097"/>
                        <a:chOff x="0" y="0"/>
                        <a:chExt cx="6211570" cy="6097"/>
                      </a:xfrm>
                    </wpg:grpSpPr>
                    <wps:wsp>
                      <wps:cNvPr id="7447" name="Shape 7447"/>
                      <wps:cNvSpPr/>
                      <wps:spPr>
                        <a:xfrm>
                          <a:off x="0" y="0"/>
                          <a:ext cx="6211570" cy="9144"/>
                        </a:xfrm>
                        <a:custGeom>
                          <a:avLst/>
                          <a:gdLst/>
                          <a:ahLst/>
                          <a:cxnLst/>
                          <a:rect l="0" t="0" r="0" b="0"/>
                          <a:pathLst>
                            <a:path w="6211570" h="9144">
                              <a:moveTo>
                                <a:pt x="0" y="0"/>
                              </a:moveTo>
                              <a:lnTo>
                                <a:pt x="6211570" y="0"/>
                              </a:lnTo>
                              <a:lnTo>
                                <a:pt x="6211570"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g:wgp>
                </a:graphicData>
              </a:graphic>
            </wp:anchor>
          </w:drawing>
        </mc:Choice>
        <mc:Fallback xmlns:a="http://schemas.openxmlformats.org/drawingml/2006/main">
          <w:pict>
            <v:group id="Group 7186" style="width:489.1pt;height:0.480042pt;position:absolute;mso-position-horizontal-relative:page;mso-position-horizontal:absolute;margin-left:56.64pt;mso-position-vertical-relative:page;margin-top:785.256pt;" coordsize="62115,60">
              <v:shape id="Shape 7448" style="position:absolute;width:62115;height:91;left:0;top:0;" coordsize="6211570,9144" path="m0,0l6211570,0l6211570,9144l0,9144l0,0">
                <v:stroke weight="0pt" endcap="flat" joinstyle="miter" miterlimit="10" on="false" color="#000000" opacity="0"/>
                <v:fill on="true" color="#808080"/>
              </v:shape>
              <w10:wrap type="square"/>
            </v:group>
          </w:pict>
        </mc:Fallback>
      </mc:AlternateContent>
    </w:r>
    <w:r>
      <w:fldChar w:fldCharType="begin"/>
    </w:r>
    <w:r>
      <w:instrText xml:space="preserve"> PAGE   \* MERGEFORMAT </w:instrText>
    </w:r>
    <w:r>
      <w:fldChar w:fldCharType="separate"/>
    </w:r>
    <w:r>
      <w:rPr>
        <w:rFonts w:ascii="Arial" w:eastAsia="Arial" w:hAnsi="Arial" w:cs="Arial"/>
        <w:color w:val="808080"/>
        <w:sz w:val="16"/>
      </w:rPr>
      <w:t>2</w:t>
    </w:r>
    <w:r>
      <w:rPr>
        <w:rFonts w:ascii="Arial" w:eastAsia="Arial" w:hAnsi="Arial" w:cs="Arial"/>
        <w:color w:val="808080"/>
        <w:sz w:val="16"/>
      </w:rPr>
      <w:fldChar w:fldCharType="end"/>
    </w:r>
    <w:r>
      <w:rPr>
        <w:rFonts w:ascii="Arial" w:eastAsia="Arial" w:hAnsi="Arial" w:cs="Arial"/>
        <w:color w:val="808080"/>
        <w:sz w:val="16"/>
      </w:rPr>
      <w:t xml:space="preserve"> / </w:t>
    </w:r>
    <w:fldSimple w:instr=" NUMPAGES   \* MERGEFORMAT ">
      <w:r>
        <w:rPr>
          <w:rFonts w:ascii="Arial" w:eastAsia="Arial" w:hAnsi="Arial" w:cs="Arial"/>
          <w:color w:val="808080"/>
          <w:sz w:val="16"/>
        </w:rPr>
        <w:t>5</w:t>
      </w:r>
    </w:fldSimple>
    <w:r>
      <w:rPr>
        <w:rFonts w:ascii="Arial" w:eastAsia="Arial" w:hAnsi="Arial" w:cs="Arial"/>
        <w:sz w:val="24"/>
      </w:rPr>
      <w:t xml:space="preserve"> </w:t>
    </w:r>
  </w:p>
  <w:p w14:paraId="56333051" w14:textId="77777777" w:rsidR="00101AB5" w:rsidRDefault="00E076C4">
    <w:pPr>
      <w:spacing w:after="0"/>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721E" w14:textId="77777777" w:rsidR="00101AB5" w:rsidRDefault="00E076C4">
    <w:pPr>
      <w:spacing w:after="355"/>
      <w:ind w:right="107"/>
      <w:jc w:val="right"/>
    </w:pPr>
    <w:r>
      <w:rPr>
        <w:noProof/>
      </w:rPr>
      <mc:AlternateContent>
        <mc:Choice Requires="wpg">
          <w:drawing>
            <wp:anchor distT="0" distB="0" distL="114300" distR="114300" simplePos="0" relativeHeight="251661312" behindDoc="0" locked="0" layoutInCell="1" allowOverlap="1" wp14:anchorId="4CD797CF" wp14:editId="05E7C056">
              <wp:simplePos x="0" y="0"/>
              <wp:positionH relativeFrom="page">
                <wp:posOffset>719328</wp:posOffset>
              </wp:positionH>
              <wp:positionV relativeFrom="page">
                <wp:posOffset>9972750</wp:posOffset>
              </wp:positionV>
              <wp:extent cx="6211570" cy="6097"/>
              <wp:effectExtent l="0" t="0" r="0" b="0"/>
              <wp:wrapSquare wrapText="bothSides"/>
              <wp:docPr id="7153" name="Group 7153"/>
              <wp:cNvGraphicFramePr/>
              <a:graphic xmlns:a="http://schemas.openxmlformats.org/drawingml/2006/main">
                <a:graphicData uri="http://schemas.microsoft.com/office/word/2010/wordprocessingGroup">
                  <wpg:wgp>
                    <wpg:cNvGrpSpPr/>
                    <wpg:grpSpPr>
                      <a:xfrm>
                        <a:off x="0" y="0"/>
                        <a:ext cx="6211570" cy="6097"/>
                        <a:chOff x="0" y="0"/>
                        <a:chExt cx="6211570" cy="6097"/>
                      </a:xfrm>
                    </wpg:grpSpPr>
                    <wps:wsp>
                      <wps:cNvPr id="7445" name="Shape 7445"/>
                      <wps:cNvSpPr/>
                      <wps:spPr>
                        <a:xfrm>
                          <a:off x="0" y="0"/>
                          <a:ext cx="6211570" cy="9144"/>
                        </a:xfrm>
                        <a:custGeom>
                          <a:avLst/>
                          <a:gdLst/>
                          <a:ahLst/>
                          <a:cxnLst/>
                          <a:rect l="0" t="0" r="0" b="0"/>
                          <a:pathLst>
                            <a:path w="6211570" h="9144">
                              <a:moveTo>
                                <a:pt x="0" y="0"/>
                              </a:moveTo>
                              <a:lnTo>
                                <a:pt x="6211570" y="0"/>
                              </a:lnTo>
                              <a:lnTo>
                                <a:pt x="6211570"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g:wgp>
                </a:graphicData>
              </a:graphic>
            </wp:anchor>
          </w:drawing>
        </mc:Choice>
        <mc:Fallback xmlns:a="http://schemas.openxmlformats.org/drawingml/2006/main">
          <w:pict>
            <v:group id="Group 7153" style="width:489.1pt;height:0.480042pt;position:absolute;mso-position-horizontal-relative:page;mso-position-horizontal:absolute;margin-left:56.64pt;mso-position-vertical-relative:page;margin-top:785.256pt;" coordsize="62115,60">
              <v:shape id="Shape 7446" style="position:absolute;width:62115;height:91;left:0;top:0;" coordsize="6211570,9144" path="m0,0l6211570,0l6211570,9144l0,9144l0,0">
                <v:stroke weight="0pt" endcap="flat" joinstyle="miter" miterlimit="10" on="false" color="#000000" opacity="0"/>
                <v:fill on="true" color="#808080"/>
              </v:shape>
              <w10:wrap type="square"/>
            </v:group>
          </w:pict>
        </mc:Fallback>
      </mc:AlternateContent>
    </w:r>
    <w:r>
      <w:fldChar w:fldCharType="begin"/>
    </w:r>
    <w:r>
      <w:instrText xml:space="preserve"> PAGE   \* MERGEFORMAT </w:instrText>
    </w:r>
    <w:r>
      <w:fldChar w:fldCharType="separate"/>
    </w:r>
    <w:r>
      <w:rPr>
        <w:rFonts w:ascii="Arial" w:eastAsia="Arial" w:hAnsi="Arial" w:cs="Arial"/>
        <w:color w:val="808080"/>
        <w:sz w:val="16"/>
      </w:rPr>
      <w:t>2</w:t>
    </w:r>
    <w:r>
      <w:rPr>
        <w:rFonts w:ascii="Arial" w:eastAsia="Arial" w:hAnsi="Arial" w:cs="Arial"/>
        <w:color w:val="808080"/>
        <w:sz w:val="16"/>
      </w:rPr>
      <w:fldChar w:fldCharType="end"/>
    </w:r>
    <w:r>
      <w:rPr>
        <w:rFonts w:ascii="Arial" w:eastAsia="Arial" w:hAnsi="Arial" w:cs="Arial"/>
        <w:color w:val="808080"/>
        <w:sz w:val="16"/>
      </w:rPr>
      <w:t xml:space="preserve"> / </w:t>
    </w:r>
    <w:fldSimple w:instr=" NUMPAGES   \* MERGEFORMAT ">
      <w:r>
        <w:rPr>
          <w:rFonts w:ascii="Arial" w:eastAsia="Arial" w:hAnsi="Arial" w:cs="Arial"/>
          <w:color w:val="808080"/>
          <w:sz w:val="16"/>
        </w:rPr>
        <w:t>5</w:t>
      </w:r>
    </w:fldSimple>
    <w:r>
      <w:rPr>
        <w:rFonts w:ascii="Arial" w:eastAsia="Arial" w:hAnsi="Arial" w:cs="Arial"/>
        <w:sz w:val="24"/>
      </w:rPr>
      <w:t xml:space="preserve"> </w:t>
    </w:r>
  </w:p>
  <w:p w14:paraId="75A9D757" w14:textId="77777777" w:rsidR="00101AB5" w:rsidRDefault="00E076C4">
    <w:pPr>
      <w:spacing w:after="0"/>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4567C" w14:textId="77777777" w:rsidR="002D49A6" w:rsidRDefault="002D49A6">
      <w:pPr>
        <w:spacing w:after="0" w:line="240" w:lineRule="auto"/>
      </w:pPr>
      <w:r>
        <w:separator/>
      </w:r>
    </w:p>
  </w:footnote>
  <w:footnote w:type="continuationSeparator" w:id="0">
    <w:p w14:paraId="1264E862" w14:textId="77777777" w:rsidR="002D49A6" w:rsidRDefault="002D4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402F4" w14:textId="77777777" w:rsidR="00101AB5" w:rsidRDefault="00E076C4">
    <w:pPr>
      <w:spacing w:after="1242"/>
      <w:ind w:right="-663"/>
      <w:jc w:val="right"/>
    </w:pPr>
    <w:r>
      <w:rPr>
        <w:noProof/>
      </w:rPr>
      <mc:AlternateContent>
        <mc:Choice Requires="wpg">
          <w:drawing>
            <wp:anchor distT="0" distB="0" distL="114300" distR="114300" simplePos="0" relativeHeight="251658240" behindDoc="0" locked="0" layoutInCell="1" allowOverlap="1" wp14:anchorId="6E7A5F1F" wp14:editId="67A02C35">
              <wp:simplePos x="0" y="0"/>
              <wp:positionH relativeFrom="page">
                <wp:posOffset>763524</wp:posOffset>
              </wp:positionH>
              <wp:positionV relativeFrom="page">
                <wp:posOffset>308859</wp:posOffset>
              </wp:positionV>
              <wp:extent cx="6303011" cy="501345"/>
              <wp:effectExtent l="0" t="0" r="0" b="0"/>
              <wp:wrapSquare wrapText="bothSides"/>
              <wp:docPr id="7164" name="Group 7164"/>
              <wp:cNvGraphicFramePr/>
              <a:graphic xmlns:a="http://schemas.openxmlformats.org/drawingml/2006/main">
                <a:graphicData uri="http://schemas.microsoft.com/office/word/2010/wordprocessingGroup">
                  <wpg:wgp>
                    <wpg:cNvGrpSpPr/>
                    <wpg:grpSpPr>
                      <a:xfrm>
                        <a:off x="0" y="0"/>
                        <a:ext cx="6303011" cy="501345"/>
                        <a:chOff x="0" y="0"/>
                        <a:chExt cx="6303011" cy="501345"/>
                      </a:xfrm>
                    </wpg:grpSpPr>
                    <wps:wsp>
                      <wps:cNvPr id="7168" name="Rectangle 7168"/>
                      <wps:cNvSpPr/>
                      <wps:spPr>
                        <a:xfrm>
                          <a:off x="45720" y="0"/>
                          <a:ext cx="50673" cy="184382"/>
                        </a:xfrm>
                        <a:prstGeom prst="rect">
                          <a:avLst/>
                        </a:prstGeom>
                        <a:ln>
                          <a:noFill/>
                        </a:ln>
                      </wps:spPr>
                      <wps:txbx>
                        <w:txbxContent>
                          <w:p w14:paraId="1FDA2191" w14:textId="77777777" w:rsidR="00101AB5" w:rsidRDefault="00E076C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7170" name="Rectangle 7170"/>
                      <wps:cNvSpPr/>
                      <wps:spPr>
                        <a:xfrm>
                          <a:off x="3383915" y="339852"/>
                          <a:ext cx="50673" cy="184382"/>
                        </a:xfrm>
                        <a:prstGeom prst="rect">
                          <a:avLst/>
                        </a:prstGeom>
                        <a:ln>
                          <a:noFill/>
                        </a:ln>
                      </wps:spPr>
                      <wps:txbx>
                        <w:txbxContent>
                          <w:p w14:paraId="421E7F96" w14:textId="77777777" w:rsidR="00101AB5" w:rsidRDefault="00E076C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7169" name="Rectangle 7169"/>
                      <wps:cNvSpPr/>
                      <wps:spPr>
                        <a:xfrm>
                          <a:off x="3466465" y="0"/>
                          <a:ext cx="50673" cy="184382"/>
                        </a:xfrm>
                        <a:prstGeom prst="rect">
                          <a:avLst/>
                        </a:prstGeom>
                        <a:ln>
                          <a:noFill/>
                        </a:ln>
                      </wps:spPr>
                      <wps:txbx>
                        <w:txbxContent>
                          <w:p w14:paraId="6280BC0B" w14:textId="77777777" w:rsidR="00101AB5" w:rsidRDefault="00E076C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7171" name="Rectangle 7171"/>
                      <wps:cNvSpPr/>
                      <wps:spPr>
                        <a:xfrm>
                          <a:off x="45720" y="362712"/>
                          <a:ext cx="50673" cy="184382"/>
                        </a:xfrm>
                        <a:prstGeom prst="rect">
                          <a:avLst/>
                        </a:prstGeom>
                        <a:ln>
                          <a:noFill/>
                        </a:ln>
                      </wps:spPr>
                      <wps:txbx>
                        <w:txbxContent>
                          <w:p w14:paraId="3E2D2B44" w14:textId="77777777" w:rsidR="00101AB5" w:rsidRDefault="00E076C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7172" name="Rectangle 7172"/>
                      <wps:cNvSpPr/>
                      <wps:spPr>
                        <a:xfrm>
                          <a:off x="3466465" y="362712"/>
                          <a:ext cx="50673" cy="184382"/>
                        </a:xfrm>
                        <a:prstGeom prst="rect">
                          <a:avLst/>
                        </a:prstGeom>
                        <a:ln>
                          <a:noFill/>
                        </a:ln>
                      </wps:spPr>
                      <wps:txbx>
                        <w:txbxContent>
                          <w:p w14:paraId="1BD35AF3" w14:textId="77777777" w:rsidR="00101AB5" w:rsidRDefault="00E076C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7441" name="Shape 7441"/>
                      <wps:cNvSpPr/>
                      <wps:spPr>
                        <a:xfrm>
                          <a:off x="0" y="232160"/>
                          <a:ext cx="2880995" cy="9144"/>
                        </a:xfrm>
                        <a:custGeom>
                          <a:avLst/>
                          <a:gdLst/>
                          <a:ahLst/>
                          <a:cxnLst/>
                          <a:rect l="0" t="0" r="0" b="0"/>
                          <a:pathLst>
                            <a:path w="2880995" h="9144">
                              <a:moveTo>
                                <a:pt x="0" y="0"/>
                              </a:moveTo>
                              <a:lnTo>
                                <a:pt x="2880995" y="0"/>
                              </a:lnTo>
                              <a:lnTo>
                                <a:pt x="288099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42" name="Shape 7442"/>
                      <wps:cNvSpPr/>
                      <wps:spPr>
                        <a:xfrm>
                          <a:off x="3422015" y="232160"/>
                          <a:ext cx="2880996" cy="9144"/>
                        </a:xfrm>
                        <a:custGeom>
                          <a:avLst/>
                          <a:gdLst/>
                          <a:ahLst/>
                          <a:cxnLst/>
                          <a:rect l="0" t="0" r="0" b="0"/>
                          <a:pathLst>
                            <a:path w="2880996" h="9144">
                              <a:moveTo>
                                <a:pt x="0" y="0"/>
                              </a:moveTo>
                              <a:lnTo>
                                <a:pt x="2880996" y="0"/>
                              </a:lnTo>
                              <a:lnTo>
                                <a:pt x="28809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7166" name="Picture 7166"/>
                        <pic:cNvPicPr/>
                      </pic:nvPicPr>
                      <pic:blipFill>
                        <a:blip r:embed="rId1"/>
                        <a:stretch>
                          <a:fillRect/>
                        </a:stretch>
                      </pic:blipFill>
                      <pic:spPr>
                        <a:xfrm>
                          <a:off x="2944876" y="17276"/>
                          <a:ext cx="428625" cy="428625"/>
                        </a:xfrm>
                        <a:prstGeom prst="rect">
                          <a:avLst/>
                        </a:prstGeom>
                      </pic:spPr>
                    </pic:pic>
                  </wpg:wgp>
                </a:graphicData>
              </a:graphic>
            </wp:anchor>
          </w:drawing>
        </mc:Choice>
        <mc:Fallback>
          <w:pict>
            <v:group w14:anchorId="6E7A5F1F" id="Group 7164" o:spid="_x0000_s1026" style="position:absolute;left:0;text-align:left;margin-left:60.1pt;margin-top:24.3pt;width:496.3pt;height:39.5pt;z-index:251658240;mso-position-horizontal-relative:page;mso-position-vertical-relative:page" coordsize="63030,501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65m4QkQQAAAgVAAAOAAAAZHJzL2Uyb0RvYy54bWzsWG1v2zYQ/j5g&#10;/0HQ98Z6s2wLcYqhWYMCwxr05QfQNGUJpUiCpGNnv353pCg7tts63ZAFSwNEPpHH4/G5Fx3v8vW2&#10;49Ed06aVYh6nF0kcMUHlshWrefz509tX0zgylogl4VKweXzPTPz66tdfLjeqYplsJF8yHYEQYaqN&#10;mseNtaoajQxtWEfMhVRMwGQtdUcsvOrVaKnJBqR3fJQlSTnaSL1UWlJmDIxe+8n4ysmva0bt+7o2&#10;zEZ8HoNu1j21ey7wObq6JNVKE9W0tFeD/IAWHWkFbDqIuiaWRGvdHonqWqqlkbW9oLIbybpuKXNn&#10;gNOkycFpbrRcK3eWVbVZqQEmgPYApx8WS/+8u9Hqo7rVgMRGrQAL94Zn2da6w1/QMto6yO4HyNjW&#10;RhQGyzzJkzSNIwpz4yTNi7HHlDYA/NEy2vz+7YWjsO3ogTIbBe5hdgiYf4bAx4Yo5oA1FSBwq6N2&#10;OY8naQneKkgHfvoBPIeIFWeRG3XgON4BKlMZQO0ETsV4koGrHWM1TspJ7pFKp0U+zRCp4cCkUtrY&#10;Gya7CIl5rEEF51Pk7g9jPWtgwW25wKeQb1vO/SyOAG5BM6TsdrHtlV/I5T2ctJH6r/cQsTWXm3ks&#10;eyrGIIZNcTaO+DsBCGO8BEIHYhEIbfkb6aLKq/Hb2sq6dXrixn63Xh8wHXrXk9hwAmof2xBGexjA&#10;3t+3YZ5P81k6dlbM89l07GxFquD2/5UpnZ+m4SgvxKLl7JRFYfRRFi3Ksii9Rfu0/yyM6RxrFzD/&#10;//CEb8WJ8Bx8+qzw3KXYvMwm6XMKzjx45QsJzkl20p6DW59lz3wvOJ+dRYuXZdGiGCLUlUnRBEce&#10;k2p98ZPlWVoeZNpsOk1mM0jCWC3O0sJBu1cB0bWvgLCiCFUP1NRLX//AWBMouhWBxDrpm+W9IhbX&#10;oVAkIyh7BkWaXg+c7KAY+iQdmz2oXEHH3SwX+1yDqFDwAW/gCL/Kydvn3Dt8YAq/ntmDeCabg3nY&#10;Fwg8p6sth7PD4D66XCAMsAklcOuqOfGlZtdauI7xtoO7XDZJkp3go8rS2HvOECwuPrAaChN3RcAB&#10;o1eLN1xHdwTLQ/fn61iuGtKPokOBSj2ro50cXF9DQTuITN3SUyK9hJ4Z1zF33xtWJn4l7bXxlz64&#10;OsGhw9UPNBgWuZ2lsMN6ARdWpyZ+nfvT7j7UuHtf0T5VaVsUQ64dIvOxeTaDa6Yvgr4en+VziU9Q&#10;5N+KTxB1Znx6zjMD70y2XRhh5vgZn/vJ4iniU7W0gv++gQLUUfvg+40mWGXXmsW9kO4sGR3RX9bq&#10;FfR6IBG3i5a39t71rSA3oVLi7ral2EXAlwedCHBDXyYDA+6LfYgS01HgxHWYhPD9gZgFbxX2BDCh&#10;Id0rDPnvoGl04sy+IXUt6bpjwvoOm2bwdYD2nmlaZeJIV6xbMGiX6HdLVxdAFreaWQofnJC7ad+u&#10;GCacljvFUOevdE+yWVFMJz4I00kGFBxyd/EusmmZ9QVETyMIoWv0yCaKU8sr4kjQy6V1125zYvvW&#10;IPbz9t8d166BefU3AAAA//8DAFBLAwQKAAAAAAAAACEAVVzsfG8QAABvEAAAFAAAAGRycy9tZWRp&#10;YS9pbWFnZTEuanBn/9j/4AAQSkZJRgABAQEAYABgAAD/2wBDAAMCAgMCAgMDAwMEAwMEBQgFBQQE&#10;BQoHBwYIDAoMDAsKCwsNDhIQDQ4RDgsLEBYQERMUFRUVDA8XGBYUGBIUFRT/2wBDAQMEBAUEBQkF&#10;BQkUDQsNFBQUFBQUFBQUFBQUFBQUFBQUFBQUFBQUFBQUFBQUFBQUFBQUFBQUFBQUFBQUFBQUFBT/&#10;wAARCABdAF0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vhv9un/AIKFaz+yJ8SNC8MaZ4PsPEkWo6UupNc3d48TKxlli27VX/pl&#10;QB9G/tZf8msfGT/sTdZ/9Ipq/BT9jQb/ANrP4RK3/Q06f/6PSv15/Z3/AG7tW+N37MfxU+KV34Us&#10;dLvfBtveyxadFeNJFdeRZfaBufaNu5srXhfwP/4K7+Jfi38YPBngu6+HWlWFvr+q2+mvdxajK7xr&#10;I4XcF2deaAP09ooryT9qT4z3P7PvwK8T+PbLTYdXudGjidbO5laJJN8qRcsP9+gD1uivzp/ZL/4K&#10;keIP2jfjtoHw+1DwHp2i2+qLcO17bX0krx+VA8v3WX/Yr9FqACiiigAooooAK+Pf2xP+Ceem/te/&#10;EDRvFF541ufDL6dpi6asFtp63AfEssu/cXXH+t/SvsKigD5K+Df7E+jfs8fs2fE/4cTeOHutL8V2&#10;l99t129tEt10+OWy8h3K79u1Fy/zMtfNvwP/AOCenwk+H3xk8FeJNJ/aI0jxDqWk6vaXtrpUL2e+&#10;7lSVWWJdlwzfN7Ka+9P2nrG41L9mv4s2NnbS3V1deEdWhghgTc8rvZyqqqv8THjivxC/ZK+D/j3R&#10;/wBqH4WX9/4I8R2FjaeI7Caa4uNIuEjiRZl+Zm2cUAfu/wCIvix4I8H6l/Z+veMNB0XUFRXNpqOp&#10;wW8u1v4tjsGrgP2hPDvg39o79nTxPoj+OtL0vwvqqRRS+Jba5guLeDZcI3394T7ybPvfxV+Yv/BV&#10;T4YeM/Fv7WV5qWieEdd1jT20eyQXWn6bPPFuCvkb0TGa9d8D+AfE8P8AwSA8T+HJvDurJr73krJp&#10;TWMv2p/+JhE3+q27/wBKAOw/ZK/YV+F/wX+Pvh3xd4d+O+leM9YsFnWHQ7ZrXfPvt3RvuXDt8qvu&#10;+7/DX3LrHxm+H3h3U7jTdV8deGtN1C3bbNaXusW8Usbf7SM+5a/Gr/gmt8K/G3hn9sbwPqGs+D9f&#10;0nTo1vxLeX2mzwwqTZzABndNvesH9vz4QePNe/bA+Jeo6b4K8Q6lYXF9E8FzaaVPLFIv2eL7rKmK&#10;AP3X0TW9N8SaVbalpOo22radcpvgu7KdZYZV9VZflatSvnn9gXSL/QP2QfhrpuqWVxp1/bWEqTWt&#10;3E0UsR+0S/eRua+hqAM7U9UtNGsJ7/UbqGxs7aNpZ7m4kVIokX7zMzfdWvmf4Gftrab+0Vr3xnbw&#10;fYo3hzwPZ2r6fqVwHDajLIt0zuyfwxfuEC/xfeb+LYv54/8ABQr/AIKEXnx/1O88BeA7uWz+G1rL&#10;tuLtNyvrbr/G/wDEsCt9xP4vvN/Cqbf/AASi+L/w6+GWi/GbTPiD4u0/wnD4gg063tnvp/KaZVW9&#10;WXZ/u+an/fVAEnh3/gsl8atZ8QaXp83hnwHHDd3MVuzpp17v2s+3/n8r6W/4KE/t8fEL9k34p+H/&#10;AA54R0fw1qOnajoq6jK+tW08sqS+fLEdvlTxfLtReue9cx8PP+Cc/wCy34l0V/G/hj4ja9q2haRd&#10;I0uqJqlv9lSVGRtjsbf/AHf++q9I/bk+Cv7OXxK+JOhah8ZfiPceDNeg0pYLKzhv4rcy2vmytv2v&#10;E/8AGzrn/ZoAh/Zk/be8d/Gn9k/4w/FDW9L8PWWveDra/l0+20+1nS1laCw+0L5qvO7N83B2svy1&#10;8+/AL/grH8W/it8b/Ang7V/D3gu103XdatdNuZbKxu0mSOWVVYoz3TLuwe6mvqH9nf4Q/APwn+zL&#10;8VfD/gLx9Prvw81OG+XxFrMt9FM9ij2Wyb50iVV2xfN91vxrwr4Lfs0fsceG/i94P1Twf8ZbzWPF&#10;NnqttPpdi+rW8vn3SSr5SbVgG7c+O/egDZ/bo/4KOfEv9mT4+T+CPC+ieFb7SotOtrwTaxZ3Mk5e&#10;Tdu+aO4RdvH92u98M/tveO9d/wCCfWt/HWbS/D6eLLG5eKOxjtp/sDKt0kXzJ5+/7r/3+orL/bL+&#10;A/7L3xC+NE+rfFf4oXPhPxa9hBE1hFqcUC+Uu7Y214nr1D4Wfs0fCDx3+yHd/CzwV4s1DxB8N9Tu&#10;ZGOrWt3FLcbhOsror+Vt++n9ygD5t/Y1/wCCmnxQ/aJ/aJ8MeAfEWg+EbLR9UW6aefS7K6S4Xyre&#10;WVdrPcOv3kH8NZn7Vf8AwVN+KnwO/aD8ZeBdD8PeD7vStFukgt5tRs7p53VokfLslyq/xf3a+kvg&#10;T/wTO+GP7PXxO0fx54c1fxPc6zpQlEUWoXcDwt5sTxPuVYV/hf8AvV4z+0l+zt+yL4x+OfizWPiB&#10;8Xrvw94xu7lW1HTY9Wt4kgk8pF2lWgYr8uz+KgDtviR+3J478F/sG+AvjVZaV4bm8U69fRW1za3F&#10;tcNYojNOPkQT7937pPvS/wB6vkT/AIfUfG//AKFXwD/4L77/AOTK+2/iJ8Hv2fdV/Ys8F+ENc+Id&#10;xY/CKzvYn0vxH9uiR55N0+1fN8rYeXl/g/hr5c/4ZL/YR/6Lxe/+Du1/+R6APzIr6Z/ZG/ZEu/jt&#10;fXnizxVff8Il8JvD37/W/EVy2xHRcM1vA3eQ8f7uf721W/Uj/h0z+zj/ANCzqv8A4Orj/wCKr5j/&#10;AOCukKfCPwD8Ivhl4SY6F4H8m8eTR7P5ElaDyFiaTH3/APWv97+Jt3WgDwH9oP8Aa8tfiv4o8JfD&#10;b4b2J8JfBnw/qFrFp2k26eU1+ySr/pE/97n5lV/95/mr6S/4Ku/s3fE/4z/GvwrqvgjwXqnibTrX&#10;w+trNcWEW5Ul+0Tvt/75Za/LKwvp9Lvre8t28ue3lSaN8fdZTuU19bf8PYf2j/8AobNN/wDBLa//&#10;ABFAH17+xh+z58RfAX7Cvx+8I+IfCWpaV4k1201RNM0y4i/fXTS6b5SbB/tP8tfKX7Lf7F/xv8If&#10;tI/DPXda+G2uabpGneIbK6u7u4iUJFEkqszN83pW18Nf+Chf7WXxg8aaV4T8Kavaatreoy+VDbxa&#10;Fa/8Cd22fKij5mb+Gvs/Vv20tT+GXxL+F/wQu/E1n8QfidquuWlp4r1u3to4bLTklmTfawoipl9v&#10;y/NyvVvm+VQD5x/4KZ/stfFn4tftQXfiDwf4E1bxDoz6VZwJe2UW5NyK25f1r7T/AOCa3w38TfCf&#10;9ljSPD3i7R7nQNai1G8leyu12uqvLlc18sf8FDP26/jH+z7+0bdeEvBev2ljoaaZa3SW82mwTsHd&#10;W3/O6lu1ek+Ev2uviZqv/BNTxB8YbnV7Z/HlpcyJBfCxiCKq3sUX+q27PuM1AH6DV+JH7cH7IHxn&#10;+In7VXxE8ReHPh3rOsaJfXsUltfWkStFKvkRLlfm9q9M/YZ/4KA/Gv44/tO+EvBvi7xFZ3nh6/W6&#10;a6t4dLghZ9lrK6fOibvvqlZH7YX/AAUT+OXwh/aV8d+D/DPiKys9D0m8SG1t5dKt5GVTEjfeZNzf&#10;eNAHp/xl/Z6+I+vf8Ewfhn4AsPB2o3fjLTtQglvNGii/0iFFa65Yf8DT/vqvgg/sEftB5/5JP4i/&#10;78L/APFV+4P7HvxK1z4vfs1+BPGPia7jvNc1azeW6niiWJWYSuv3E+VfuivaaACvz2/4Km/sqfE3&#10;9pHVvh1P8P8Aw8mtx6TBfLebr2C38tpXt9n+tdd33Gr9CaKAPwH/AOHW37Sf/QgR/wDg4sv/AI7T&#10;4v8Aglr+0jLKiHwLAm5tu9tYstq/+Ra/fWigD8f/AIuXmn/8Ev8A4bWfgHwVGt98bPGGm/bNW8at&#10;H8tla+a6CK13cr8yN/3zvb+DZ8V/s6+OrDwX+0Z4A8YeJr+VdM03X7XUL+9dWlfYkqs7H+JulfXH&#10;/Ba3d/w0d4N/u/8ACKRY/wDAu6r49+CPwK8WftDfEHTvCPgzTvtuo3Z3SSyHbBaxD780r4+VF/P+&#10;FdzECgD9ZpD+x7+3X8X2lS3v/GvjSe2VJJorfVIEht4k4ZiNkUa9tzfxPXpmo+Hf2cfA/wCyR4q0&#10;NVEvwW029lg1OKyu7q4Xz1uk3qsqP5rfvdv3Gr8+fjr8avBv7Ifw61X4CfBC8+269eEweNPH8YVb&#10;m6bHzW8Dp/Cu5k+98nzryzM9e6/s2fC7xF8aP+CTmreDfC1rHeeINUv7hLaGaZYkYpeo5+dvl+6h&#10;oA679lO5/Yrm+O3h1fhFaX0PxAC3H9mvK2pbMfZ383/Wtt/1W/71Z37Sd7+w4nxx8Vr8T7G9fx39&#10;oX+1ni/tLb5vlJj/AFTbPu7fu15z+w1/wT6+NHwM/aa8J+M/F+hWFp4f05bpbiW31KCZ1328qJ8q&#10;t/fZax/2wv8AgnR8b/i/+0j488ZeGdBsLzQtWvEmtJJdVgidl8pF+6zZX5lNAH6X/s4v4Df4H+Em&#10;+F6svgP7M/8AZKv5u4Rea+7/AFvz/f3fer0+vFf2Pvhtr3wg/Zs8C+DvE0EdtrukWbQ3UUUqyojG&#10;V34dePusK9qoAKKKKACiiigDyT4s/ss/Cv46a5a6x478GWfiPUrW2+yQXFxJKjJFuZ9nyOv8Tsf+&#10;BV538Wfgr4L/AGbv2VPjDN8M9BtvBt1L4bvZnvNOd1uCyQPsPms2/wCXPy/NX0/XjH7Z3/Jpfxg/&#10;7FbUP/RD0AfzfV698PP2sPi98JPDMXh3wd471TQdEileZLK0Zdiu33jyteQ0UAfREP7fH7RdzIkM&#10;XxT1+SVm2qiFNzH/AL4r9Zv2Fvht8brXwwnjL41+Otb1LVdRiBsfC906ollE2PmuF2j96f7n8A6/&#10;N935a/4JFfsseEPGGmXvxf1+M6trGl6ibHS7CdAbe0dY1Yz4z8z/ALzC5+7jIycFf1foAKKKKAP/&#10;2VBLAwQUAAYACAAAACEAnBzTgd8AAAALAQAADwAAAGRycy9kb3ducmV2LnhtbEyPQUvDQBSE74L/&#10;YXmCN7tJ1FhiNqUU9VQEW0G8bbOvSWj2bchuk/Tf+3Kyx2GGmW/y1WRbMWDvG0cK4kUEAql0pqFK&#10;wff+/WEJwgdNRreOUMEFPayK25tcZ8aN9IXDLlSCS8hnWkEdQpdJ6csarfYL1yGxd3S91YFlX0nT&#10;65HLbSuTKEql1Q3xQq073NRYnnZnq+Bj1OP6MX4btqfj5vK7f/782cao1P3dtH4FEXAK/2GY8Rkd&#10;CmY6uDMZL1rWSZRwVMHTMgUxB+I44TOH2XpJQRa5vP5Q/AEAAP//AwBQSwMEFAAGAAgAAAAhADed&#10;wRi6AAAAIQEAABkAAABkcnMvX3JlbHMvZTJvRG9jLnhtbC5yZWxzhI/LCsIwEEX3gv8QZm/TuhCR&#10;pm5EcCv1A4ZkmkabB0kU+/cG3CgILude7jlMu3/aiT0oJuOdgKaqgZGTXhmnBVz642oLLGV0Cifv&#10;SMBMCfbdctGeacJcRmk0IbFCcUnAmHPYcZ7kSBZT5QO50gw+WszljJoHlDfUxNd1veHxkwHdF5Od&#10;lIB4Ug2wfg7F/J/th8FIOnh5t+TyDwU3trgLEKOmLMCSMvgOm+oaNPCu5V+PdS8AAAD//wMAUEsB&#10;Ai0AFAAGAAgAAAAhANr2PfsNAQAAFAIAABMAAAAAAAAAAAAAAAAAAAAAAFtDb250ZW50X1R5cGVz&#10;XS54bWxQSwECLQAUAAYACAAAACEAOP0h/9YAAACUAQAACwAAAAAAAAAAAAAAAAA+AQAAX3JlbHMv&#10;LnJlbHNQSwECLQAUAAYACAAAACEAeuZuEJEEAAAIFQAADgAAAAAAAAAAAAAAAAA9AgAAZHJzL2Uy&#10;b0RvYy54bWxQSwECLQAKAAAAAAAAACEAVVzsfG8QAABvEAAAFAAAAAAAAAAAAAAAAAD6BgAAZHJz&#10;L21lZGlhL2ltYWdlMS5qcGdQSwECLQAUAAYACAAAACEAnBzTgd8AAAALAQAADwAAAAAAAAAAAAAA&#10;AACbFwAAZHJzL2Rvd25yZXYueG1sUEsBAi0AFAAGAAgAAAAhADedwRi6AAAAIQEAABkAAAAAAAAA&#10;AAAAAAAApxgAAGRycy9fcmVscy9lMm9Eb2MueG1sLnJlbHNQSwUGAAAAAAYABgB8AQAAmBkAAAAA&#10;">
              <v:rect id="Rectangle 7168" o:spid="_x0000_s1027" style="position:absolute;left:457;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7aQwwAAAN0AAAAPAAAAZHJzL2Rvd25yZXYueG1sRE/LisIw&#10;FN0L8w/hDsxOU134qE1FZhx06QvU3aW5tsXmpjQZ2/HrzUJweTjvZNGZStypcaVlBcNBBII4s7rk&#10;XMHx8NufgnAeWWNlmRT8k4NF+tFLMNa25R3d9z4XIYRdjAoK7+tYSpcVZNANbE0cuKttDPoAm1zq&#10;BtsQbio5iqKxNFhyaCiwpu+Cstv+zyhYT+vleWMfbV6tLuvT9jT7Ocy8Ul+f3XIOwlPn3+KXe6MV&#10;TIbjMDe8CU9Apk8AAAD//wMAUEsBAi0AFAAGAAgAAAAhANvh9svuAAAAhQEAABMAAAAAAAAAAAAA&#10;AAAAAAAAAFtDb250ZW50X1R5cGVzXS54bWxQSwECLQAUAAYACAAAACEAWvQsW78AAAAVAQAACwAA&#10;AAAAAAAAAAAAAAAfAQAAX3JlbHMvLnJlbHNQSwECLQAUAAYACAAAACEADje2kMMAAADdAAAADwAA&#10;AAAAAAAAAAAAAAAHAgAAZHJzL2Rvd25yZXYueG1sUEsFBgAAAAADAAMAtwAAAPcCAAAAAA==&#10;" filled="f" stroked="f">
                <v:textbox inset="0,0,0,0">
                  <w:txbxContent>
                    <w:p w14:paraId="1FDA2191" w14:textId="77777777" w:rsidR="00101AB5" w:rsidRDefault="00E076C4">
                      <w:r>
                        <w:rPr>
                          <w:rFonts w:ascii="Times New Roman" w:eastAsia="Times New Roman" w:hAnsi="Times New Roman" w:cs="Times New Roman"/>
                          <w:sz w:val="24"/>
                        </w:rPr>
                        <w:t xml:space="preserve"> </w:t>
                      </w:r>
                    </w:p>
                  </w:txbxContent>
                </v:textbox>
              </v:rect>
              <v:rect id="Rectangle 7170" o:spid="_x0000_s1028" style="position:absolute;left:33839;top:3398;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CxLwwAAAN0AAAAPAAAAZHJzL2Rvd25yZXYueG1sRE/LisIw&#10;FN0L/kO4gjtNdeGj01TEB7qcUUFnd2nutGWam9JEW/36yWLA5eG8k1VnKvGgxpWWFUzGEQjizOqS&#10;cwWX8360AOE8ssbKMil4koNV2u8lGGvb8hc9Tj4XIYRdjAoK7+tYSpcVZNCNbU0cuB/bGPQBNrnU&#10;DbYh3FRyGkUzabDk0FBgTZuCst/T3Sg4LOr17WhfbV7tvg/Xz+tye156pYaDbv0BwlPn3+J/91Er&#10;mE/mYX94E56ATP8AAAD//wMAUEsBAi0AFAAGAAgAAAAhANvh9svuAAAAhQEAABMAAAAAAAAAAAAA&#10;AAAAAAAAAFtDb250ZW50X1R5cGVzXS54bWxQSwECLQAUAAYACAAAACEAWvQsW78AAAAVAQAACwAA&#10;AAAAAAAAAAAAAAAfAQAAX3JlbHMvLnJlbHNQSwECLQAUAAYACAAAACEAdZgsS8MAAADdAAAADwAA&#10;AAAAAAAAAAAAAAAHAgAAZHJzL2Rvd25yZXYueG1sUEsFBgAAAAADAAMAtwAAAPcCAAAAAA==&#10;" filled="f" stroked="f">
                <v:textbox inset="0,0,0,0">
                  <w:txbxContent>
                    <w:p w14:paraId="421E7F96" w14:textId="77777777" w:rsidR="00101AB5" w:rsidRDefault="00E076C4">
                      <w:r>
                        <w:rPr>
                          <w:rFonts w:ascii="Times New Roman" w:eastAsia="Times New Roman" w:hAnsi="Times New Roman" w:cs="Times New Roman"/>
                          <w:sz w:val="24"/>
                        </w:rPr>
                        <w:t xml:space="preserve"> </w:t>
                      </w:r>
                    </w:p>
                  </w:txbxContent>
                </v:textbox>
              </v:rect>
              <v:rect id="Rectangle 7169" o:spid="_x0000_s1029" style="position:absolute;left:34664;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xMLxwAAAN0AAAAPAAAAZHJzL2Rvd25yZXYueG1sRI9Ba8JA&#10;FITvBf/D8oTe6iY9RJO6hqAVPbZasL09ss8kmH0bsqtJ/fXdQqHHYWa+YZb5aFpxo941lhXEswgE&#10;cWl1w5WCj+P2aQHCeWSNrWVS8E0O8tXkYYmZtgO/0+3gKxEg7DJUUHvfZVK6siaDbmY74uCdbW/Q&#10;B9lXUvc4BLhp5XMUJdJgw2Ghxo7WNZWXw9Uo2C264nNv70PVvn7tTm+ndHNMvVKP07F4AeFp9P/h&#10;v/ZeK5jHSQq/b8ITkKsfAAAA//8DAFBLAQItABQABgAIAAAAIQDb4fbL7gAAAIUBAAATAAAAAAAA&#10;AAAAAAAAAAAAAABbQ29udGVudF9UeXBlc10ueG1sUEsBAi0AFAAGAAgAAAAhAFr0LFu/AAAAFQEA&#10;AAsAAAAAAAAAAAAAAAAAHwEAAF9yZWxzLy5yZWxzUEsBAi0AFAAGAAgAAAAhAGF7EwvHAAAA3QAA&#10;AA8AAAAAAAAAAAAAAAAABwIAAGRycy9kb3ducmV2LnhtbFBLBQYAAAAAAwADALcAAAD7AgAAAAA=&#10;" filled="f" stroked="f">
                <v:textbox inset="0,0,0,0">
                  <w:txbxContent>
                    <w:p w14:paraId="6280BC0B" w14:textId="77777777" w:rsidR="00101AB5" w:rsidRDefault="00E076C4">
                      <w:r>
                        <w:rPr>
                          <w:rFonts w:ascii="Times New Roman" w:eastAsia="Times New Roman" w:hAnsi="Times New Roman" w:cs="Times New Roman"/>
                          <w:sz w:val="24"/>
                        </w:rPr>
                        <w:t xml:space="preserve"> </w:t>
                      </w:r>
                    </w:p>
                  </w:txbxContent>
                </v:textbox>
              </v:rect>
              <v:rect id="Rectangle 7171" o:spid="_x0000_s1030" style="position:absolute;left:457;top:3627;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InQxwAAAN0AAAAPAAAAZHJzL2Rvd25yZXYueG1sRI9La8Mw&#10;EITvhf4HsYXeGtk9NLYTxZg+SI55FNLcFmtrm1orY6mxk18fBQI5DjPzDTPPR9OKI/WusawgnkQg&#10;iEurG64UfO++XhIQziNrbC2TghM5yBePD3PMtB14Q8etr0SAsMtQQe19l0npypoMuontiIP3a3uD&#10;Psi+krrHIcBNK1+j6E0abDgs1NjRe03l3/bfKFgmXfGzsuehaj8Py/16n37sUq/U89NYzEB4Gv09&#10;fGuvtIJpPI3h+iY8Abm4AAAA//8DAFBLAQItABQABgAIAAAAIQDb4fbL7gAAAIUBAAATAAAAAAAA&#10;AAAAAAAAAAAAAABbQ29udGVudF9UeXBlc10ueG1sUEsBAi0AFAAGAAgAAAAhAFr0LFu/AAAAFQEA&#10;AAsAAAAAAAAAAAAAAAAAHwEAAF9yZWxzLy5yZWxzUEsBAi0AFAAGAAgAAAAhABrUidDHAAAA3QAA&#10;AA8AAAAAAAAAAAAAAAAABwIAAGRycy9kb3ducmV2LnhtbFBLBQYAAAAAAwADALcAAAD7AgAAAAA=&#10;" filled="f" stroked="f">
                <v:textbox inset="0,0,0,0">
                  <w:txbxContent>
                    <w:p w14:paraId="3E2D2B44" w14:textId="77777777" w:rsidR="00101AB5" w:rsidRDefault="00E076C4">
                      <w:r>
                        <w:rPr>
                          <w:rFonts w:ascii="Times New Roman" w:eastAsia="Times New Roman" w:hAnsi="Times New Roman" w:cs="Times New Roman"/>
                          <w:sz w:val="24"/>
                        </w:rPr>
                        <w:t xml:space="preserve"> </w:t>
                      </w:r>
                    </w:p>
                  </w:txbxContent>
                </v:textbox>
              </v:rect>
              <v:rect id="Rectangle 7172" o:spid="_x0000_s1031" style="position:absolute;left:34664;top:3627;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henxgAAAN0AAAAPAAAAZHJzL2Rvd25yZXYueG1sRI9Ba8JA&#10;FITvQv/D8oTezCYeqkZXCW1Fj60WordH9pkEs29DdjVpf323IPQ4zMw3zGozmEbcqXO1ZQVJFIMg&#10;LqyuuVTwddxO5iCcR9bYWCYF3+Rgs34arTDVtudPuh98KQKEXYoKKu/bVEpXVGTQRbYlDt7FdgZ9&#10;kF0pdYd9gJtGTuP4RRqsOSxU2NJrRcX1cDMKdvM2O+3tT1827+dd/pEv3o4Lr9TzeMiWIDwN/j/8&#10;aO+1glkym8Lfm/AE5PoXAAD//wMAUEsBAi0AFAAGAAgAAAAhANvh9svuAAAAhQEAABMAAAAAAAAA&#10;AAAAAAAAAAAAAFtDb250ZW50X1R5cGVzXS54bWxQSwECLQAUAAYACAAAACEAWvQsW78AAAAVAQAA&#10;CwAAAAAAAAAAAAAAAAAfAQAAX3JlbHMvLnJlbHNQSwECLQAUAAYACAAAACEA6gYXp8YAAADdAAAA&#10;DwAAAAAAAAAAAAAAAAAHAgAAZHJzL2Rvd25yZXYueG1sUEsFBgAAAAADAAMAtwAAAPoCAAAAAA==&#10;" filled="f" stroked="f">
                <v:textbox inset="0,0,0,0">
                  <w:txbxContent>
                    <w:p w14:paraId="1BD35AF3" w14:textId="77777777" w:rsidR="00101AB5" w:rsidRDefault="00E076C4">
                      <w:r>
                        <w:rPr>
                          <w:rFonts w:ascii="Times New Roman" w:eastAsia="Times New Roman" w:hAnsi="Times New Roman" w:cs="Times New Roman"/>
                          <w:sz w:val="24"/>
                        </w:rPr>
                        <w:t xml:space="preserve"> </w:t>
                      </w:r>
                    </w:p>
                  </w:txbxContent>
                </v:textbox>
              </v:rect>
              <v:shape id="Shape 7441" o:spid="_x0000_s1032" style="position:absolute;top:2321;width:28809;height:92;visibility:visible;mso-wrap-style:square;v-text-anchor:top" coordsize="288099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PoPxgAAAN0AAAAPAAAAZHJzL2Rvd25yZXYueG1sRI9Ba8JA&#10;FITvBf/D8oTemk2CtBKziiiWUOihGhRvj+xrEpp9G7Jbk/77bqHgcZiZb5h8M5lO3GhwrWUFSRSD&#10;IK6sbrlWUJ4OT0sQziNr7CyTgh9ysFnPHnLMtB35g25HX4sAYZehgsb7PpPSVQ0ZdJHtiYP3aQeD&#10;PsihlnrAMcBNJ9M4fpYGWw4LDfa0a6j6On4bBen59VouSb5ze7oUOknLfv8WK/U4n7YrEJ4mfw//&#10;twut4GWxSODvTXgCcv0LAAD//wMAUEsBAi0AFAAGAAgAAAAhANvh9svuAAAAhQEAABMAAAAAAAAA&#10;AAAAAAAAAAAAAFtDb250ZW50X1R5cGVzXS54bWxQSwECLQAUAAYACAAAACEAWvQsW78AAAAVAQAA&#10;CwAAAAAAAAAAAAAAAAAfAQAAX3JlbHMvLnJlbHNQSwECLQAUAAYACAAAACEA+Ez6D8YAAADdAAAA&#10;DwAAAAAAAAAAAAAAAAAHAgAAZHJzL2Rvd25yZXYueG1sUEsFBgAAAAADAAMAtwAAAPoCAAAAAA==&#10;" path="m,l2880995,r,9144l,9144,,e" fillcolor="black" stroked="f" strokeweight="0">
                <v:stroke miterlimit="83231f" joinstyle="miter"/>
                <v:path arrowok="t" textboxrect="0,0,2880995,9144"/>
              </v:shape>
              <v:shape id="Shape 7442" o:spid="_x0000_s1033" style="position:absolute;left:34220;top:2321;width:28810;height:92;visibility:visible;mso-wrap-style:square;v-text-anchor:top" coordsize="28809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UVLxAAAAN0AAAAPAAAAZHJzL2Rvd25yZXYueG1sRI/disIw&#10;FITvBd8hnIW909TiH12jiLqLgiBV8frQnG3LNielyWp9eyMIXg4z8w0zW7SmEldqXGlZwaAfgSDO&#10;rC45V3A+ffemIJxH1lhZJgV3crCYdzszTLS9cUrXo89FgLBLUEHhfZ1I6bKCDLq+rYmD92sbgz7I&#10;Jpe6wVuAm0rGUTSWBksOCwXWtCoo+zv+GwWbNP0Zr8le9ptBXpej6cHtYqnU50e7/ALhqfXv8Ku9&#10;1Qomw2EMzzfhCcj5AwAA//8DAFBLAQItABQABgAIAAAAIQDb4fbL7gAAAIUBAAATAAAAAAAAAAAA&#10;AAAAAAAAAABbQ29udGVudF9UeXBlc10ueG1sUEsBAi0AFAAGAAgAAAAhAFr0LFu/AAAAFQEAAAsA&#10;AAAAAAAAAAAAAAAAHwEAAF9yZWxzLy5yZWxzUEsBAi0AFAAGAAgAAAAhAOWtRUvEAAAA3QAAAA8A&#10;AAAAAAAAAAAAAAAABwIAAGRycy9kb3ducmV2LnhtbFBLBQYAAAAAAwADALcAAAD4AgAAAAA=&#10;" path="m,l2880996,r,9144l,9144,,e" fillcolor="black" stroked="f" strokeweight="0">
                <v:stroke miterlimit="83231f" joinstyle="miter"/>
                <v:path arrowok="t" textboxrect="0,0,2880996,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66" o:spid="_x0000_s1034" type="#_x0000_t75" style="position:absolute;left:29448;top:172;width:4287;height: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E1GxwAAAN0AAAAPAAAAZHJzL2Rvd25yZXYueG1sRI9bawIx&#10;FITfC/6HcATfatYiq2yNIoIXqhS8QPt42JzuLm5Otkmq2/56Iwh9HGbmG2Yya00tLuR8ZVnBoJ+A&#10;IM6trrhQcDoun8cgfEDWWFsmBb/kYTbtPE0w0/bKe7ocQiEihH2GCsoQmkxKn5dk0PdtQxy9L+sM&#10;hihdIbXDa4SbWr4kSSoNVhwXSmxoUVJ+PvwYBR969+7Nav3p/jb77x2etnb4tlWq123nryACteE/&#10;/GhvtILRIE3h/iY+ATm9AQAA//8DAFBLAQItABQABgAIAAAAIQDb4fbL7gAAAIUBAAATAAAAAAAA&#10;AAAAAAAAAAAAAABbQ29udGVudF9UeXBlc10ueG1sUEsBAi0AFAAGAAgAAAAhAFr0LFu/AAAAFQEA&#10;AAsAAAAAAAAAAAAAAAAAHwEAAF9yZWxzLy5yZWxzUEsBAi0AFAAGAAgAAAAhAM48TUbHAAAA3QAA&#10;AA8AAAAAAAAAAAAAAAAABwIAAGRycy9kb3ducmV2LnhtbFBLBQYAAAAAAwADALcAAAD7AgAAAAA=&#10;">
                <v:imagedata r:id="rId2" o:title=""/>
              </v:shape>
              <w10:wrap type="square" anchorx="page" anchory="page"/>
            </v:group>
          </w:pict>
        </mc:Fallback>
      </mc:AlternateContent>
    </w:r>
    <w:proofErr w:type="spellStart"/>
    <w:r>
      <w:rPr>
        <w:rFonts w:ascii="Arial" w:eastAsia="Arial" w:hAnsi="Arial" w:cs="Arial"/>
        <w:sz w:val="10"/>
      </w:rPr>
      <w:t>Jakinaraz</w:t>
    </w:r>
    <w:proofErr w:type="spellEnd"/>
    <w:r>
      <w:rPr>
        <w:rFonts w:ascii="Arial" w:eastAsia="Arial" w:hAnsi="Arial" w:cs="Arial"/>
        <w:sz w:val="10"/>
      </w:rPr>
      <w:t xml:space="preserve">. </w:t>
    </w:r>
    <w:proofErr w:type="spellStart"/>
    <w:r>
      <w:rPr>
        <w:rFonts w:ascii="Arial" w:eastAsia="Arial" w:hAnsi="Arial" w:cs="Arial"/>
        <w:sz w:val="10"/>
      </w:rPr>
      <w:t>zkia</w:t>
    </w:r>
    <w:proofErr w:type="spellEnd"/>
    <w:r>
      <w:rPr>
        <w:rFonts w:ascii="Arial" w:eastAsia="Arial" w:hAnsi="Arial" w:cs="Arial"/>
        <w:sz w:val="10"/>
      </w:rPr>
      <w:t xml:space="preserve">. / </w:t>
    </w:r>
    <w:proofErr w:type="spellStart"/>
    <w:r>
      <w:rPr>
        <w:rFonts w:ascii="Arial" w:eastAsia="Arial" w:hAnsi="Arial" w:cs="Arial"/>
        <w:sz w:val="10"/>
      </w:rPr>
      <w:t>Num</w:t>
    </w:r>
    <w:proofErr w:type="spellEnd"/>
    <w:r>
      <w:rPr>
        <w:rFonts w:ascii="Arial" w:eastAsia="Arial" w:hAnsi="Arial" w:cs="Arial"/>
        <w:sz w:val="10"/>
      </w:rPr>
      <w:t>. Notif.: 20260355856</w:t>
    </w:r>
  </w:p>
  <w:p w14:paraId="51B218DD" w14:textId="77777777" w:rsidR="00101AB5" w:rsidRDefault="00E076C4">
    <w:pPr>
      <w:spacing w:after="0"/>
    </w:pPr>
    <w:r>
      <w:rPr>
        <w:rFonts w:ascii="Arial" w:eastAsia="Arial" w:hAnsi="Arial" w:cs="Arial"/>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47A92" w14:textId="0DDE0726" w:rsidR="00101AB5" w:rsidRDefault="00E076C4" w:rsidP="00C860CE">
    <w:pPr>
      <w:spacing w:after="1242"/>
      <w:ind w:right="-663"/>
      <w:jc w:val="right"/>
    </w:pPr>
    <w:r>
      <w:rPr>
        <w:noProof/>
      </w:rPr>
      <mc:AlternateContent>
        <mc:Choice Requires="wpg">
          <w:drawing>
            <wp:anchor distT="0" distB="0" distL="114300" distR="114300" simplePos="0" relativeHeight="251659264" behindDoc="0" locked="0" layoutInCell="1" allowOverlap="1" wp14:anchorId="06CCE884" wp14:editId="7E00BBB5">
              <wp:simplePos x="0" y="0"/>
              <wp:positionH relativeFrom="page">
                <wp:posOffset>763524</wp:posOffset>
              </wp:positionH>
              <wp:positionV relativeFrom="page">
                <wp:posOffset>308859</wp:posOffset>
              </wp:positionV>
              <wp:extent cx="6303011" cy="501345"/>
              <wp:effectExtent l="0" t="0" r="0" b="0"/>
              <wp:wrapSquare wrapText="bothSides"/>
              <wp:docPr id="7131" name="Group 7131"/>
              <wp:cNvGraphicFramePr/>
              <a:graphic xmlns:a="http://schemas.openxmlformats.org/drawingml/2006/main">
                <a:graphicData uri="http://schemas.microsoft.com/office/word/2010/wordprocessingGroup">
                  <wpg:wgp>
                    <wpg:cNvGrpSpPr/>
                    <wpg:grpSpPr>
                      <a:xfrm>
                        <a:off x="0" y="0"/>
                        <a:ext cx="6303011" cy="501345"/>
                        <a:chOff x="0" y="0"/>
                        <a:chExt cx="6303011" cy="501345"/>
                      </a:xfrm>
                    </wpg:grpSpPr>
                    <wps:wsp>
                      <wps:cNvPr id="7135" name="Rectangle 7135"/>
                      <wps:cNvSpPr/>
                      <wps:spPr>
                        <a:xfrm>
                          <a:off x="45720" y="0"/>
                          <a:ext cx="50673" cy="184382"/>
                        </a:xfrm>
                        <a:prstGeom prst="rect">
                          <a:avLst/>
                        </a:prstGeom>
                        <a:ln>
                          <a:noFill/>
                        </a:ln>
                      </wps:spPr>
                      <wps:txbx>
                        <w:txbxContent>
                          <w:p w14:paraId="4F3CEA94" w14:textId="77777777" w:rsidR="00101AB5" w:rsidRDefault="00E076C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7137" name="Rectangle 7137"/>
                      <wps:cNvSpPr/>
                      <wps:spPr>
                        <a:xfrm>
                          <a:off x="3383915" y="339852"/>
                          <a:ext cx="50673" cy="184382"/>
                        </a:xfrm>
                        <a:prstGeom prst="rect">
                          <a:avLst/>
                        </a:prstGeom>
                        <a:ln>
                          <a:noFill/>
                        </a:ln>
                      </wps:spPr>
                      <wps:txbx>
                        <w:txbxContent>
                          <w:p w14:paraId="6E861C1A" w14:textId="77777777" w:rsidR="00101AB5" w:rsidRDefault="00E076C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7136" name="Rectangle 7136"/>
                      <wps:cNvSpPr/>
                      <wps:spPr>
                        <a:xfrm>
                          <a:off x="3466465" y="0"/>
                          <a:ext cx="50673" cy="184382"/>
                        </a:xfrm>
                        <a:prstGeom prst="rect">
                          <a:avLst/>
                        </a:prstGeom>
                        <a:ln>
                          <a:noFill/>
                        </a:ln>
                      </wps:spPr>
                      <wps:txbx>
                        <w:txbxContent>
                          <w:p w14:paraId="1BCC9244" w14:textId="77777777" w:rsidR="00101AB5" w:rsidRDefault="00E076C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7138" name="Rectangle 7138"/>
                      <wps:cNvSpPr/>
                      <wps:spPr>
                        <a:xfrm>
                          <a:off x="45720" y="362712"/>
                          <a:ext cx="50673" cy="184382"/>
                        </a:xfrm>
                        <a:prstGeom prst="rect">
                          <a:avLst/>
                        </a:prstGeom>
                        <a:ln>
                          <a:noFill/>
                        </a:ln>
                      </wps:spPr>
                      <wps:txbx>
                        <w:txbxContent>
                          <w:p w14:paraId="25B89D70" w14:textId="77777777" w:rsidR="00101AB5" w:rsidRDefault="00E076C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7139" name="Rectangle 7139"/>
                      <wps:cNvSpPr/>
                      <wps:spPr>
                        <a:xfrm>
                          <a:off x="3466465" y="362712"/>
                          <a:ext cx="50673" cy="184382"/>
                        </a:xfrm>
                        <a:prstGeom prst="rect">
                          <a:avLst/>
                        </a:prstGeom>
                        <a:ln>
                          <a:noFill/>
                        </a:ln>
                      </wps:spPr>
                      <wps:txbx>
                        <w:txbxContent>
                          <w:p w14:paraId="67C48C1A" w14:textId="77777777" w:rsidR="00101AB5" w:rsidRDefault="00E076C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7437" name="Shape 7437"/>
                      <wps:cNvSpPr/>
                      <wps:spPr>
                        <a:xfrm>
                          <a:off x="0" y="232160"/>
                          <a:ext cx="2880995" cy="9144"/>
                        </a:xfrm>
                        <a:custGeom>
                          <a:avLst/>
                          <a:gdLst/>
                          <a:ahLst/>
                          <a:cxnLst/>
                          <a:rect l="0" t="0" r="0" b="0"/>
                          <a:pathLst>
                            <a:path w="2880995" h="9144">
                              <a:moveTo>
                                <a:pt x="0" y="0"/>
                              </a:moveTo>
                              <a:lnTo>
                                <a:pt x="2880995" y="0"/>
                              </a:lnTo>
                              <a:lnTo>
                                <a:pt x="288099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38" name="Shape 7438"/>
                      <wps:cNvSpPr/>
                      <wps:spPr>
                        <a:xfrm>
                          <a:off x="3422015" y="232160"/>
                          <a:ext cx="2880996" cy="9144"/>
                        </a:xfrm>
                        <a:custGeom>
                          <a:avLst/>
                          <a:gdLst/>
                          <a:ahLst/>
                          <a:cxnLst/>
                          <a:rect l="0" t="0" r="0" b="0"/>
                          <a:pathLst>
                            <a:path w="2880996" h="9144">
                              <a:moveTo>
                                <a:pt x="0" y="0"/>
                              </a:moveTo>
                              <a:lnTo>
                                <a:pt x="2880996" y="0"/>
                              </a:lnTo>
                              <a:lnTo>
                                <a:pt x="28809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7133" name="Picture 7133"/>
                        <pic:cNvPicPr/>
                      </pic:nvPicPr>
                      <pic:blipFill>
                        <a:blip r:embed="rId1"/>
                        <a:stretch>
                          <a:fillRect/>
                        </a:stretch>
                      </pic:blipFill>
                      <pic:spPr>
                        <a:xfrm>
                          <a:off x="2944876" y="17276"/>
                          <a:ext cx="428625" cy="428625"/>
                        </a:xfrm>
                        <a:prstGeom prst="rect">
                          <a:avLst/>
                        </a:prstGeom>
                      </pic:spPr>
                    </pic:pic>
                  </wpg:wgp>
                </a:graphicData>
              </a:graphic>
            </wp:anchor>
          </w:drawing>
        </mc:Choice>
        <mc:Fallback>
          <w:pict>
            <v:group w14:anchorId="06CCE884" id="Group 7131" o:spid="_x0000_s1035" style="position:absolute;left:0;text-align:left;margin-left:60.1pt;margin-top:24.3pt;width:496.3pt;height:39.5pt;z-index:251659264;mso-position-horizontal-relative:page;mso-position-vertical-relative:page" coordsize="63030,501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Hs3q+lQQAAA8VAAAOAAAAZHJzL2Uyb0RvYy54bWzsWO9u2zYQ/z5g&#10;7yDoe2P9s2wLcYqhWYsCwxq03QPQNGUJo0iCpGNnT787UqTdxG2dbsgCZAEin8jj8e53vNPxLl/v&#10;B57cMm16KZZpfpGlCRNUrnuxWaZ/fH77ap4mxhKxJlwKtkzvmElfX/380+VONayQneRrphMQIkyz&#10;U8u0s1Y1k4mhHRuIuZCKCZhspR6IhVe9maw12YH0gU+KLKsnO6nXSkvKjIHRaz+ZXjn5bcuo/dC2&#10;htmEL1PQzbqnds8VPidXl6TZaKK6no5qkB/QYiC9gE2jqGtiSbLV/QNRQ0+1NLK1F1QOE9m2PWXO&#10;BrAmz+5Z807LrXK2bJrdRkWYANp7OP2wWPr77TutPqkbDUjs1AawcG9oy77VA/6ClsneQXYXIWN7&#10;m1AYrMuszPI8TSjMTbO8rKYeU9oB8A+W0e7Xby+chG0nXyizU3A8zAEB888Q+NQRxRywpgEEbnTS&#10;r5fpLC+naSLIAOf0I5wcIjacJW7UgeN4I1SmMYDaCZyq6ayAo/YQq2lWz0qPVD6vynmBSEWDSaO0&#10;se+YHBIklqkGFdyZIre/GetZAwtuywU+hXzbc+5ncQRwC5ohZfervTPOuQVHVnJ9BwZ3Uv/1AQK3&#10;5XK3TOVIpRjLsDfOpgl/LwBoDJtA6ECsAqEtfyNdcHltftla2fZO3cNuo1rgQTxkT+PK2UlXzhBz&#10;VAHc/n1XluW8XORwKMCZZbmYT53LSBNO/3/q0TqY8lI8Wp/0aIThPI9WdV3V3qNj9n8Wzozn8qU4&#10;E+qCE5l2Hs70Wc48ZNqyLmb5cwrOaMhL8efipD8Xj/JneRScz86j0ZSX4dGqjB9QVy0lMxx5zMfT&#10;10BFWeT1vUxbzOfZYgFJGIvGRV5VKPeoEKJbXwhhRRGKHyit174MgrEuUHQvAonl0jerfEUsrkOh&#10;SCZQ9kRFulEPnBygGPosHZu9V8CCjodZLo65oqhQ9wFv4Ai/ysk75jwyPjCFX8/sQTyTzcEc9wUC&#10;7XTIRtth8BhdLhAG2IQSuHy1nPiKc+gt3Mp4P8CVrphl2UHwgwLT2DvOECwuPrIWSk13U8ABozer&#10;N1wntwTLQ/fny1muOjKOjo4fWZ2qTg6ub6GujSJzt/SUSH90RmZcx9y1L67M/Eo6auPvfnCDAqPD&#10;DRBAiYvczlLYuF7AvdWpiVXjaO2hssXdx4r2qUpbuDmEXBsjM35uzvpullUBt01fBH09PqHceh7x&#10;CYr8W/EJos6MT895ZuCdyXYII8wc/8fncbJ4ivhUPW3gf+yjAPWgi/D9fhOsslvN0lHIcJaMgeg/&#10;t+oVtHwgEfernvf2zrWvIDehUuL2pqfYTMAXCOFDQwL6Bb5MBgbcF9sRJaajwInrMAnh+xdiVrxX&#10;2BrAhIb0qDDkv3u9oxM2+77UtaTbgQnrG22awdcBunym65VJE92wYcWga6Lfr3NUCBK+1cxS+OCE&#10;3E3HrkWccFoeFEOdv9JEKRZVNZ/5IMxnBVBui3BXq4p5XYwFxEgjCKF59MheilPLK+JI0Mulddd1&#10;c2LHDiG29Y7fHdehj3n1NwAAAP//AwBQSwMECgAAAAAAAAAhAFVc7HxvEAAAbxAAABQAAABkcnMv&#10;bWVkaWEvaW1hZ2UxLmpwZ//Y/+AAEEpGSUYAAQEBAGAAYAAA/9sAQwADAgIDAgIDAwMDBAMDBAUI&#10;BQUEBAUKBwcGCAwKDAwLCgsLDQ4SEA0OEQ4LCxAWEBETFBUVFQwPFxgWFBgSFBUU/9sAQwEDBAQF&#10;BAUJBQUJFA0LDRQUFBQUFBQUFBQUFBQUFBQUFBQUFBQUFBQUFBQUFBQUFBQUFBQUFBQUFBQUFBQU&#10;FBQU/8AAEQgAXQB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r4b/bp/wCChWs/sifEjQvDGmeD7DxJFqOlLqTXN3ePEysZZYtu&#10;1V/6ZUAfRv7WX/JrHxk/7E3Wf/SKavwU/Y0G/wDaz+ESt/0NOn/+j0r9ef2d/wBu7Vvjd+zH8VPi&#10;ld+FLHS73wbb3ssWnRXjSRXXkWX2gbn2jbubK14X8D/+Cu/iX4t/GDwZ4Luvh1pVhb6/qtvpr3cW&#10;oyu8ayOF3BdnXmgD9PaKK8k/ak+M9z+z78CvE/j2y02HV7nRo4nWzuZWiSTfKkXLD/foA9bor86f&#10;2S/+CpHiD9o347aB8PtQ8B6dotvqi3Dte219JK8flQPL91l/2K/RagAooooAKKKKACvj39sT/gnn&#10;pv7XvxA0bxReeNbnwy+naYumrBbaetwHxLLLv3F1x/rf0r7CooA+Svg3+xPo37PH7NnxP+HE3jh7&#10;rS/FdpffbddvbRLddPjlsvIdyu/btRcv8zLXzb8D/wDgnp8JPh98ZPBXiTSf2iNI8Q6lpOr2l7a6&#10;VC9nvu5UlVliXZcM3zeymvvT9p6xuNS/Zr+LNjZ20t1dXXhHVoYIYE3PK72cqqqr/Ex44r8Qv2Sv&#10;g/490f8Aah+Fl/f+CPEdhY2niOwmmuLjSLhI4kWZfmZtnFAH7v8AiL4seCPB+pf2fr3jDQdF1BUV&#10;zaajqcFvLtb+LY7Bq4D9oTw74N/aO/Z08T6I/jrS9L8L6qkUUviW2uYLi3g2XCN9/eE+8mz738Vf&#10;mL/wVU+GHjPxb+1lealonhHXdY09tHskF1p+mzzxbgr5G9ExmvXfA/gHxPD/AMEgPE/hybw7qya+&#10;95KyaU1jL9qf/iYRN/qtu/8ASgDsP2Sv2Ffhf8F/j74d8XeHfjvpXjPWLBZ1h0O2a13z77d0b7lw&#10;7fKr7vu/w19y6x8Zvh94d1O403VfHXhrTdQt22zWl7rFvFLG3+0jPuWvxq/4JrfCvxt4Z/bG8D6h&#10;rPg/X9J06Nb8S3l9ps8MKk2cwAZ3Tb3rB/b8+EHjzXv2wPiXqOm+CvEOpWFxfRPBc2mlTyxSL9ni&#10;+6ypigD919E1vTfEmlW2paTqNtq2nXKb4LuynWWGVfVWX5WrUr55/YF0i/0D9kH4a6bqllcadf21&#10;hKk1rdxNFLEftEv3kbmvoagDO1PVLTRrCe/1G6hsbO2jaWe5uJFSKJF+8zM33Vr5n+Bn7a2m/tFa&#10;98Z28H2KN4c8D2dq+n6lcBw2oyyLdM7sn8MX7hAv8X3m/i2L+eP/AAUK/wCChF58f9TvPAXgO7ls&#10;/htay7bi7Tcr626/xv8AxLArfcT+L7zfwqm3/wAEovi/8Ovhlovxm0z4g+LtP8Jw+IINOt7Z76fy&#10;mmVVvVl2f7vmp/31QBJ4d/4LJfGrWfEGl6fN4Z8Bxw3dzFbs6ade79rPt/5/K+lv+ChP7fHxC/ZN&#10;+Kfh/wAOeEdH8Najp2o6KuoyvrVtPLKkvnyxHb5U8Xy7UXrnvXMfDz/gnP8Ast+JdFfxv4Y+I2va&#10;toWkXSNLqiapb/ZUlRkbY7G3/wB3/vqvSP25Pgr+zl8SviToWofGX4j3HgzXoNKWCys4b+K3Mtr5&#10;srb9rxP/ABs65/2aAIf2ZP23vHfxp/ZP+MPxQ1vS/D1lr3g62v5dPttPtZ0tZWgsPtC+arzuzfNw&#10;drL8tfPvwC/4Kx/Fv4rfG/wJ4O1fw94LtdN13WrXTbmWysbtJkjllVWKM90y7sHupr6h/Z3+EPwD&#10;8J/sy/FXw/4C8fT678PNThvl8RazLfRTPYo9lsm+dIlVdsXzfdb8a8K+C37NH7HHhv4veD9U8H/G&#10;W81jxTZ6rbT6XYvq1vL590kq+Um1YBu3Pjv3oA2f26P+CjnxL/Zk+Pk/gjwvonhW+0qLTra8E2sW&#10;dzJOXk3bvmjuEXbx/drvfDP7b3jvXf8Agn1rfx1m0vw+niyxuXijsY7af7AyrdJF8yefv+6/9/qK&#10;y/2y/gP+y98QvjRPq3xX+KFz4T8WvYQRNYRanFAvlLu2NteJ69Q+Fn7NHwg8d/sh3fws8FeLNQ8Q&#10;fDfU7mRjq1rdxS3G4TrK6K/lbfvp/coA+bf2Nf8Agpp8UP2if2ifDHgHxFoPhGy0fVFumnn0uyuk&#10;uF8q3llXaz3Dr95B/DWZ+1X/AMFTfip8Dv2g/GXgXQ/D3g+70rRbpILebUbO6ed1aJHy7Jcqv8X9&#10;2vpL4E/8Ezvhj+z18TtH8eeHNX8T3Os6UJRFFqF3A8LebE8T7lWFf4X/AL1eM/tJfs7fsi+Mfjn4&#10;s1j4gfF678PeMbu5VtR02PVreJIJPKRdpVoGK/Ls/ioA7b4kftyeO/Bf7BvgL41WWleG5vFOvX0V&#10;tc2txbXDWKIzTj5EE+/d+6T70v8Aer5E/wCH1Hxv/wChV8A/+C++/wDkyvtv4ifB79n3Vf2LPBfh&#10;DXPiHcWPwis72J9L8R/bokeeTdPtXzfK2Hl5f4P4a+XP+GS/2Ef+i8Xv/g7tf/kegD8yK+mf2Rv2&#10;RLv47X154s8VX3/CJfCbw9+/1vxFctsR0XDNbwN3kPH+7n+9tVv1I/4dM/s4/wDQs6r/AODq4/8A&#10;iq+Y/wDgrpCnwj8A/CL4ZeEmOheB/JvHk0ez+RJWg8hYmkx9/wD1r/e/ibd1oA8B/aD/AGvLX4r+&#10;KPCXw2+G9ifCXwZ8P6haxadpNunlNfskq/6RP/e5+ZVf/ef5q+kv+Crv7N3xP+M/xr8K6r4I8F6p&#10;4m0618PrazXFhFuVJftE77f++WWvyysL6fS763vLdvLnt5UmjfH3WU7lNfW3/D2H9o//AKGzTf8A&#10;wS2v/wARQB9e/sYfs+fEXwF+wr8fvCPiHwlqWleJNdtNUTTNMuIv3100um+Umwf7T/LXyl+y3+xf&#10;8b/CH7SPwz13Wvhtrmm6Rp3iGyuru7uIlCRRJKrMzfN6VtfDX/goX+1l8YPGmleE/Cmr2mra3qMv&#10;lQ28WhWv/Andtnyoo+Zm/hr7P1b9tLU/hl8S/hf8ELvxNZ/EH4narrlpaeK9bt7aOGy05JZk32sK&#10;IqZfb8vzcr1b5vlUA+cf+Cmf7LXxZ+LX7UF34g8H+BNW8Q6M+lWcCXtlFuTcituX9a+0/wDgmt8N&#10;/E3wn/ZY0jw94u0e50DWotRvJXsrtdrqry5XNfLH/BQz9uv4x/s+/tG3XhLwXr9pY6GmmWt0lvNp&#10;sE7B3Vt/zupbtXpPhL9rr4mar/wTU8QfGG51e2fx5aXMiQXwsYgiqt7FF/qtuz7jNQB+g1fiR+3B&#10;+yB8Z/iJ+1V8RPEXhz4d6zrGiX17FJbX1pErRSr5ES5X5vavTP2Gf+CgPxr+OP7TvhLwb4u8RWd5&#10;4ev1umureHS4IWfZayunzom776pWR+2F/wAFE/jl8If2lfHfg/wz4isrPQ9JvEhtbeXSreRlUxI3&#10;3mTc33jQB6f8Zf2eviPr3/BMH4Z+ALDwdqN34y07UIJbzRoov9IhRWuuWH/A0/76r4IP7BH7Qef+&#10;ST+Iv+/C/wDxVfuD+x78Stc+L37NfgTxj4mu47zXNWs3lup4oliVmErr9xPlX7or2mgAr89v+Cpv&#10;7KnxN/aR1b4dT/D/AMPJrcekwXy3m69gt/LaV7fZ/rXXd9xq/QmigD8B/wDh1t+0n/0IEf8A4OLL&#10;/wCO0+L/AIJa/tIyyoh8CwJubbvbWLLav/kWv31ooA/H/wCLl5p//BL/AOG1n4B8FRrffGzxhpv2&#10;zVvGrR/LZWvmugitd3K/Mjf9872/g2fFf7Ovjqw8F/tGeAPGHia/lXTNN1+11C/vXVpX2JKrOx/i&#10;bpX1x/wWt3f8NHeDf7v/AAikWP8AwLuq+Pfgj8CvFn7Q3xB07wj4M077bqN2d0ksh2wWsQ+/NK+P&#10;lRfz/hXcxAoA/WaQ/se/t1/F9pUt7/xr40ntlSSaK31SBIbeJOGYjZFGvbc38T16ZqPh39nHwP8A&#10;skeKtDVRL8FtNvZYNTisru6uF89bpN6rKj+a373b9xq/Pn46/Grwb+yH8OtV+AnwQvPtuvXhMHjT&#10;x/GFW5umx81vA6fwruZPvfJ868szPXuv7Nnwu8RfGj/gk5q3g3wtax3niDVL+4S2hmmWJGKXqOfn&#10;b5fuoaAOu/ZTuf2K5vjt4dX4RWl9D8QAtx/ZrytqWzH2d/N/1rbf9Vv+9Wd+0ne/sOJ8cfFa/E+x&#10;vX8d/aF/tZ4v7S2+b5SY/wBU2z7u37tec/sNf8E+vjR8DP2mvCfjPxfoVhaeH9OW6W4lt9Sgmdd9&#10;vKifKrf32Wsf9sL/AIJ0fG/4v/tI+PPGXhnQbC80LVrxJrSSXVYInZfKRfus2V+ZTQB+l/7OL+A3&#10;+B/hJvherL4D+zP/AGSr+buEXmvu/wBb8/3933q9PrxX9j74ba98IP2bPAvg7xNBHba7pFm0N1FF&#10;KsqIxld+HXj7rCvaqACiiigAooooA8k+LP7LPwr+OmuWuseO/Bln4j1K1tvskFxcSSoyRbmfZ8jr&#10;/E7H/gVed/Fn4K+C/wBm79lT4wzfDPQbbwbdS+G72Z7zTndbgskD7D5rNv8Alz8vzV9P14x+2d/y&#10;aX8YP+xW1D/0Q9AH831evfDz9rD4vfCTwzF4d8HeO9U0HRIpXmSytGXYrt948rXkNFAH0RD+3x+0&#10;XcyJDF8U9fklZtqohTcx/wC+K/Wb9hb4bfG618MJ4y+NfjrW9S1XUYgbHwvdOqJZRNj5rhdo/en+&#10;5/AOvzfd+Wv+CRX7LHhDxhpl78X9fjOraxpeomx0uwnQG3tHWNWM+M/M/wC8wufu4yMnBX9X6ACi&#10;iigD/9lQSwMEFAAGAAgAAAAhAJwc04HfAAAACwEAAA8AAABkcnMvZG93bnJldi54bWxMj0FLw0AU&#10;hO+C/2F5gje7SdRYYjalFPVUBFtBvG2zr0lo9m3IbpP03/tyssdhhplv8tVkWzFg7xtHCuJFBAKp&#10;dKahSsH3/v1hCcIHTUa3jlDBBT2situbXGfGjfSFwy5UgkvIZ1pBHUKXSenLGq32C9chsXd0vdWB&#10;ZV9J0+uRy20rkyhKpdUN8UKtO9zUWJ52Z6vgY9Tj+jF+G7an4+byu3/+/NnGqNT93bR+BRFwCv9h&#10;mPEZHQpmOrgzGS9a1kmUcFTB0zIFMQfiOOEzh9l6SUEWubz+UPwB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QItABQABgAIAAAAIQDa9j37DQEAABQCAAATAAAAAAAAAAAAAAAAAAAAAABbQ29udGVudF9U&#10;eXBlc10ueG1sUEsBAi0AFAAGAAgAAAAhADj9If/WAAAAlAEAAAsAAAAAAAAAAAAAAAAAPgEAAF9y&#10;ZWxzLy5yZWxzUEsBAi0AFAAGAAgAAAAhAAezer6VBAAADxUAAA4AAAAAAAAAAAAAAAAAPQIAAGRy&#10;cy9lMm9Eb2MueG1sUEsBAi0ACgAAAAAAAAAhAFVc7HxvEAAAbxAAABQAAAAAAAAAAAAAAAAA/gYA&#10;AGRycy9tZWRpYS9pbWFnZTEuanBnUEsBAi0AFAAGAAgAAAAhAJwc04HfAAAACwEAAA8AAAAAAAAA&#10;AAAAAAAAnxcAAGRycy9kb3ducmV2LnhtbFBLAQItABQABgAIAAAAIQA3ncEYugAAACEBAAAZAAAA&#10;AAAAAAAAAAAAAKsYAABkcnMvX3JlbHMvZTJvRG9jLnhtbC5yZWxzUEsFBgAAAAAGAAYAfAEAAJwZ&#10;AAAAAA==&#10;">
              <v:rect id="Rectangle 7135" o:spid="_x0000_s1036" style="position:absolute;left:457;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TYTxgAAAN0AAAAPAAAAZHJzL2Rvd25yZXYueG1sRI9Ba8JA&#10;FITvgv9heYI33Vip1dRVRC16tFpQb4/saxKafRuyq4n+elcQehxm5htmOm9MIa5UudyygkE/AkGc&#10;WJ1zquDn8NUbg3AeWWNhmRTcyMF81m5NMda25m+67n0qAoRdjAoy78tYSpdkZND1bUkcvF9bGfRB&#10;VqnUFdYBbgr5FkUjaTDnsJBhScuMkr/9xSjYjMvFaWvvdVqsz5vj7jhZHSZeqW6nWXyC8NT4//Cr&#10;vdUKPgbDd3i+CU9Azh4AAAD//wMAUEsBAi0AFAAGAAgAAAAhANvh9svuAAAAhQEAABMAAAAAAAAA&#10;AAAAAAAAAAAAAFtDb250ZW50X1R5cGVzXS54bWxQSwECLQAUAAYACAAAACEAWvQsW78AAAAVAQAA&#10;CwAAAAAAAAAAAAAAAAAfAQAAX3JlbHMvLnJlbHNQSwECLQAUAAYACAAAACEA84U2E8YAAADdAAAA&#10;DwAAAAAAAAAAAAAAAAAHAgAAZHJzL2Rvd25yZXYueG1sUEsFBgAAAAADAAMAtwAAAPoCAAAAAA==&#10;" filled="f" stroked="f">
                <v:textbox inset="0,0,0,0">
                  <w:txbxContent>
                    <w:p w14:paraId="4F3CEA94" w14:textId="77777777" w:rsidR="00101AB5" w:rsidRDefault="00E076C4">
                      <w:r>
                        <w:rPr>
                          <w:rFonts w:ascii="Times New Roman" w:eastAsia="Times New Roman" w:hAnsi="Times New Roman" w:cs="Times New Roman"/>
                          <w:sz w:val="24"/>
                        </w:rPr>
                        <w:t xml:space="preserve"> </w:t>
                      </w:r>
                    </w:p>
                  </w:txbxContent>
                </v:textbox>
              </v:rect>
              <v:rect id="Rectangle 7137" o:spid="_x0000_s1037" style="position:absolute;left:33839;top:3398;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w3/xwAAAN0AAAAPAAAAZHJzL2Rvd25yZXYueG1sRI9Ba8JA&#10;FITvBf/D8gq91Y0VaoyuItZijjURbG+P7DMJzb4N2a1J++tdoeBxmJlvmOV6MI24UOdqywom4wgE&#10;cWF1zaWCY/7+HINwHlljY5kU/JKD9Wr0sMRE254PdMl8KQKEXYIKKu/bREpXVGTQjW1LHLyz7Qz6&#10;ILtS6g77ADeNfImiV2mw5rBQYUvbiorv7Mco2Mft5jO1f33Z7L72p4/T/C2fe6WeHofNAoSnwd/D&#10;/+1UK5hNpjO4vQlPQK6uAAAA//8DAFBLAQItABQABgAIAAAAIQDb4fbL7gAAAIUBAAATAAAAAAAA&#10;AAAAAAAAAAAAAABbQ29udGVudF9UeXBlc10ueG1sUEsBAi0AFAAGAAgAAAAhAFr0LFu/AAAAFQEA&#10;AAsAAAAAAAAAAAAAAAAAHwEAAF9yZWxzLy5yZWxzUEsBAi0AFAAGAAgAAAAhAGwbDf/HAAAA3QAA&#10;AA8AAAAAAAAAAAAAAAAABwIAAGRycy9kb3ducmV2LnhtbFBLBQYAAAAAAwADALcAAAD7AgAAAAA=&#10;" filled="f" stroked="f">
                <v:textbox inset="0,0,0,0">
                  <w:txbxContent>
                    <w:p w14:paraId="6E861C1A" w14:textId="77777777" w:rsidR="00101AB5" w:rsidRDefault="00E076C4">
                      <w:r>
                        <w:rPr>
                          <w:rFonts w:ascii="Times New Roman" w:eastAsia="Times New Roman" w:hAnsi="Times New Roman" w:cs="Times New Roman"/>
                          <w:sz w:val="24"/>
                        </w:rPr>
                        <w:t xml:space="preserve"> </w:t>
                      </w:r>
                    </w:p>
                  </w:txbxContent>
                </v:textbox>
              </v:rect>
              <v:rect id="Rectangle 7136" o:spid="_x0000_s1038" style="position:absolute;left:34664;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6hkxgAAAN0AAAAPAAAAZHJzL2Rvd25yZXYueG1sRI9Li8JA&#10;EITvwv6HoRe86UQFH9FRZFX06GPB3VuTaZOwmZ6QGU301zuCsMeiqr6iZovGFOJGlcstK+h1IxDE&#10;idU5pwq+T5vOGITzyBoLy6TgTg4W84/WDGNtaz7Q7ehTESDsYlSQeV/GUrokI4Oua0vi4F1sZdAH&#10;WaVSV1gHuClkP4qG0mDOYSHDkr4ySv6OV6NgOy6XPzv7qNNi/bs978+T1WnilWp/NsspCE+N/w+/&#10;2zutYNQbDOH1JjwBOX8CAAD//wMAUEsBAi0AFAAGAAgAAAAhANvh9svuAAAAhQEAABMAAAAAAAAA&#10;AAAAAAAAAAAAAFtDb250ZW50X1R5cGVzXS54bWxQSwECLQAUAAYACAAAACEAWvQsW78AAAAVAQAA&#10;CwAAAAAAAAAAAAAAAAAfAQAAX3JlbHMvLnJlbHNQSwECLQAUAAYACAAAACEAA1eoZMYAAADdAAAA&#10;DwAAAAAAAAAAAAAAAAAHAgAAZHJzL2Rvd25yZXYueG1sUEsFBgAAAAADAAMAtwAAAPoCAAAAAA==&#10;" filled="f" stroked="f">
                <v:textbox inset="0,0,0,0">
                  <w:txbxContent>
                    <w:p w14:paraId="1BCC9244" w14:textId="77777777" w:rsidR="00101AB5" w:rsidRDefault="00E076C4">
                      <w:r>
                        <w:rPr>
                          <w:rFonts w:ascii="Times New Roman" w:eastAsia="Times New Roman" w:hAnsi="Times New Roman" w:cs="Times New Roman"/>
                          <w:sz w:val="24"/>
                        </w:rPr>
                        <w:t xml:space="preserve"> </w:t>
                      </w:r>
                    </w:p>
                  </w:txbxContent>
                </v:textbox>
              </v:rect>
              <v:rect id="Rectangle 7138" o:spid="_x0000_s1039" style="position:absolute;left:457;top:3627;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JmNwwAAAN0AAAAPAAAAZHJzL2Rvd25yZXYueG1sRE9Ni8Iw&#10;EL0L/ocwwt40VWFXq1FEXfSoVVBvQzO2xWZSmqzt7q83hwWPj/c9X7amFE+qXWFZwXAQgSBOrS44&#10;U3A+ffcnIJxH1lhaJgW/5GC56HbmGGvb8JGeic9ECGEXo4Lc+yqW0qU5GXQDWxEH7m5rgz7AOpO6&#10;xiaEm1KOouhTGiw4NORY0Tqn9JH8GAW7SbW67u1fk5Xb2+5yuEw3p6lX6qPXrmYgPLX+Lf5377WC&#10;r+E4zA1vwhOQixcAAAD//wMAUEsBAi0AFAAGAAgAAAAhANvh9svuAAAAhQEAABMAAAAAAAAAAAAA&#10;AAAAAAAAAFtDb250ZW50X1R5cGVzXS54bWxQSwECLQAUAAYACAAAACEAWvQsW78AAAAVAQAACwAA&#10;AAAAAAAAAAAAAAAfAQAAX3JlbHMvLnJlbHNQSwECLQAUAAYACAAAACEAHYSZjcMAAADdAAAADwAA&#10;AAAAAAAAAAAAAAAHAgAAZHJzL2Rvd25yZXYueG1sUEsFBgAAAAADAAMAtwAAAPcCAAAAAA==&#10;" filled="f" stroked="f">
                <v:textbox inset="0,0,0,0">
                  <w:txbxContent>
                    <w:p w14:paraId="25B89D70" w14:textId="77777777" w:rsidR="00101AB5" w:rsidRDefault="00E076C4">
                      <w:r>
                        <w:rPr>
                          <w:rFonts w:ascii="Times New Roman" w:eastAsia="Times New Roman" w:hAnsi="Times New Roman" w:cs="Times New Roman"/>
                          <w:sz w:val="24"/>
                        </w:rPr>
                        <w:t xml:space="preserve"> </w:t>
                      </w:r>
                    </w:p>
                  </w:txbxContent>
                </v:textbox>
              </v:rect>
              <v:rect id="Rectangle 7139" o:spid="_x0000_s1040" style="position:absolute;left:34664;top:3627;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wWxwAAAN0AAAAPAAAAZHJzL2Rvd25yZXYueG1sRI9Pa8JA&#10;FMTvgt9heYI33VihJjGrSP+gR6uF1Nsj+5qEZt+G7Nak/fRdQehxmJnfMNl2MI24UudqywoW8wgE&#10;cWF1zaWC9/PrLAbhPLLGxjIp+CEH2814lGGqbc9vdD35UgQIuxQVVN63qZSuqMigm9uWOHiftjPo&#10;g+xKqTvsA9w08iGKHqXBmsNChS09VVR8nb6Ngn3c7j4O9rcvm5fLPj/myfM58UpNJ8NuDcLT4P/D&#10;9/ZBK1gtlgnc3oQnIDd/AAAA//8DAFBLAQItABQABgAIAAAAIQDb4fbL7gAAAIUBAAATAAAAAAAA&#10;AAAAAAAAAAAAAABbQ29udGVudF9UeXBlc10ueG1sUEsBAi0AFAAGAAgAAAAhAFr0LFu/AAAAFQEA&#10;AAsAAAAAAAAAAAAAAAAAHwEAAF9yZWxzLy5yZWxzUEsBAi0AFAAGAAgAAAAhAHLIPBbHAAAA3QAA&#10;AA8AAAAAAAAAAAAAAAAABwIAAGRycy9kb3ducmV2LnhtbFBLBQYAAAAAAwADALcAAAD7AgAAAAA=&#10;" filled="f" stroked="f">
                <v:textbox inset="0,0,0,0">
                  <w:txbxContent>
                    <w:p w14:paraId="67C48C1A" w14:textId="77777777" w:rsidR="00101AB5" w:rsidRDefault="00E076C4">
                      <w:r>
                        <w:rPr>
                          <w:rFonts w:ascii="Times New Roman" w:eastAsia="Times New Roman" w:hAnsi="Times New Roman" w:cs="Times New Roman"/>
                          <w:sz w:val="24"/>
                        </w:rPr>
                        <w:t xml:space="preserve"> </w:t>
                      </w:r>
                    </w:p>
                  </w:txbxContent>
                </v:textbox>
              </v:rect>
              <v:shape id="Shape 7437" o:spid="_x0000_s1041" style="position:absolute;top:2321;width:28809;height:92;visibility:visible;mso-wrap-style:square;v-text-anchor:top" coordsize="288099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7SdxwAAAN0AAAAPAAAAZHJzL2Rvd25yZXYueG1sRI9Ba8JA&#10;FITvBf/D8oTemk1iMRJdRVosIniohpbeHtlnEsy+DdltTP99Vyj0OMzMN8xqM5pWDNS7xrKCJIpB&#10;EJdWN1wpKM67pwUI55E1tpZJwQ852KwnDyvMtb3xOw0nX4kAYZejgtr7LpfSlTUZdJHtiIN3sb1B&#10;H2RfSd3jLcBNK9M4nkuDDYeFGjt6qam8nr6NgvTj7atYkDxyc/7c6yQtutdDrNTjdNwuQXga/X/4&#10;r73XCrLnWQb3N+EJyPUvAAAA//8DAFBLAQItABQABgAIAAAAIQDb4fbL7gAAAIUBAAATAAAAAAAA&#10;AAAAAAAAAAAAAABbQ29udGVudF9UeXBlc10ueG1sUEsBAi0AFAAGAAgAAAAhAFr0LFu/AAAAFQEA&#10;AAsAAAAAAAAAAAAAAAAAHwEAAF9yZWxzLy5yZWxzUEsBAi0AFAAGAAgAAAAhAEDvtJ3HAAAA3QAA&#10;AA8AAAAAAAAAAAAAAAAABwIAAGRycy9kb3ducmV2LnhtbFBLBQYAAAAAAwADALcAAAD7AgAAAAA=&#10;" path="m,l2880995,r,9144l,9144,,e" fillcolor="black" stroked="f" strokeweight="0">
                <v:stroke miterlimit="83231f" joinstyle="miter"/>
                <v:path arrowok="t" textboxrect="0,0,2880995,9144"/>
              </v:shape>
              <v:shape id="Shape 7438" o:spid="_x0000_s1042" style="position:absolute;left:34220;top:2321;width:28810;height:92;visibility:visible;mso-wrap-style:square;v-text-anchor:top" coordsize="28809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wHcwwAAAN0AAAAPAAAAZHJzL2Rvd25yZXYueG1sRE9ba8Iw&#10;FH4X9h/CGfhmU3Vz0hlleBkTBGknPh+as7asOSlJ1O7fLw+Cjx/ffbHqTSuu5HxjWcE4SUEQl1Y3&#10;XCk4fe9GcxA+IGtsLZOCP/KwWj4NFphpe+OcrkWoRAxhn6GCOoQuk9KXNRn0ie2II/djncEQoauk&#10;dniL4aaVkzSdSYMNx4YaO1rXVP4WF6Ngm+efsw3Z82E7rrrmdX70+4lUavjcf7yDCNSHh/ju/tIK&#10;3l6mcW58E5+AXP4DAAD//wMAUEsBAi0AFAAGAAgAAAAhANvh9svuAAAAhQEAABMAAAAAAAAAAAAA&#10;AAAAAAAAAFtDb250ZW50X1R5cGVzXS54bWxQSwECLQAUAAYACAAAACEAWvQsW78AAAAVAQAACwAA&#10;AAAAAAAAAAAAAAAfAQAAX3JlbHMvLnJlbHNQSwECLQAUAAYACAAAACEA3EMB3MMAAADdAAAADwAA&#10;AAAAAAAAAAAAAAAHAgAAZHJzL2Rvd25yZXYueG1sUEsFBgAAAAADAAMAtwAAAPcCAAAAAA==&#10;" path="m,l2880996,r,9144l,9144,,e" fillcolor="black" stroked="f" strokeweight="0">
                <v:stroke miterlimit="83231f" joinstyle="miter"/>
                <v:path arrowok="t" textboxrect="0,0,2880996,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33" o:spid="_x0000_s1043" type="#_x0000_t75" style="position:absolute;left:29448;top:172;width:4287;height: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HDxwAAAN0AAAAPAAAAZHJzL2Rvd25yZXYueG1sRI9BawIx&#10;FITvQv9DeII3N2stbVmNIkJVqhS0Qj0+Ns/dpZuXNUl16683QqHHYWa+YcbT1tTiTM5XlhUMkhQE&#10;cW51xYWC/edb/xWED8gaa8uk4Jc8TCcPnTFm2l54S+ddKESEsM9QQRlCk0np85IM+sQ2xNE7Wmcw&#10;ROkKqR1eItzU8jFNn6XBiuNCiQ3NS8q/dz9GwZfefHizWB7cdbU9bXC/tk/va6V63XY2AhGoDf/h&#10;v/ZKK3gZDIdwfxOfgJzcAAAA//8DAFBLAQItABQABgAIAAAAIQDb4fbL7gAAAIUBAAATAAAAAAAA&#10;AAAAAAAAAAAAAABbQ29udGVudF9UeXBlc10ueG1sUEsBAi0AFAAGAAgAAAAhAFr0LFu/AAAAFQEA&#10;AAsAAAAAAAAAAAAAAAAAHwEAAF9yZWxzLy5yZWxzUEsBAi0AFAAGAAgAAAAhAM34wcPHAAAA3QAA&#10;AA8AAAAAAAAAAAAAAAAABwIAAGRycy9kb3ducmV2LnhtbFBLBQYAAAAAAwADALcAAAD7AgAAAAA=&#10;">
                <v:imagedata r:id="rId2" o:title=""/>
              </v:shape>
              <w10:wrap type="square" anchorx="page" anchory="page"/>
            </v:group>
          </w:pict>
        </mc:Fallback>
      </mc:AlternateContent>
    </w:r>
    <w:r>
      <w:rPr>
        <w:rFonts w:ascii="Arial" w:eastAsia="Arial" w:hAnsi="Arial" w:cs="Arial"/>
        <w:sz w:val="10"/>
      </w:rPr>
      <w:t>.</w:t>
    </w:r>
    <w:r>
      <w:rPr>
        <w:rFonts w:ascii="Arial" w:eastAsia="Arial" w:hAnsi="Arial" w:cs="Arial"/>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8560D"/>
    <w:multiLevelType w:val="hybridMultilevel"/>
    <w:tmpl w:val="00E841E4"/>
    <w:lvl w:ilvl="0" w:tplc="22DCB7BC">
      <w:start w:val="1"/>
      <w:numFmt w:val="lowerLetter"/>
      <w:lvlText w:val="%1)"/>
      <w:lvlJc w:val="left"/>
      <w:pPr>
        <w:ind w:left="71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1B20F7B8">
      <w:start w:val="1"/>
      <w:numFmt w:val="lowerLetter"/>
      <w:lvlText w:val="%2"/>
      <w:lvlJc w:val="left"/>
      <w:pPr>
        <w:ind w:left="178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F3E409E4">
      <w:start w:val="1"/>
      <w:numFmt w:val="lowerRoman"/>
      <w:lvlText w:val="%3"/>
      <w:lvlJc w:val="left"/>
      <w:pPr>
        <w:ind w:left="250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C282755A">
      <w:start w:val="1"/>
      <w:numFmt w:val="decimal"/>
      <w:lvlText w:val="%4"/>
      <w:lvlJc w:val="left"/>
      <w:pPr>
        <w:ind w:left="322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81066820">
      <w:start w:val="1"/>
      <w:numFmt w:val="lowerLetter"/>
      <w:lvlText w:val="%5"/>
      <w:lvlJc w:val="left"/>
      <w:pPr>
        <w:ind w:left="394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22625866">
      <w:start w:val="1"/>
      <w:numFmt w:val="lowerRoman"/>
      <w:lvlText w:val="%6"/>
      <w:lvlJc w:val="left"/>
      <w:pPr>
        <w:ind w:left="466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ADCE585C">
      <w:start w:val="1"/>
      <w:numFmt w:val="decimal"/>
      <w:lvlText w:val="%7"/>
      <w:lvlJc w:val="left"/>
      <w:pPr>
        <w:ind w:left="538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3B26B39A">
      <w:start w:val="1"/>
      <w:numFmt w:val="lowerLetter"/>
      <w:lvlText w:val="%8"/>
      <w:lvlJc w:val="left"/>
      <w:pPr>
        <w:ind w:left="610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A286826A">
      <w:start w:val="1"/>
      <w:numFmt w:val="lowerRoman"/>
      <w:lvlText w:val="%9"/>
      <w:lvlJc w:val="left"/>
      <w:pPr>
        <w:ind w:left="682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16636BB"/>
    <w:multiLevelType w:val="hybridMultilevel"/>
    <w:tmpl w:val="D2D246C4"/>
    <w:lvl w:ilvl="0" w:tplc="52087892">
      <w:start w:val="1"/>
      <w:numFmt w:val="bullet"/>
      <w:lvlText w:val="-"/>
      <w:lvlJc w:val="left"/>
      <w:pPr>
        <w:ind w:left="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01160600">
      <w:start w:val="1"/>
      <w:numFmt w:val="bullet"/>
      <w:lvlText w:val="o"/>
      <w:lvlJc w:val="left"/>
      <w:pPr>
        <w:ind w:left="10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829C2E5A">
      <w:start w:val="1"/>
      <w:numFmt w:val="bullet"/>
      <w:lvlText w:val="▪"/>
      <w:lvlJc w:val="left"/>
      <w:pPr>
        <w:ind w:left="18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AF106AFC">
      <w:start w:val="1"/>
      <w:numFmt w:val="bullet"/>
      <w:lvlText w:val="•"/>
      <w:lvlJc w:val="left"/>
      <w:pPr>
        <w:ind w:left="25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AE404A0C">
      <w:start w:val="1"/>
      <w:numFmt w:val="bullet"/>
      <w:lvlText w:val="o"/>
      <w:lvlJc w:val="left"/>
      <w:pPr>
        <w:ind w:left="32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0AE2E39A">
      <w:start w:val="1"/>
      <w:numFmt w:val="bullet"/>
      <w:lvlText w:val="▪"/>
      <w:lvlJc w:val="left"/>
      <w:pPr>
        <w:ind w:left="396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3F5C39CA">
      <w:start w:val="1"/>
      <w:numFmt w:val="bullet"/>
      <w:lvlText w:val="•"/>
      <w:lvlJc w:val="left"/>
      <w:pPr>
        <w:ind w:left="46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7DCA44D8">
      <w:start w:val="1"/>
      <w:numFmt w:val="bullet"/>
      <w:lvlText w:val="o"/>
      <w:lvlJc w:val="left"/>
      <w:pPr>
        <w:ind w:left="54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9CB07EFA">
      <w:start w:val="1"/>
      <w:numFmt w:val="bullet"/>
      <w:lvlText w:val="▪"/>
      <w:lvlJc w:val="left"/>
      <w:pPr>
        <w:ind w:left="61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C487E96"/>
    <w:multiLevelType w:val="hybridMultilevel"/>
    <w:tmpl w:val="458223DC"/>
    <w:lvl w:ilvl="0" w:tplc="2A02D6E2">
      <w:start w:val="1"/>
      <w:numFmt w:val="bullet"/>
      <w:lvlText w:val="-"/>
      <w:lvlJc w:val="left"/>
      <w:pPr>
        <w:ind w:left="13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5BC05710">
      <w:start w:val="1"/>
      <w:numFmt w:val="bullet"/>
      <w:lvlText w:val="o"/>
      <w:lvlJc w:val="left"/>
      <w:pPr>
        <w:ind w:left="10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7BF273DC">
      <w:start w:val="1"/>
      <w:numFmt w:val="bullet"/>
      <w:lvlText w:val="▪"/>
      <w:lvlJc w:val="left"/>
      <w:pPr>
        <w:ind w:left="18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27A069C0">
      <w:start w:val="1"/>
      <w:numFmt w:val="bullet"/>
      <w:lvlText w:val="•"/>
      <w:lvlJc w:val="left"/>
      <w:pPr>
        <w:ind w:left="25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8B70D164">
      <w:start w:val="1"/>
      <w:numFmt w:val="bullet"/>
      <w:lvlText w:val="o"/>
      <w:lvlJc w:val="left"/>
      <w:pPr>
        <w:ind w:left="32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740C7992">
      <w:start w:val="1"/>
      <w:numFmt w:val="bullet"/>
      <w:lvlText w:val="▪"/>
      <w:lvlJc w:val="left"/>
      <w:pPr>
        <w:ind w:left="396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74B25CE2">
      <w:start w:val="1"/>
      <w:numFmt w:val="bullet"/>
      <w:lvlText w:val="•"/>
      <w:lvlJc w:val="left"/>
      <w:pPr>
        <w:ind w:left="46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E45410F0">
      <w:start w:val="1"/>
      <w:numFmt w:val="bullet"/>
      <w:lvlText w:val="o"/>
      <w:lvlJc w:val="left"/>
      <w:pPr>
        <w:ind w:left="54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055CE74C">
      <w:start w:val="1"/>
      <w:numFmt w:val="bullet"/>
      <w:lvlText w:val="▪"/>
      <w:lvlJc w:val="left"/>
      <w:pPr>
        <w:ind w:left="61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0E3247B"/>
    <w:multiLevelType w:val="hybridMultilevel"/>
    <w:tmpl w:val="83CE1A28"/>
    <w:lvl w:ilvl="0" w:tplc="B1942F6C">
      <w:start w:val="1"/>
      <w:numFmt w:val="lowerLetter"/>
      <w:lvlText w:val="%1)"/>
      <w:lvlJc w:val="left"/>
      <w:pPr>
        <w:ind w:left="71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96C0BF50">
      <w:start w:val="1"/>
      <w:numFmt w:val="lowerLetter"/>
      <w:lvlText w:val="%2"/>
      <w:lvlJc w:val="left"/>
      <w:pPr>
        <w:ind w:left="178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F61666C6">
      <w:start w:val="1"/>
      <w:numFmt w:val="lowerRoman"/>
      <w:lvlText w:val="%3"/>
      <w:lvlJc w:val="left"/>
      <w:pPr>
        <w:ind w:left="250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418C2B9E">
      <w:start w:val="1"/>
      <w:numFmt w:val="decimal"/>
      <w:lvlText w:val="%4"/>
      <w:lvlJc w:val="left"/>
      <w:pPr>
        <w:ind w:left="322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A69E8D0E">
      <w:start w:val="1"/>
      <w:numFmt w:val="lowerLetter"/>
      <w:lvlText w:val="%5"/>
      <w:lvlJc w:val="left"/>
      <w:pPr>
        <w:ind w:left="394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D6F63368">
      <w:start w:val="1"/>
      <w:numFmt w:val="lowerRoman"/>
      <w:lvlText w:val="%6"/>
      <w:lvlJc w:val="left"/>
      <w:pPr>
        <w:ind w:left="466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887EEF80">
      <w:start w:val="1"/>
      <w:numFmt w:val="decimal"/>
      <w:lvlText w:val="%7"/>
      <w:lvlJc w:val="left"/>
      <w:pPr>
        <w:ind w:left="538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9D02D398">
      <w:start w:val="1"/>
      <w:numFmt w:val="lowerLetter"/>
      <w:lvlText w:val="%8"/>
      <w:lvlJc w:val="left"/>
      <w:pPr>
        <w:ind w:left="610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0A500150">
      <w:start w:val="1"/>
      <w:numFmt w:val="lowerRoman"/>
      <w:lvlText w:val="%9"/>
      <w:lvlJc w:val="left"/>
      <w:pPr>
        <w:ind w:left="682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DF871B4"/>
    <w:multiLevelType w:val="hybridMultilevel"/>
    <w:tmpl w:val="C854CCA4"/>
    <w:lvl w:ilvl="0" w:tplc="519E6ED6">
      <w:start w:val="2"/>
      <w:numFmt w:val="decimal"/>
      <w:lvlText w:val="%1."/>
      <w:lvlJc w:val="left"/>
      <w:pPr>
        <w:ind w:left="92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9A369F3C">
      <w:start w:val="1"/>
      <w:numFmt w:val="lowerLetter"/>
      <w:lvlText w:val="%2"/>
      <w:lvlJc w:val="left"/>
      <w:pPr>
        <w:ind w:left="178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6208377C">
      <w:start w:val="1"/>
      <w:numFmt w:val="lowerRoman"/>
      <w:lvlText w:val="%3"/>
      <w:lvlJc w:val="left"/>
      <w:pPr>
        <w:ind w:left="250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119AA94A">
      <w:start w:val="1"/>
      <w:numFmt w:val="decimal"/>
      <w:lvlText w:val="%4"/>
      <w:lvlJc w:val="left"/>
      <w:pPr>
        <w:ind w:left="322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E748613E">
      <w:start w:val="1"/>
      <w:numFmt w:val="lowerLetter"/>
      <w:lvlText w:val="%5"/>
      <w:lvlJc w:val="left"/>
      <w:pPr>
        <w:ind w:left="394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FE56F31A">
      <w:start w:val="1"/>
      <w:numFmt w:val="lowerRoman"/>
      <w:lvlText w:val="%6"/>
      <w:lvlJc w:val="left"/>
      <w:pPr>
        <w:ind w:left="466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B872615A">
      <w:start w:val="1"/>
      <w:numFmt w:val="decimal"/>
      <w:lvlText w:val="%7"/>
      <w:lvlJc w:val="left"/>
      <w:pPr>
        <w:ind w:left="538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351E0D0E">
      <w:start w:val="1"/>
      <w:numFmt w:val="lowerLetter"/>
      <w:lvlText w:val="%8"/>
      <w:lvlJc w:val="left"/>
      <w:pPr>
        <w:ind w:left="610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2BB06710">
      <w:start w:val="1"/>
      <w:numFmt w:val="lowerRoman"/>
      <w:lvlText w:val="%9"/>
      <w:lvlJc w:val="left"/>
      <w:pPr>
        <w:ind w:left="682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num w:numId="1" w16cid:durableId="173157629">
    <w:abstractNumId w:val="1"/>
  </w:num>
  <w:num w:numId="2" w16cid:durableId="1863938619">
    <w:abstractNumId w:val="2"/>
  </w:num>
  <w:num w:numId="3" w16cid:durableId="1569269420">
    <w:abstractNumId w:val="0"/>
  </w:num>
  <w:num w:numId="4" w16cid:durableId="1677801517">
    <w:abstractNumId w:val="4"/>
  </w:num>
  <w:num w:numId="5" w16cid:durableId="8670659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AB5"/>
    <w:rsid w:val="00101AB5"/>
    <w:rsid w:val="002D49A6"/>
    <w:rsid w:val="002D7853"/>
    <w:rsid w:val="002E5AC5"/>
    <w:rsid w:val="00C860CE"/>
    <w:rsid w:val="00CE76E2"/>
    <w:rsid w:val="00E076C4"/>
    <w:rsid w:val="00FD4A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FFC36"/>
  <w15:docId w15:val="{065C5509-4512-4633-B15D-9F28D39C0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tulo1">
    <w:name w:val="heading 1"/>
    <w:next w:val="Normal"/>
    <w:link w:val="Ttulo1Car"/>
    <w:uiPriority w:val="9"/>
    <w:qFormat/>
    <w:pPr>
      <w:keepNext/>
      <w:keepLines/>
      <w:spacing w:after="0" w:line="259" w:lineRule="auto"/>
      <w:ind w:left="151"/>
      <w:outlineLvl w:val="0"/>
    </w:pPr>
    <w:rPr>
      <w:rFonts w:ascii="Arial" w:eastAsia="Arial" w:hAnsi="Arial" w:cs="Arial"/>
      <w:b/>
      <w:color w:val="FF0000"/>
      <w:sz w:val="20"/>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FF0000"/>
      <w:sz w:val="2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edepgina">
    <w:name w:val="footer"/>
    <w:basedOn w:val="Normal"/>
    <w:link w:val="PiedepginaCar"/>
    <w:uiPriority w:val="99"/>
    <w:unhideWhenUsed/>
    <w:rsid w:val="00C860C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60CE"/>
    <w:rPr>
      <w:rFonts w:ascii="Calibri" w:eastAsia="Calibri" w:hAnsi="Calibri" w:cs="Calibri"/>
      <w:color w:val="000000"/>
      <w:sz w:val="22"/>
    </w:rPr>
  </w:style>
  <w:style w:type="paragraph" w:styleId="Encabezado">
    <w:name w:val="header"/>
    <w:basedOn w:val="Normal"/>
    <w:link w:val="EncabezadoCar"/>
    <w:uiPriority w:val="99"/>
    <w:semiHidden/>
    <w:unhideWhenUsed/>
    <w:rsid w:val="00C860C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C860CE"/>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2375</Words>
  <Characters>13065</Characters>
  <Application>Microsoft Office Word</Application>
  <DocSecurity>0</DocSecurity>
  <Lines>108</Lines>
  <Paragraphs>30</Paragraphs>
  <ScaleCrop>false</ScaleCrop>
  <Company/>
  <LinksUpToDate>false</LinksUpToDate>
  <CharactersWithSpaces>15410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autorización</dc:title>
  <dc:subject>Permisos de policía</dc:subject>
  <dc:creator>Urien Salterain, Karoline</dc:creator>
  <cp:keywords/>
  <cp:lastModifiedBy>Urien Salterain, Karoline</cp:lastModifiedBy>
  <cp:revision>4</cp:revision>
  <dcterms:created xsi:type="dcterms:W3CDTF">2026-09-30T07:58:00Z</dcterms:created>
  <dcterms:modified xsi:type="dcterms:W3CDTF">2026-10-02T06:50:00Z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-679140782</vt:i4>
  </property>
</Properties>
</file>