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D68F4" w14:textId="1EE4AB50" w:rsidR="00F63C9E" w:rsidRDefault="00B05B1D" w:rsidP="00AD0AA8">
      <w:pPr>
        <w:spacing w:after="780"/>
      </w:pPr>
      <w:r>
        <w:rPr>
          <w:noProof/>
        </w:rPr>
        <w:drawing>
          <wp:inline distT="0" distB="0" distL="0" distR="0" wp14:anchorId="23D30EBC" wp14:editId="72E8F9F7">
            <wp:extent cx="1566000" cy="1292335"/>
            <wp:effectExtent l="0" t="0" r="0" b="0"/>
            <wp:docPr id="16" name="Picture 16"/>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7"/>
                    <a:stretch>
                      <a:fillRect/>
                    </a:stretch>
                  </pic:blipFill>
                  <pic:spPr>
                    <a:xfrm>
                      <a:off x="0" y="0"/>
                      <a:ext cx="1566000" cy="1292335"/>
                    </a:xfrm>
                    <a:prstGeom prst="rect">
                      <a:avLst/>
                    </a:prstGeom>
                  </pic:spPr>
                </pic:pic>
              </a:graphicData>
            </a:graphic>
          </wp:inline>
        </w:drawing>
      </w:r>
    </w:p>
    <w:p w14:paraId="6E903E51" w14:textId="77777777" w:rsidR="00F63C9E" w:rsidRDefault="00B05B1D">
      <w:pPr>
        <w:spacing w:after="0"/>
        <w:ind w:left="1393"/>
      </w:pPr>
      <w:r>
        <w:rPr>
          <w:rFonts w:ascii="Arial" w:eastAsia="Arial" w:hAnsi="Arial" w:cs="Arial"/>
          <w:sz w:val="26"/>
        </w:rPr>
        <w:t>3</w:t>
      </w:r>
      <w:r>
        <w:rPr>
          <w:rFonts w:ascii="Arial" w:eastAsia="Arial" w:hAnsi="Arial" w:cs="Arial"/>
          <w:sz w:val="26"/>
        </w:rPr>
        <w:t>103/2026, de 15 de junio</w:t>
      </w:r>
    </w:p>
    <w:p w14:paraId="2EB395EC" w14:textId="77777777" w:rsidR="00F63C9E" w:rsidRDefault="00B05B1D">
      <w:pPr>
        <w:spacing w:after="786"/>
        <w:ind w:left="976"/>
      </w:pPr>
      <w:r>
        <w:rPr>
          <w:noProof/>
        </w:rPr>
        <mc:AlternateContent>
          <mc:Choice Requires="wpg">
            <w:drawing>
              <wp:inline distT="0" distB="0" distL="0" distR="0" wp14:anchorId="1251453C" wp14:editId="52D9DD05">
                <wp:extent cx="5772785" cy="6350"/>
                <wp:effectExtent l="0" t="0" r="0" b="0"/>
                <wp:docPr id="4749" name="Group 4749"/>
                <wp:cNvGraphicFramePr/>
                <a:graphic xmlns:a="http://schemas.openxmlformats.org/drawingml/2006/main">
                  <a:graphicData uri="http://schemas.microsoft.com/office/word/2010/wordprocessingGroup">
                    <wpg:wgp>
                      <wpg:cNvGrpSpPr/>
                      <wpg:grpSpPr>
                        <a:xfrm>
                          <a:off x="0" y="0"/>
                          <a:ext cx="5772785" cy="6350"/>
                          <a:chOff x="0" y="0"/>
                          <a:chExt cx="5772785" cy="6350"/>
                        </a:xfrm>
                      </wpg:grpSpPr>
                      <wps:wsp>
                        <wps:cNvPr id="74" name="Shape 74"/>
                        <wps:cNvSpPr/>
                        <wps:spPr>
                          <a:xfrm>
                            <a:off x="0" y="0"/>
                            <a:ext cx="5772785" cy="0"/>
                          </a:xfrm>
                          <a:custGeom>
                            <a:avLst/>
                            <a:gdLst/>
                            <a:ahLst/>
                            <a:cxnLst/>
                            <a:rect l="0" t="0" r="0" b="0"/>
                            <a:pathLst>
                              <a:path w="5772785">
                                <a:moveTo>
                                  <a:pt x="0" y="0"/>
                                </a:moveTo>
                                <a:lnTo>
                                  <a:pt x="5772785"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4749" style="width:454.55pt;height:0.5pt;mso-position-horizontal-relative:char;mso-position-vertical-relative:line" coordsize="57727,63">
                <v:shape id="Shape 74" style="position:absolute;width:57727;height:0;left:0;top:0;" coordsize="5772785,0" path="m0,0l5772785,0">
                  <v:stroke weight="0.5pt" endcap="flat" joinstyle="miter" miterlimit="10" on="true" color="#000000"/>
                  <v:fill on="false" color="#000000" opacity="0"/>
                </v:shape>
              </v:group>
            </w:pict>
          </mc:Fallback>
        </mc:AlternateContent>
      </w:r>
    </w:p>
    <w:p w14:paraId="3A8B592C" w14:textId="77777777" w:rsidR="00F63C9E" w:rsidRDefault="00B05B1D">
      <w:pPr>
        <w:spacing w:after="437"/>
        <w:ind w:left="994"/>
      </w:pPr>
      <w:r>
        <w:rPr>
          <w:rFonts w:ascii="Times New Roman" w:eastAsia="Times New Roman" w:hAnsi="Times New Roman" w:cs="Times New Roman"/>
          <w:b/>
          <w:sz w:val="24"/>
        </w:rPr>
        <w:t>RESOLUCIÓN</w:t>
      </w:r>
    </w:p>
    <w:p w14:paraId="0EE8D00B" w14:textId="77777777" w:rsidR="00F63C9E" w:rsidRDefault="00B05B1D">
      <w:pPr>
        <w:spacing w:after="470" w:line="249" w:lineRule="auto"/>
        <w:ind w:left="1004" w:right="5117" w:hanging="10"/>
        <w:jc w:val="both"/>
      </w:pPr>
      <w:r>
        <w:rPr>
          <w:rFonts w:ascii="Times New Roman" w:eastAsia="Times New Roman" w:hAnsi="Times New Roman" w:cs="Times New Roman"/>
        </w:rPr>
        <w:t xml:space="preserve">Servicio de Secretaría Técnica de Agricultura </w:t>
      </w:r>
      <w:proofErr w:type="spellStart"/>
      <w:r>
        <w:rPr>
          <w:rFonts w:ascii="Times New Roman" w:eastAsia="Times New Roman" w:hAnsi="Times New Roman" w:cs="Times New Roman"/>
        </w:rPr>
        <w:t>Nº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Expte</w:t>
      </w:r>
      <w:proofErr w:type="spellEnd"/>
      <w:r>
        <w:rPr>
          <w:rFonts w:ascii="Times New Roman" w:eastAsia="Times New Roman" w:hAnsi="Times New Roman" w:cs="Times New Roman"/>
        </w:rPr>
        <w:t>.: 01244-2026/00044</w:t>
      </w:r>
    </w:p>
    <w:p w14:paraId="1481EE6C" w14:textId="6EC2EA8F" w:rsidR="00F63C9E" w:rsidRDefault="00B05B1D">
      <w:pPr>
        <w:pStyle w:val="Ttulo1"/>
        <w:spacing w:after="218"/>
      </w:pPr>
      <w:r>
        <w:t xml:space="preserve">Inadmitir la solicitud de acceso a información pública presentada por </w:t>
      </w:r>
      <w:r w:rsidR="00AD0AA8" w:rsidRPr="00AD0AA8">
        <w:rPr>
          <w:highlight w:val="black"/>
        </w:rPr>
        <w:t>XXXXX</w:t>
      </w:r>
    </w:p>
    <w:p w14:paraId="57A45018" w14:textId="22B22F4C" w:rsidR="00F63C9E" w:rsidRDefault="00B05B1D">
      <w:pPr>
        <w:spacing w:after="229" w:line="249" w:lineRule="auto"/>
        <w:ind w:left="1004" w:right="285" w:hanging="10"/>
        <w:jc w:val="both"/>
      </w:pPr>
      <w:r>
        <w:rPr>
          <w:rFonts w:ascii="Times New Roman" w:eastAsia="Times New Roman" w:hAnsi="Times New Roman" w:cs="Times New Roman"/>
        </w:rPr>
        <w:t xml:space="preserve">Con fecha 20 de mayo de 2026 ha tenido entrada en el Registro Electrónico Común de la Diputación Foral solicitud de acceso a información pública, al amparo de la Norma Foral 1/2017, de 8 de febrero, de transparencia, participación ciudadana y buen gobierno del sector público del Territorio Histórico de Álava, deducida por </w:t>
      </w:r>
      <w:r w:rsidR="00AD0AA8" w:rsidRPr="00AD0AA8">
        <w:rPr>
          <w:rFonts w:ascii="Times New Roman" w:eastAsia="Times New Roman" w:hAnsi="Times New Roman" w:cs="Times New Roman"/>
          <w:highlight w:val="black"/>
        </w:rPr>
        <w:t>XXXXX</w:t>
      </w:r>
      <w:r>
        <w:rPr>
          <w:rFonts w:ascii="Times New Roman" w:eastAsia="Times New Roman" w:hAnsi="Times New Roman" w:cs="Times New Roman"/>
        </w:rPr>
        <w:t>.</w:t>
      </w:r>
    </w:p>
    <w:p w14:paraId="55A17EA9" w14:textId="3F11E467" w:rsidR="00F63C9E" w:rsidRDefault="00B05B1D">
      <w:pPr>
        <w:spacing w:after="229" w:line="249" w:lineRule="auto"/>
        <w:ind w:left="1004" w:right="285" w:hanging="10"/>
        <w:jc w:val="both"/>
      </w:pPr>
      <w:r>
        <w:rPr>
          <w:rFonts w:ascii="Times New Roman" w:eastAsia="Times New Roman" w:hAnsi="Times New Roman" w:cs="Times New Roman"/>
        </w:rPr>
        <w:t xml:space="preserve">Solicita información en relación con una solicitud presentada a la Diputación Foral de Álava el 16 de febrero de 2024 en la que se instaba a requerir a la Ertzaintza de Laudio la remisión de determinados datos (referidos al vehículo y conductor) vinculados a la actuación de 17 de septiembre de 2022 y que derivó en una denuncia presentada por </w:t>
      </w:r>
      <w:r w:rsidR="00AD0AA8" w:rsidRPr="00AD0AA8">
        <w:rPr>
          <w:rFonts w:ascii="Times New Roman" w:eastAsia="Times New Roman" w:hAnsi="Times New Roman" w:cs="Times New Roman"/>
          <w:highlight w:val="black"/>
        </w:rPr>
        <w:t>XXXXX</w:t>
      </w:r>
      <w:r>
        <w:rPr>
          <w:rFonts w:ascii="Times New Roman" w:eastAsia="Times New Roman" w:hAnsi="Times New Roman" w:cs="Times New Roman"/>
        </w:rPr>
        <w:t>.</w:t>
      </w:r>
    </w:p>
    <w:p w14:paraId="2F850059" w14:textId="458CCE7D" w:rsidR="00F63C9E" w:rsidRDefault="00B05B1D">
      <w:pPr>
        <w:spacing w:after="270" w:line="249" w:lineRule="auto"/>
        <w:ind w:left="796" w:hanging="10"/>
        <w:jc w:val="both"/>
      </w:pPr>
      <w:r>
        <w:rPr>
          <w:rFonts w:ascii="Times New Roman" w:eastAsia="Times New Roman" w:hAnsi="Times New Roman" w:cs="Times New Roman"/>
        </w:rPr>
        <w:t>En concreto, interesa la siguiente información:</w:t>
      </w:r>
    </w:p>
    <w:p w14:paraId="1C6B1FD7" w14:textId="77777777" w:rsidR="00F63C9E" w:rsidRDefault="00B05B1D">
      <w:pPr>
        <w:numPr>
          <w:ilvl w:val="0"/>
          <w:numId w:val="1"/>
        </w:numPr>
        <w:spacing w:after="226"/>
        <w:ind w:right="210" w:hanging="360"/>
        <w:jc w:val="both"/>
      </w:pPr>
      <w:r>
        <w:rPr>
          <w:rFonts w:ascii="Times New Roman" w:eastAsia="Times New Roman" w:hAnsi="Times New Roman" w:cs="Times New Roman"/>
        </w:rPr>
        <w:t>Si la Diputación Foral de Álava requirió dicha información a la Ertzaintza de Laudio: sí o no.</w:t>
      </w:r>
    </w:p>
    <w:p w14:paraId="54B135D9" w14:textId="77777777" w:rsidR="00F63C9E" w:rsidRDefault="00B05B1D">
      <w:pPr>
        <w:numPr>
          <w:ilvl w:val="0"/>
          <w:numId w:val="1"/>
        </w:numPr>
        <w:spacing w:after="192" w:line="249" w:lineRule="auto"/>
        <w:ind w:right="210" w:hanging="360"/>
        <w:jc w:val="both"/>
      </w:pPr>
      <w:r>
        <w:rPr>
          <w:rFonts w:ascii="Times New Roman" w:eastAsia="Times New Roman" w:hAnsi="Times New Roman" w:cs="Times New Roman"/>
        </w:rPr>
        <w:t>Si la Ertzaintza de Laudio remitió finalmente dicha información: sí o no.</w:t>
      </w:r>
    </w:p>
    <w:p w14:paraId="2D6BAF42" w14:textId="77777777" w:rsidR="00F63C9E" w:rsidRDefault="00B05B1D">
      <w:pPr>
        <w:spacing w:after="229" w:line="249" w:lineRule="auto"/>
        <w:ind w:left="796" w:right="285" w:hanging="10"/>
        <w:jc w:val="both"/>
      </w:pPr>
      <w:r>
        <w:rPr>
          <w:rFonts w:ascii="Times New Roman" w:eastAsia="Times New Roman" w:hAnsi="Times New Roman" w:cs="Times New Roman"/>
        </w:rPr>
        <w:t>Manifiesta el solicitante que la información solicitada se refiere exclusivamente a actuaciones administrativas ya realizadas y no requiere elaboración específica ni creación de nuevos documentos o informes.</w:t>
      </w:r>
    </w:p>
    <w:p w14:paraId="172F4042" w14:textId="5D79ECFF" w:rsidR="00F63C9E" w:rsidRDefault="00B05B1D">
      <w:pPr>
        <w:spacing w:after="229" w:line="249" w:lineRule="auto"/>
        <w:ind w:left="796" w:right="285" w:hanging="10"/>
        <w:jc w:val="both"/>
      </w:pPr>
      <w:r>
        <w:rPr>
          <w:rFonts w:ascii="Times New Roman" w:eastAsia="Times New Roman" w:hAnsi="Times New Roman" w:cs="Times New Roman"/>
        </w:rPr>
        <w:t xml:space="preserve">Son numerosas las solicitudes de acceso a la información pública presentadas por </w:t>
      </w:r>
      <w:r w:rsidR="00AD0AA8" w:rsidRPr="00AD0AA8">
        <w:rPr>
          <w:rFonts w:ascii="Times New Roman" w:eastAsia="Times New Roman" w:hAnsi="Times New Roman" w:cs="Times New Roman"/>
          <w:highlight w:val="black"/>
        </w:rPr>
        <w:t>XXXXX</w:t>
      </w:r>
      <w:r>
        <w:rPr>
          <w:rFonts w:ascii="Times New Roman" w:eastAsia="Times New Roman" w:hAnsi="Times New Roman" w:cs="Times New Roman"/>
        </w:rPr>
        <w:t xml:space="preserve"> en relación con la actividad sancionadora desarrollada por la DFA en materia de transporte de animales desde junio de 2025.</w:t>
      </w:r>
    </w:p>
    <w:p w14:paraId="0AC0F02F" w14:textId="77777777" w:rsidR="00F63C9E" w:rsidRDefault="00B05B1D">
      <w:pPr>
        <w:spacing w:after="279" w:line="238" w:lineRule="auto"/>
        <w:ind w:left="994" w:right="71"/>
      </w:pPr>
      <w:r>
        <w:rPr>
          <w:rFonts w:ascii="Times New Roman" w:eastAsia="Times New Roman" w:hAnsi="Times New Roman" w:cs="Times New Roman"/>
        </w:rPr>
        <w:t>En la Resolución 329/2026, de 21 de enero de la Dirección de Agricultura que acuerda la inadmisión de la solicitud de acceso a información pública presentada el 9-01-2026, expediente 01244-2026/00002, se indica:</w:t>
      </w:r>
    </w:p>
    <w:p w14:paraId="26CAE423" w14:textId="04DBB9B1" w:rsidR="00F63C9E" w:rsidRDefault="00B05B1D">
      <w:pPr>
        <w:spacing w:after="229" w:line="249" w:lineRule="auto"/>
        <w:ind w:left="1004" w:right="285" w:hanging="10"/>
        <w:jc w:val="both"/>
      </w:pPr>
      <w:r>
        <w:rPr>
          <w:rFonts w:ascii="Segoe UI" w:eastAsia="Segoe UI" w:hAnsi="Segoe UI" w:cs="Segoe UI"/>
        </w:rPr>
        <w:t>«</w:t>
      </w:r>
      <w:r>
        <w:rPr>
          <w:rFonts w:ascii="Times New Roman" w:eastAsia="Times New Roman" w:hAnsi="Times New Roman" w:cs="Times New Roman"/>
        </w:rPr>
        <w:t xml:space="preserve">… </w:t>
      </w:r>
      <w:r>
        <w:rPr>
          <w:rFonts w:ascii="Times New Roman" w:eastAsia="Times New Roman" w:hAnsi="Times New Roman" w:cs="Times New Roman"/>
          <w:i/>
        </w:rPr>
        <w:t xml:space="preserve">son varias las solicitudes presentadas por </w:t>
      </w:r>
      <w:r w:rsidR="00AD0AA8" w:rsidRPr="00AD0AA8">
        <w:rPr>
          <w:rFonts w:ascii="Times New Roman" w:eastAsia="Times New Roman" w:hAnsi="Times New Roman" w:cs="Times New Roman"/>
          <w:i/>
          <w:highlight w:val="black"/>
        </w:rPr>
        <w:t>XXXXX</w:t>
      </w:r>
      <w:r>
        <w:rPr>
          <w:rFonts w:ascii="Times New Roman" w:eastAsia="Times New Roman" w:hAnsi="Times New Roman" w:cs="Times New Roman"/>
          <w:i/>
        </w:rPr>
        <w:t xml:space="preserve"> en relación con la actividad sancionadora desarrollada por la DFA en materia de transporte de animales, computándose seis solicitudes en un periodo de 6 meses.</w:t>
      </w:r>
    </w:p>
    <w:p w14:paraId="04500DC6" w14:textId="77777777" w:rsidR="00AD0AA8" w:rsidRDefault="00B05B1D">
      <w:pPr>
        <w:spacing w:after="229" w:line="249" w:lineRule="auto"/>
        <w:ind w:left="1004" w:right="285" w:hanging="10"/>
        <w:jc w:val="both"/>
        <w:rPr>
          <w:rFonts w:ascii="Times New Roman" w:eastAsia="Times New Roman" w:hAnsi="Times New Roman" w:cs="Times New Roman"/>
          <w:i/>
        </w:rPr>
      </w:pPr>
      <w:r>
        <w:rPr>
          <w:rFonts w:ascii="Times New Roman" w:eastAsia="Times New Roman" w:hAnsi="Times New Roman" w:cs="Times New Roman"/>
          <w:i/>
        </w:rPr>
        <w:t xml:space="preserve">Se constata tras un análisis del contenido de las diferentes solicitudes que el solicitante pretende recabar información para poder conocer en último término el devenir de la denuncia que interpuso en relación con una presunta infracción administrativa en materia de transporte y sanidad animal y que </w:t>
      </w:r>
      <w:r>
        <w:rPr>
          <w:rFonts w:ascii="Times New Roman" w:eastAsia="Times New Roman" w:hAnsi="Times New Roman" w:cs="Times New Roman"/>
          <w:i/>
        </w:rPr>
        <w:t xml:space="preserve">dio lugar a la incoación de un expediente sancionador mediante la Resolución 897/2024, lo que no está </w:t>
      </w:r>
    </w:p>
    <w:p w14:paraId="71D7AD6B" w14:textId="77777777" w:rsidR="00AD0AA8" w:rsidRDefault="00AD0AA8">
      <w:pPr>
        <w:spacing w:after="229" w:line="249" w:lineRule="auto"/>
        <w:ind w:left="1004" w:right="285" w:hanging="10"/>
        <w:jc w:val="both"/>
        <w:rPr>
          <w:rFonts w:ascii="Times New Roman" w:eastAsia="Times New Roman" w:hAnsi="Times New Roman" w:cs="Times New Roman"/>
          <w:i/>
        </w:rPr>
      </w:pPr>
    </w:p>
    <w:p w14:paraId="71A61FCE" w14:textId="77777777" w:rsidR="00AD0AA8" w:rsidRDefault="00AD0AA8">
      <w:pPr>
        <w:spacing w:after="229" w:line="249" w:lineRule="auto"/>
        <w:ind w:left="1004" w:right="285" w:hanging="10"/>
        <w:jc w:val="both"/>
        <w:rPr>
          <w:rFonts w:ascii="Times New Roman" w:eastAsia="Times New Roman" w:hAnsi="Times New Roman" w:cs="Times New Roman"/>
          <w:i/>
        </w:rPr>
      </w:pPr>
    </w:p>
    <w:p w14:paraId="7CDCFD39" w14:textId="77777777" w:rsidR="00AD0AA8" w:rsidRDefault="00AD0AA8">
      <w:pPr>
        <w:spacing w:after="229" w:line="249" w:lineRule="auto"/>
        <w:ind w:left="1004" w:right="285" w:hanging="10"/>
        <w:jc w:val="both"/>
        <w:rPr>
          <w:rFonts w:ascii="Times New Roman" w:eastAsia="Times New Roman" w:hAnsi="Times New Roman" w:cs="Times New Roman"/>
          <w:i/>
        </w:rPr>
      </w:pPr>
    </w:p>
    <w:p w14:paraId="509EDADF" w14:textId="0D1F17B4" w:rsidR="00F63C9E" w:rsidRDefault="00B05B1D">
      <w:pPr>
        <w:spacing w:after="229" w:line="249" w:lineRule="auto"/>
        <w:ind w:left="1004" w:right="285" w:hanging="10"/>
        <w:jc w:val="both"/>
      </w:pPr>
      <w:r>
        <w:rPr>
          <w:rFonts w:ascii="Times New Roman" w:eastAsia="Times New Roman" w:hAnsi="Times New Roman" w:cs="Times New Roman"/>
          <w:i/>
        </w:rPr>
        <w:t>justificado con la finalidad de transparencia de la ley y sobre pasa los límites normales del ejercicio del derecho de acceso a la información pública</w:t>
      </w:r>
      <w:r>
        <w:rPr>
          <w:rFonts w:ascii="Times New Roman" w:eastAsia="Times New Roman" w:hAnsi="Times New Roman" w:cs="Times New Roman"/>
        </w:rPr>
        <w:t>.</w:t>
      </w:r>
      <w:r>
        <w:rPr>
          <w:rFonts w:ascii="Segoe UI" w:eastAsia="Segoe UI" w:hAnsi="Segoe UI" w:cs="Segoe UI"/>
        </w:rPr>
        <w:t>»</w:t>
      </w:r>
      <w:r>
        <w:rPr>
          <w:rFonts w:ascii="Times New Roman" w:eastAsia="Times New Roman" w:hAnsi="Times New Roman" w:cs="Times New Roman"/>
        </w:rPr>
        <w:t>.</w:t>
      </w:r>
    </w:p>
    <w:p w14:paraId="793F73C7" w14:textId="77777777" w:rsidR="00F63C9E" w:rsidRDefault="00B05B1D">
      <w:pPr>
        <w:spacing w:after="229" w:line="249" w:lineRule="auto"/>
        <w:ind w:left="1004" w:hanging="10"/>
        <w:jc w:val="both"/>
      </w:pPr>
      <w:r>
        <w:rPr>
          <w:rFonts w:ascii="Times New Roman" w:eastAsia="Times New Roman" w:hAnsi="Times New Roman" w:cs="Times New Roman"/>
        </w:rPr>
        <w:t>Con posterioridad a esta Resolución, ha presentado otras dos solicitudes:</w:t>
      </w:r>
    </w:p>
    <w:p w14:paraId="1249802C" w14:textId="77777777" w:rsidR="00F63C9E" w:rsidRDefault="00B05B1D">
      <w:pPr>
        <w:numPr>
          <w:ilvl w:val="0"/>
          <w:numId w:val="2"/>
        </w:numPr>
        <w:spacing w:after="229" w:line="249" w:lineRule="auto"/>
        <w:ind w:right="142" w:firstLine="426"/>
        <w:jc w:val="both"/>
      </w:pPr>
      <w:r>
        <w:rPr>
          <w:rFonts w:ascii="Times New Roman" w:eastAsia="Times New Roman" w:hAnsi="Times New Roman" w:cs="Times New Roman"/>
        </w:rPr>
        <w:t>Con fecha 27-01-2026 presenta solicitud (expediente 01244-2026/00016) interesando se le comunique de forma expresa:</w:t>
      </w:r>
    </w:p>
    <w:p w14:paraId="28C6DA99" w14:textId="77777777" w:rsidR="00F63C9E" w:rsidRDefault="00B05B1D">
      <w:pPr>
        <w:numPr>
          <w:ilvl w:val="2"/>
          <w:numId w:val="3"/>
        </w:numPr>
        <w:spacing w:after="229" w:line="249" w:lineRule="auto"/>
        <w:ind w:firstLine="426"/>
        <w:jc w:val="both"/>
      </w:pPr>
      <w:r>
        <w:rPr>
          <w:rFonts w:ascii="Times New Roman" w:eastAsia="Times New Roman" w:hAnsi="Times New Roman" w:cs="Times New Roman"/>
        </w:rPr>
        <w:t>Que el expediente incoado tras la denuncia presentada lo fue únicamente respecto de uno de los hechos denunciados.</w:t>
      </w:r>
    </w:p>
    <w:p w14:paraId="6FBCE56A" w14:textId="77777777" w:rsidR="00F63C9E" w:rsidRDefault="00B05B1D">
      <w:pPr>
        <w:numPr>
          <w:ilvl w:val="2"/>
          <w:numId w:val="3"/>
        </w:numPr>
        <w:spacing w:after="229" w:line="249" w:lineRule="auto"/>
        <w:ind w:firstLine="426"/>
        <w:jc w:val="both"/>
      </w:pPr>
      <w:r>
        <w:rPr>
          <w:rFonts w:ascii="Times New Roman" w:eastAsia="Times New Roman" w:hAnsi="Times New Roman" w:cs="Times New Roman"/>
        </w:rPr>
        <w:t>Que se acordó la no incoación de expediente sancionador respecto de los otros dos hechos denunciados, indicando la causa administrativa de dicha decisión.</w:t>
      </w:r>
    </w:p>
    <w:p w14:paraId="3CB9F870" w14:textId="77777777" w:rsidR="00F63C9E" w:rsidRDefault="00B05B1D">
      <w:pPr>
        <w:spacing w:after="229" w:line="249" w:lineRule="auto"/>
        <w:ind w:left="994" w:firstLine="426"/>
        <w:jc w:val="both"/>
      </w:pPr>
      <w:r>
        <w:rPr>
          <w:rFonts w:ascii="Times New Roman" w:eastAsia="Times New Roman" w:hAnsi="Times New Roman" w:cs="Times New Roman"/>
        </w:rPr>
        <w:t>Esta solicitud fue estimada mediante Resolución 1186/2026, de 25 de febrero, siendo facilitada la información solicita mediante Anexo adjunto a la Resolución.</w:t>
      </w:r>
    </w:p>
    <w:p w14:paraId="457CADF0" w14:textId="77777777" w:rsidR="00F63C9E" w:rsidRDefault="00B05B1D">
      <w:pPr>
        <w:numPr>
          <w:ilvl w:val="0"/>
          <w:numId w:val="2"/>
        </w:numPr>
        <w:spacing w:after="229" w:line="249" w:lineRule="auto"/>
        <w:ind w:right="142" w:firstLine="426"/>
        <w:jc w:val="both"/>
      </w:pPr>
      <w:r>
        <w:rPr>
          <w:rFonts w:ascii="Times New Roman" w:eastAsia="Times New Roman" w:hAnsi="Times New Roman" w:cs="Times New Roman"/>
        </w:rPr>
        <w:t>Con fecha 4-03-2026 presenta solicitud (expediente 01244-2026/00021) pidiendo información adicional en relación con la información facilitada mediante el anterior Anexo. En concreto, interesaba la siguiente información:</w:t>
      </w:r>
    </w:p>
    <w:p w14:paraId="5B29B471" w14:textId="77777777" w:rsidR="00F63C9E" w:rsidRDefault="00B05B1D">
      <w:pPr>
        <w:numPr>
          <w:ilvl w:val="1"/>
          <w:numId w:val="2"/>
        </w:numPr>
        <w:spacing w:after="229" w:line="249" w:lineRule="auto"/>
        <w:ind w:right="285" w:hanging="10"/>
        <w:jc w:val="both"/>
      </w:pPr>
      <w:r>
        <w:rPr>
          <w:rFonts w:ascii="Times New Roman" w:eastAsia="Times New Roman" w:hAnsi="Times New Roman" w:cs="Times New Roman"/>
        </w:rPr>
        <w:t>En relación con unas reuniones presenciales que se citan en la información facilitada, se concrete la fecha, lugar e identidad del interviniente y el acta o registro administrativo asociado de las mismas.</w:t>
      </w:r>
    </w:p>
    <w:p w14:paraId="69FC2E3C" w14:textId="77777777" w:rsidR="00F63C9E" w:rsidRDefault="00B05B1D">
      <w:pPr>
        <w:numPr>
          <w:ilvl w:val="1"/>
          <w:numId w:val="2"/>
        </w:numPr>
        <w:spacing w:after="229" w:line="249" w:lineRule="auto"/>
        <w:ind w:right="285" w:hanging="10"/>
        <w:jc w:val="both"/>
      </w:pPr>
      <w:r>
        <w:rPr>
          <w:rFonts w:ascii="Times New Roman" w:eastAsia="Times New Roman" w:hAnsi="Times New Roman" w:cs="Times New Roman"/>
        </w:rPr>
        <w:t>Se informe si se realizó requerimiento formal a la Ertzaintza para identificación de vehículo indicando fecha del requerimiento, con copia de diligencias practicadas y de la respuesta al requerimiento.</w:t>
      </w:r>
    </w:p>
    <w:p w14:paraId="0A86B62D" w14:textId="77777777" w:rsidR="00F63C9E" w:rsidRDefault="00B05B1D">
      <w:pPr>
        <w:numPr>
          <w:ilvl w:val="1"/>
          <w:numId w:val="2"/>
        </w:numPr>
        <w:spacing w:after="229" w:line="249" w:lineRule="auto"/>
        <w:ind w:right="285" w:hanging="10"/>
        <w:jc w:val="both"/>
      </w:pPr>
      <w:r>
        <w:rPr>
          <w:rFonts w:ascii="Times New Roman" w:eastAsia="Times New Roman" w:hAnsi="Times New Roman" w:cs="Times New Roman"/>
        </w:rPr>
        <w:t>Se identifique la norma concreta que fija el “radio limitado” que se invoca en la información facilitada, precisando la extensión exacta de dicho radio, la explotación de destino considerada y la distancia existente entre explotación de origen y de destino y método de cálculo utilizado.</w:t>
      </w:r>
    </w:p>
    <w:p w14:paraId="6D0791EB" w14:textId="77777777" w:rsidR="00F63C9E" w:rsidRDefault="00B05B1D">
      <w:pPr>
        <w:spacing w:after="229" w:line="249" w:lineRule="auto"/>
        <w:ind w:left="1004" w:right="285" w:hanging="10"/>
        <w:jc w:val="both"/>
      </w:pPr>
      <w:r>
        <w:rPr>
          <w:rFonts w:ascii="Times New Roman" w:eastAsia="Times New Roman" w:hAnsi="Times New Roman" w:cs="Times New Roman"/>
        </w:rPr>
        <w:t>Por Resolución 1479/2026, de 17 de marzo, se acuerda la inadmisión de esta solicitud conforme al artículo 18.e) de la Norma Foral 1/2017 al tener un carácter abusivo no justificado con la finalidad de transparencia de la ley. En esta resolución se indica que el derecho de acceso a la información pública ha sido plenamente satisfecho mediante la Resolución 1186/2026, de 25 de febrero.</w:t>
      </w:r>
    </w:p>
    <w:p w14:paraId="5675DFB4" w14:textId="77777777" w:rsidR="00F63C9E" w:rsidRDefault="00B05B1D">
      <w:pPr>
        <w:spacing w:after="229" w:line="249" w:lineRule="auto"/>
        <w:ind w:left="1004" w:right="285" w:hanging="10"/>
        <w:jc w:val="both"/>
      </w:pPr>
      <w:r>
        <w:rPr>
          <w:rFonts w:ascii="Times New Roman" w:eastAsia="Times New Roman" w:hAnsi="Times New Roman" w:cs="Times New Roman"/>
        </w:rPr>
        <w:t>Expuestos someramente los antecedentes, la Norma Foral 1/2017, de transparencia, participación ciudadana y buen gobierno del sector público del THA reconoce en su artículo 30 el derecho de todas las personas a ejercer el derecho a acceder a la información pública.</w:t>
      </w:r>
    </w:p>
    <w:p w14:paraId="0313D5A2" w14:textId="77777777" w:rsidR="00F63C9E" w:rsidRDefault="00B05B1D">
      <w:pPr>
        <w:spacing w:after="229" w:line="249" w:lineRule="auto"/>
        <w:ind w:left="1004" w:right="284" w:hanging="10"/>
        <w:jc w:val="both"/>
      </w:pPr>
      <w:r>
        <w:rPr>
          <w:rFonts w:ascii="Times New Roman" w:eastAsia="Times New Roman" w:hAnsi="Times New Roman" w:cs="Times New Roman"/>
        </w:rPr>
        <w:t>Pero este derecho de acceso a la información pública no es un derecho ilimitado o absoluto, en el sentido de que garantice el acceso a toda la información pública en cualquier materia, sino que está sometido a límites, siendo la regla general la transparencia o acceso y la excepción su denegación o limitación, como señala la citada Norma Foral en la exposición de motivos.</w:t>
      </w:r>
    </w:p>
    <w:p w14:paraId="2AF76824" w14:textId="77777777" w:rsidR="00F63C9E" w:rsidRDefault="00B05B1D">
      <w:pPr>
        <w:spacing w:after="229" w:line="249" w:lineRule="auto"/>
        <w:ind w:left="1004" w:hanging="10"/>
        <w:jc w:val="both"/>
      </w:pPr>
      <w:r>
        <w:rPr>
          <w:rFonts w:ascii="Times New Roman" w:eastAsia="Times New Roman" w:hAnsi="Times New Roman" w:cs="Times New Roman"/>
        </w:rPr>
        <w:t>El artículo 18 de la Ley 19/2013, al que se remite el artículo 34 de la Norma Foral 1/2017, recoge las causas de inadmisión, disponiendo en el apartado primero:</w:t>
      </w:r>
    </w:p>
    <w:p w14:paraId="70630113" w14:textId="77777777" w:rsidR="00F63C9E" w:rsidRDefault="00F63C9E">
      <w:pPr>
        <w:sectPr w:rsidR="00F63C9E">
          <w:headerReference w:type="even" r:id="rId8"/>
          <w:headerReference w:type="default" r:id="rId9"/>
          <w:footerReference w:type="even" r:id="rId10"/>
          <w:headerReference w:type="first" r:id="rId11"/>
          <w:pgSz w:w="11907" w:h="16840"/>
          <w:pgMar w:top="284" w:right="849" w:bottom="576" w:left="707" w:header="127" w:footer="720" w:gutter="0"/>
          <w:pgNumType w:start="0"/>
          <w:cols w:space="720"/>
          <w:titlePg/>
        </w:sectPr>
      </w:pPr>
    </w:p>
    <w:p w14:paraId="212D1823" w14:textId="44EB73AF" w:rsidR="00F63C9E" w:rsidRDefault="00B05B1D">
      <w:pPr>
        <w:spacing w:after="229" w:line="249" w:lineRule="auto"/>
        <w:ind w:left="811" w:hanging="10"/>
        <w:jc w:val="both"/>
      </w:pPr>
      <w:r>
        <w:rPr>
          <w:rFonts w:ascii="Times New Roman" w:eastAsia="Times New Roman" w:hAnsi="Times New Roman" w:cs="Times New Roman"/>
        </w:rPr>
        <w:lastRenderedPageBreak/>
        <w:t>“</w:t>
      </w:r>
      <w:r>
        <w:rPr>
          <w:rFonts w:ascii="Times New Roman" w:eastAsia="Times New Roman" w:hAnsi="Times New Roman" w:cs="Times New Roman"/>
          <w:i/>
        </w:rPr>
        <w:t xml:space="preserve">1. Se </w:t>
      </w:r>
      <w:proofErr w:type="spellStart"/>
      <w:r>
        <w:rPr>
          <w:rFonts w:ascii="Times New Roman" w:eastAsia="Times New Roman" w:hAnsi="Times New Roman" w:cs="Times New Roman"/>
          <w:i/>
        </w:rPr>
        <w:t>ina</w:t>
      </w:r>
      <w:r>
        <w:rPr>
          <w:rFonts w:ascii="Times New Roman" w:eastAsia="Times New Roman" w:hAnsi="Times New Roman" w:cs="Times New Roman"/>
          <w:i/>
        </w:rPr>
        <w:t>mitirán</w:t>
      </w:r>
      <w:proofErr w:type="spellEnd"/>
      <w:r>
        <w:rPr>
          <w:rFonts w:ascii="Times New Roman" w:eastAsia="Times New Roman" w:hAnsi="Times New Roman" w:cs="Times New Roman"/>
          <w:i/>
        </w:rPr>
        <w:t xml:space="preserve"> a trámite, mediante resolución motivada, las solicitudes:</w:t>
      </w:r>
    </w:p>
    <w:p w14:paraId="5A03AF49" w14:textId="77777777" w:rsidR="00F63C9E" w:rsidRDefault="00B05B1D">
      <w:pPr>
        <w:numPr>
          <w:ilvl w:val="0"/>
          <w:numId w:val="4"/>
        </w:numPr>
        <w:spacing w:after="229" w:line="249" w:lineRule="auto"/>
        <w:ind w:hanging="238"/>
        <w:jc w:val="both"/>
      </w:pPr>
      <w:r>
        <w:rPr>
          <w:rFonts w:ascii="Times New Roman" w:eastAsia="Times New Roman" w:hAnsi="Times New Roman" w:cs="Times New Roman"/>
          <w:i/>
        </w:rPr>
        <w:t>Que se refieran a información que esté en curso de elaboración o de publicación general.</w:t>
      </w:r>
    </w:p>
    <w:p w14:paraId="5A6862AD" w14:textId="77777777" w:rsidR="00F63C9E" w:rsidRDefault="00B05B1D">
      <w:pPr>
        <w:numPr>
          <w:ilvl w:val="0"/>
          <w:numId w:val="4"/>
        </w:numPr>
        <w:spacing w:after="229" w:line="249" w:lineRule="auto"/>
        <w:ind w:hanging="238"/>
        <w:jc w:val="both"/>
      </w:pPr>
      <w:r>
        <w:rPr>
          <w:rFonts w:ascii="Times New Roman" w:eastAsia="Times New Roman" w:hAnsi="Times New Roman" w:cs="Times New Roman"/>
          <w:i/>
        </w:rPr>
        <w:t>Referidas a información que tenga carácter auxiliar o de apoyo como la contenida en notas, borradores, opiniones, resúmenes, comunicaciones e informes internos o entre órganos o entidades administrativas.</w:t>
      </w:r>
    </w:p>
    <w:p w14:paraId="719E7AE9" w14:textId="77777777" w:rsidR="00F63C9E" w:rsidRDefault="00B05B1D">
      <w:pPr>
        <w:numPr>
          <w:ilvl w:val="0"/>
          <w:numId w:val="4"/>
        </w:numPr>
        <w:spacing w:after="229" w:line="249" w:lineRule="auto"/>
        <w:ind w:hanging="238"/>
        <w:jc w:val="both"/>
      </w:pPr>
      <w:r>
        <w:rPr>
          <w:rFonts w:ascii="Times New Roman" w:eastAsia="Times New Roman" w:hAnsi="Times New Roman" w:cs="Times New Roman"/>
          <w:i/>
        </w:rPr>
        <w:t>Relativas a información para cuya divulgación sea necesaria una acción previa de reelaboración.</w:t>
      </w:r>
    </w:p>
    <w:p w14:paraId="67DE2458" w14:textId="77777777" w:rsidR="00F63C9E" w:rsidRDefault="00B05B1D">
      <w:pPr>
        <w:numPr>
          <w:ilvl w:val="0"/>
          <w:numId w:val="4"/>
        </w:numPr>
        <w:spacing w:after="229" w:line="249" w:lineRule="auto"/>
        <w:ind w:hanging="238"/>
        <w:jc w:val="both"/>
      </w:pPr>
      <w:r>
        <w:rPr>
          <w:rFonts w:ascii="Times New Roman" w:eastAsia="Times New Roman" w:hAnsi="Times New Roman" w:cs="Times New Roman"/>
          <w:i/>
        </w:rPr>
        <w:t>Dirigidas a un órgano en cuyo poder no obre la información cuando se desconozca el competente.</w:t>
      </w:r>
    </w:p>
    <w:p w14:paraId="50252CCB" w14:textId="77777777" w:rsidR="00F63C9E" w:rsidRDefault="00B05B1D">
      <w:pPr>
        <w:numPr>
          <w:ilvl w:val="0"/>
          <w:numId w:val="4"/>
        </w:numPr>
        <w:spacing w:after="229" w:line="249" w:lineRule="auto"/>
        <w:ind w:hanging="238"/>
        <w:jc w:val="both"/>
      </w:pPr>
      <w:r>
        <w:rPr>
          <w:rFonts w:ascii="Times New Roman" w:eastAsia="Times New Roman" w:hAnsi="Times New Roman" w:cs="Times New Roman"/>
          <w:i/>
        </w:rPr>
        <w:t>Que sean manifiestamente repetitivas o tengan un carácter abusivo no justificado con la finalidad de transparencia de esta Ley</w:t>
      </w:r>
      <w:r>
        <w:rPr>
          <w:rFonts w:ascii="Times New Roman" w:eastAsia="Times New Roman" w:hAnsi="Times New Roman" w:cs="Times New Roman"/>
        </w:rPr>
        <w:t>.”.</w:t>
      </w:r>
    </w:p>
    <w:p w14:paraId="3D344602" w14:textId="5F4339D2" w:rsidR="00F63C9E" w:rsidRDefault="00B05B1D">
      <w:pPr>
        <w:spacing w:after="229" w:line="249" w:lineRule="auto"/>
        <w:ind w:left="796" w:hanging="10"/>
        <w:jc w:val="both"/>
      </w:pPr>
      <w:r>
        <w:rPr>
          <w:rFonts w:ascii="Times New Roman" w:eastAsia="Times New Roman" w:hAnsi="Times New Roman" w:cs="Times New Roman"/>
        </w:rPr>
        <w:t xml:space="preserve">Basta analizar las distintas solicitudes de acceso a la información pública presentadas por </w:t>
      </w:r>
      <w:r w:rsidR="00AD0AA8" w:rsidRPr="00AD0AA8">
        <w:rPr>
          <w:rFonts w:ascii="Times New Roman" w:eastAsia="Times New Roman" w:hAnsi="Times New Roman" w:cs="Times New Roman"/>
          <w:highlight w:val="black"/>
        </w:rPr>
        <w:t>XXXX</w:t>
      </w:r>
      <w:r>
        <w:rPr>
          <w:rFonts w:ascii="Times New Roman" w:eastAsia="Times New Roman" w:hAnsi="Times New Roman" w:cs="Times New Roman"/>
        </w:rPr>
        <w:t xml:space="preserve"> para concluir que todas ellas persiguen, en última instancia, conocer la evolución de la denuncia que interpuso el 17 de septiembre de 2022 ante la Ertzaintza de Laudio. Así en la Resolución 329/2026, de 21 de enero de la Dirección de Agricultura (</w:t>
      </w:r>
      <w:proofErr w:type="spellStart"/>
      <w:r>
        <w:rPr>
          <w:rFonts w:ascii="Times New Roman" w:eastAsia="Times New Roman" w:hAnsi="Times New Roman" w:cs="Times New Roman"/>
        </w:rPr>
        <w:t>expte</w:t>
      </w:r>
      <w:proofErr w:type="spellEnd"/>
      <w:r>
        <w:rPr>
          <w:rFonts w:ascii="Times New Roman" w:eastAsia="Times New Roman" w:hAnsi="Times New Roman" w:cs="Times New Roman"/>
        </w:rPr>
        <w:t xml:space="preserve">. 01244-2026/00002) se señala “Se constata tras un análisis del contenido de las diferentes solicitudes que el solicitante pretende recabar información para poder conocer en último término el devenir de la denuncia que interpuso en relación con una presunta </w:t>
      </w:r>
      <w:r>
        <w:rPr>
          <w:rFonts w:ascii="Times New Roman" w:eastAsia="Times New Roman" w:hAnsi="Times New Roman" w:cs="Times New Roman"/>
        </w:rPr>
        <w:t>infracción administrativa en materia de transporte y sanidad animal y que dio lugar a la incoación de un expediente sancionador mediante la Resolución 897/2024, lo que no está justificado con la finalidad de transparencia de la ley y sobre pasa los límites normales del ejercicio del derecho de acceso a la información pública” y ello porque la mera presentación de una denuncia no confiere, por sí sola, la condición de interesado en el procedimiento (art. 62.5 de la Ley 39/2015).</w:t>
      </w:r>
    </w:p>
    <w:p w14:paraId="196E8189" w14:textId="77777777" w:rsidR="00F63C9E" w:rsidRDefault="00B05B1D">
      <w:pPr>
        <w:spacing w:after="229" w:line="249" w:lineRule="auto"/>
        <w:ind w:left="796" w:hanging="10"/>
        <w:jc w:val="both"/>
      </w:pPr>
      <w:r>
        <w:rPr>
          <w:rFonts w:ascii="Times New Roman" w:eastAsia="Times New Roman" w:hAnsi="Times New Roman" w:cs="Times New Roman"/>
        </w:rPr>
        <w:t xml:space="preserve">Ahora bien, la doctrina sentada por el Consejo de Transparencia y Buen Gobierno (Resolución 2024/2291 de 12 de noviembre de 2024) precisa que, aunque la interposición de una denuncia no implica automáticamente la incoación de un procedimiento, el interés público de la información solicitada por el denunciante -con independencia de que se le reconozca o no la condición de interesado en el procedimiento- radica en fiscalizar cómo la Administración adopta decisiones sobre potestades regladas, en particular en </w:t>
      </w:r>
      <w:r>
        <w:rPr>
          <w:rFonts w:ascii="Times New Roman" w:eastAsia="Times New Roman" w:hAnsi="Times New Roman" w:cs="Times New Roman"/>
        </w:rPr>
        <w:t>lo relativo a las decisiones de archivar una denuncia o iniciar un procedimiento.</w:t>
      </w:r>
    </w:p>
    <w:p w14:paraId="3F6C3132" w14:textId="77777777" w:rsidR="00F63C9E" w:rsidRDefault="00B05B1D">
      <w:pPr>
        <w:spacing w:after="229" w:line="249" w:lineRule="auto"/>
        <w:ind w:left="796" w:hanging="10"/>
        <w:jc w:val="both"/>
      </w:pPr>
      <w:r>
        <w:rPr>
          <w:rFonts w:ascii="Times New Roman" w:eastAsia="Times New Roman" w:hAnsi="Times New Roman" w:cs="Times New Roman"/>
        </w:rPr>
        <w:t xml:space="preserve">En aplicación de esta doctrina mediante la Resolución 1186/2026, de 25 de febrero (en respuesta a la solicitud de 27 de enero de 2026, expediente 01244-2026/00016) se dio conocimiento al denunciante de la actuación de esta Administración en relación con los hechos denunciados, los motivos de dicha actuación y el resultado de la misma, posibilitando con ello el control de la actuación pública; se le dio trasladado tanto la ratio </w:t>
      </w:r>
      <w:proofErr w:type="spellStart"/>
      <w:r>
        <w:rPr>
          <w:rFonts w:ascii="Times New Roman" w:eastAsia="Times New Roman" w:hAnsi="Times New Roman" w:cs="Times New Roman"/>
        </w:rPr>
        <w:t>decidendi</w:t>
      </w:r>
      <w:proofErr w:type="spellEnd"/>
      <w:r>
        <w:rPr>
          <w:rFonts w:ascii="Times New Roman" w:eastAsia="Times New Roman" w:hAnsi="Times New Roman" w:cs="Times New Roman"/>
        </w:rPr>
        <w:t xml:space="preserve"> (la falta de evidencias que pudieran aclarar ninguna de las circunstancias expuestas en su escrito presentado ante la Ertzaintza) como los elementos fácticos que sustentaron el archivo de las actuaciones, contenidos en la Resolución 897/2024.</w:t>
      </w:r>
    </w:p>
    <w:p w14:paraId="34A82F7E" w14:textId="77777777" w:rsidR="00F63C9E" w:rsidRDefault="00B05B1D">
      <w:pPr>
        <w:spacing w:after="229" w:line="249" w:lineRule="auto"/>
        <w:ind w:left="811" w:hanging="10"/>
        <w:jc w:val="both"/>
      </w:pPr>
      <w:r>
        <w:rPr>
          <w:rFonts w:ascii="Times New Roman" w:eastAsia="Times New Roman" w:hAnsi="Times New Roman" w:cs="Times New Roman"/>
        </w:rPr>
        <w:t>Como se ha indicado previamente, el 4-03-2026 presenta otra solicitud (expediente 01244-2026/00021) pidiendo información adicional a la facilitada mediante la anterior resolución, solicitud que ha sido inadmitida mediante la Resolución 1479/2026, de 17 de marzo, al considerar que tiene un carácter abusivo no justificado con la finalidad de transparencia de la ley, indicando que “</w:t>
      </w:r>
      <w:r>
        <w:rPr>
          <w:rFonts w:ascii="Times New Roman" w:eastAsia="Times New Roman" w:hAnsi="Times New Roman" w:cs="Times New Roman"/>
          <w:i/>
        </w:rPr>
        <w:t xml:space="preserve">El procedimiento de transparencia no constituye una vía impugnatoria ni una “segunda instancia" para rebatir decisiones administrativas. La discrepancia del solicitante respecto a las diligencias efectuadas en vía administrativa es una cuestión de legalidad ordinaria, ajena a la finalidad de control social y rendición de cuentas que inspira la normativa de transparencia. Admitir lo contrario desnaturalizaría el instituto </w:t>
      </w:r>
      <w:r>
        <w:rPr>
          <w:rFonts w:ascii="Times New Roman" w:eastAsia="Times New Roman" w:hAnsi="Times New Roman" w:cs="Times New Roman"/>
          <w:i/>
        </w:rPr>
        <w:lastRenderedPageBreak/>
        <w:t>del derecho de acceso, convirtiéndolo en un cauce impropio para el debate sustantivo sobre la eficacia de la actividad inspectora o sancionadora</w:t>
      </w:r>
      <w:r>
        <w:rPr>
          <w:rFonts w:ascii="Times New Roman" w:eastAsia="Times New Roman" w:hAnsi="Times New Roman" w:cs="Times New Roman"/>
        </w:rPr>
        <w:t>.”.</w:t>
      </w:r>
    </w:p>
    <w:p w14:paraId="3332D6EE" w14:textId="16FB71FB" w:rsidR="00F63C9E" w:rsidRDefault="00B05B1D">
      <w:pPr>
        <w:spacing w:after="229" w:line="249" w:lineRule="auto"/>
        <w:ind w:left="796" w:hanging="10"/>
        <w:jc w:val="both"/>
      </w:pPr>
      <w:r>
        <w:rPr>
          <w:rFonts w:ascii="Times New Roman" w:eastAsia="Times New Roman" w:hAnsi="Times New Roman" w:cs="Times New Roman"/>
        </w:rPr>
        <w:t xml:space="preserve">Efectuadas estas precisiones, en la presente solicitud </w:t>
      </w:r>
      <w:r w:rsidR="00AD0AA8" w:rsidRPr="00AD0AA8">
        <w:rPr>
          <w:rFonts w:ascii="Times New Roman" w:eastAsia="Times New Roman" w:hAnsi="Times New Roman" w:cs="Times New Roman"/>
          <w:highlight w:val="black"/>
        </w:rPr>
        <w:t>XXXXX</w:t>
      </w:r>
      <w:r>
        <w:rPr>
          <w:rFonts w:ascii="Times New Roman" w:eastAsia="Times New Roman" w:hAnsi="Times New Roman" w:cs="Times New Roman"/>
        </w:rPr>
        <w:t xml:space="preserve"> reitera una de las solicitudes deducidas en su petición de 4 de marzo, la relativa a que “se informe si se realizó requerimiento formal a la Ertzaintza para la identificación del vehículo y de la respuesta al requerimiento”.</w:t>
      </w:r>
    </w:p>
    <w:p w14:paraId="406C405A" w14:textId="77777777" w:rsidR="00F63C9E" w:rsidRDefault="00B05B1D">
      <w:pPr>
        <w:spacing w:after="270" w:line="249" w:lineRule="auto"/>
        <w:ind w:left="796" w:hanging="10"/>
        <w:jc w:val="both"/>
      </w:pPr>
      <w:r>
        <w:rPr>
          <w:rFonts w:ascii="Times New Roman" w:eastAsia="Times New Roman" w:hAnsi="Times New Roman" w:cs="Times New Roman"/>
        </w:rPr>
        <w:t>Debe traerse a colación nueva mente la Resolución R/78/2018 del Consejo de Transparencia y Buen Gobierno de 30 de abril de 2018 que analiza el carácter abusivo de una solicitud como causa de inadmisión, exponiendo:</w:t>
      </w:r>
    </w:p>
    <w:p w14:paraId="13ED9903" w14:textId="77777777" w:rsidR="00F63C9E" w:rsidRDefault="00B05B1D">
      <w:pPr>
        <w:spacing w:after="229" w:line="249" w:lineRule="auto"/>
        <w:ind w:left="1080" w:hanging="10"/>
        <w:jc w:val="both"/>
      </w:pPr>
      <w:r>
        <w:rPr>
          <w:rFonts w:ascii="Segoe UI" w:eastAsia="Segoe UI" w:hAnsi="Segoe UI" w:cs="Segoe UI"/>
        </w:rPr>
        <w:t>«</w:t>
      </w:r>
      <w:r>
        <w:rPr>
          <w:rFonts w:ascii="Times New Roman" w:eastAsia="Times New Roman" w:hAnsi="Times New Roman" w:cs="Times New Roman"/>
          <w:i/>
        </w:rPr>
        <w:t>El ejercicio abusivo de un derecho ha sido analizado por reiterada jurisprudencia (por todas, se destaca la Sentencia de 1 de febrero de 2006 (</w:t>
      </w:r>
      <w:proofErr w:type="spellStart"/>
      <w:r>
        <w:rPr>
          <w:rFonts w:ascii="Times New Roman" w:eastAsia="Times New Roman" w:hAnsi="Times New Roman" w:cs="Times New Roman"/>
          <w:i/>
        </w:rPr>
        <w:t>rec.</w:t>
      </w:r>
      <w:proofErr w:type="spellEnd"/>
      <w:r>
        <w:rPr>
          <w:rFonts w:ascii="Times New Roman" w:eastAsia="Times New Roman" w:hAnsi="Times New Roman" w:cs="Times New Roman"/>
          <w:i/>
        </w:rPr>
        <w:t xml:space="preserve"> núm. 1820/2000). Esta doctrina jurisprudencial se basa en la existencia de unos límites impuestos al ejercicio de los derechos, límites de orden moral, teleológico y social.</w:t>
      </w:r>
    </w:p>
    <w:p w14:paraId="1D13B32D" w14:textId="77777777" w:rsidR="00F63C9E" w:rsidRDefault="00B05B1D">
      <w:pPr>
        <w:spacing w:after="229" w:line="249" w:lineRule="auto"/>
        <w:ind w:left="1080" w:hanging="10"/>
        <w:jc w:val="both"/>
      </w:pPr>
      <w:r>
        <w:rPr>
          <w:rFonts w:ascii="Times New Roman" w:eastAsia="Times New Roman" w:hAnsi="Times New Roman" w:cs="Times New Roman"/>
          <w:i/>
        </w:rPr>
        <w:t>Se trata de una institución de equidad que, para poder ser apreciada, exige la verificación de que la conducta valorada cumple los siguientes requisitos:</w:t>
      </w:r>
    </w:p>
    <w:p w14:paraId="17CD89D6" w14:textId="77777777" w:rsidR="00F63C9E" w:rsidRDefault="00B05B1D">
      <w:pPr>
        <w:spacing w:after="229" w:line="249" w:lineRule="auto"/>
        <w:ind w:left="1080" w:hanging="10"/>
        <w:jc w:val="both"/>
      </w:pPr>
      <w:r>
        <w:rPr>
          <w:rFonts w:ascii="Times New Roman" w:eastAsia="Times New Roman" w:hAnsi="Times New Roman" w:cs="Times New Roman"/>
          <w:i/>
        </w:rPr>
        <w:t xml:space="preserve">(1) Aparentemente es </w:t>
      </w:r>
      <w:proofErr w:type="gramStart"/>
      <w:r>
        <w:rPr>
          <w:rFonts w:ascii="Times New Roman" w:eastAsia="Times New Roman" w:hAnsi="Times New Roman" w:cs="Times New Roman"/>
          <w:i/>
        </w:rPr>
        <w:t>correcta</w:t>
      </w:r>
      <w:proofErr w:type="gramEnd"/>
      <w:r>
        <w:rPr>
          <w:rFonts w:ascii="Times New Roman" w:eastAsia="Times New Roman" w:hAnsi="Times New Roman" w:cs="Times New Roman"/>
          <w:i/>
        </w:rPr>
        <w:t xml:space="preserve"> pero representa, en realidad, una extralimitación a la que la ley no concede protección alguna; y (2) Genera unos efectos negativos, normalmente daños y perjuicios.</w:t>
      </w:r>
    </w:p>
    <w:p w14:paraId="432D8AF8" w14:textId="77777777" w:rsidR="00F63C9E" w:rsidRDefault="00B05B1D">
      <w:pPr>
        <w:spacing w:after="229" w:line="249" w:lineRule="auto"/>
        <w:ind w:left="1080" w:hanging="10"/>
        <w:jc w:val="both"/>
      </w:pPr>
      <w:r>
        <w:rPr>
          <w:rFonts w:ascii="Times New Roman" w:eastAsia="Times New Roman" w:hAnsi="Times New Roman" w:cs="Times New Roman"/>
          <w:i/>
        </w:rPr>
        <w:t>Además, de la base fáctica debe resultar patente (a) una circunstancia subjetiva de ausencia de finalidad seria y legítima (voluntad de perjudicar o ausencia de interés legítimo); y (b) una circunstancia objetiva de exceso en el ejercicio del derecho (anormalidad en el ejercicio del derecho).</w:t>
      </w:r>
    </w:p>
    <w:p w14:paraId="453916B9" w14:textId="77777777" w:rsidR="00F63C9E" w:rsidRDefault="00B05B1D">
      <w:pPr>
        <w:spacing w:after="229" w:line="249" w:lineRule="auto"/>
        <w:ind w:left="1080" w:hanging="10"/>
        <w:jc w:val="both"/>
      </w:pPr>
      <w:r>
        <w:rPr>
          <w:rFonts w:ascii="Times New Roman" w:eastAsia="Times New Roman" w:hAnsi="Times New Roman" w:cs="Times New Roman"/>
          <w:i/>
        </w:rPr>
        <w:t>Aplicada esta doctrina al derecho de acceso a la información, este Consejo de Transparencia y Buen Gobierno, en ejercicio de las competencias legalmente atribuidas por el art. 38.2 a), aprobó el criterio interpretativo 3/2016, que se pronuncia en los siguientes términos:</w:t>
      </w:r>
    </w:p>
    <w:p w14:paraId="3A298DC0" w14:textId="77777777" w:rsidR="00F63C9E" w:rsidRDefault="00B05B1D">
      <w:pPr>
        <w:spacing w:after="229" w:line="249" w:lineRule="auto"/>
        <w:ind w:left="1080" w:hanging="10"/>
        <w:jc w:val="both"/>
      </w:pPr>
      <w:r>
        <w:rPr>
          <w:rFonts w:ascii="Times New Roman" w:eastAsia="Times New Roman" w:hAnsi="Times New Roman" w:cs="Times New Roman"/>
          <w:i/>
        </w:rPr>
        <w:t>2.2. Respecto del carácter abusivo de la petición de información.</w:t>
      </w:r>
    </w:p>
    <w:p w14:paraId="672FD0B8" w14:textId="77777777" w:rsidR="00F63C9E" w:rsidRDefault="00B05B1D">
      <w:pPr>
        <w:spacing w:after="229" w:line="249" w:lineRule="auto"/>
        <w:ind w:left="1080" w:hanging="10"/>
        <w:jc w:val="both"/>
      </w:pPr>
      <w:r>
        <w:rPr>
          <w:rFonts w:ascii="Times New Roman" w:eastAsia="Times New Roman" w:hAnsi="Times New Roman" w:cs="Times New Roman"/>
          <w:i/>
        </w:rPr>
        <w:t>El artículo 18.1. e) de la LTAIBG asocia el carácter abusivo de la solicitud a la condición de que la petición “no esté justificada con la finalidad de la Ley”.</w:t>
      </w:r>
    </w:p>
    <w:p w14:paraId="3067181C" w14:textId="77777777" w:rsidR="00F63C9E" w:rsidRDefault="00B05B1D">
      <w:pPr>
        <w:spacing w:after="229" w:line="249" w:lineRule="auto"/>
        <w:ind w:left="1080" w:hanging="10"/>
        <w:jc w:val="both"/>
      </w:pPr>
      <w:r>
        <w:rPr>
          <w:rFonts w:ascii="Times New Roman" w:eastAsia="Times New Roman" w:hAnsi="Times New Roman" w:cs="Times New Roman"/>
          <w:i/>
        </w:rPr>
        <w:t>De este modo hay dos elementos esenciales para la aplicación de esta causa de inadmisión:</w:t>
      </w:r>
    </w:p>
    <w:p w14:paraId="7E14A7E9" w14:textId="77777777" w:rsidR="00F63C9E" w:rsidRDefault="00B05B1D">
      <w:pPr>
        <w:numPr>
          <w:ilvl w:val="0"/>
          <w:numId w:val="5"/>
        </w:numPr>
        <w:spacing w:after="229" w:line="249" w:lineRule="auto"/>
        <w:ind w:hanging="10"/>
        <w:jc w:val="both"/>
      </w:pPr>
      <w:r>
        <w:rPr>
          <w:rFonts w:ascii="Times New Roman" w:eastAsia="Times New Roman" w:hAnsi="Times New Roman" w:cs="Times New Roman"/>
          <w:i/>
        </w:rPr>
        <w:t>Que el ejercicio del derecho sea abusivo cualitativamente, no en sentido cuantitativo: el hecho de que una misma persona presente un número determinado de solicitudes no determina necesariamente un ejercicio abusivo del derecho, y</w:t>
      </w:r>
    </w:p>
    <w:p w14:paraId="797A8941" w14:textId="77777777" w:rsidR="00F63C9E" w:rsidRDefault="00B05B1D">
      <w:pPr>
        <w:numPr>
          <w:ilvl w:val="0"/>
          <w:numId w:val="5"/>
        </w:numPr>
        <w:spacing w:after="229" w:line="249" w:lineRule="auto"/>
        <w:ind w:hanging="10"/>
        <w:jc w:val="both"/>
      </w:pPr>
      <w:r>
        <w:rPr>
          <w:rFonts w:ascii="Times New Roman" w:eastAsia="Times New Roman" w:hAnsi="Times New Roman" w:cs="Times New Roman"/>
          <w:i/>
        </w:rPr>
        <w:t>Que el ejercicio del derecho pueda considerarse excesivo, es decir, cuando no llegue a conjugarse con la finalidad de la Ley.</w:t>
      </w:r>
    </w:p>
    <w:p w14:paraId="6CF08D4E" w14:textId="77777777" w:rsidR="00F63C9E" w:rsidRDefault="00B05B1D">
      <w:pPr>
        <w:spacing w:after="229" w:line="249" w:lineRule="auto"/>
        <w:ind w:left="1080" w:hanging="10"/>
        <w:jc w:val="both"/>
      </w:pPr>
      <w:r>
        <w:rPr>
          <w:rFonts w:ascii="Times New Roman" w:eastAsia="Times New Roman" w:hAnsi="Times New Roman" w:cs="Times New Roman"/>
          <w:i/>
        </w:rPr>
        <w:t>1. Así, una solicitud puede entenderse ABUSIVA cuando se encuentre en alguno de los supuestos o se den alguno de los elementos que se mencionan a continuación:</w:t>
      </w:r>
    </w:p>
    <w:p w14:paraId="6369CB91" w14:textId="77777777" w:rsidR="00F63C9E" w:rsidRDefault="00B05B1D">
      <w:pPr>
        <w:numPr>
          <w:ilvl w:val="0"/>
          <w:numId w:val="6"/>
        </w:numPr>
        <w:spacing w:after="229" w:line="249" w:lineRule="auto"/>
        <w:ind w:hanging="128"/>
        <w:jc w:val="both"/>
      </w:pPr>
      <w:r>
        <w:rPr>
          <w:rFonts w:ascii="Times New Roman" w:eastAsia="Times New Roman" w:hAnsi="Times New Roman" w:cs="Times New Roman"/>
          <w:i/>
        </w:rPr>
        <w:t xml:space="preserve">Con carácter general, en aquellos casos en que pueda considerase incluida en el concepto de abuso de derecho recogido en el artículo 7.2 del Código Civil y avalado por la jurisprudencia, esto es: </w:t>
      </w:r>
      <w:r>
        <w:rPr>
          <w:rFonts w:ascii="Times New Roman" w:eastAsia="Times New Roman" w:hAnsi="Times New Roman" w:cs="Times New Roman"/>
          <w:i/>
        </w:rPr>
        <w:lastRenderedPageBreak/>
        <w:t xml:space="preserve">“Todo acto u omisión </w:t>
      </w:r>
      <w:proofErr w:type="gramStart"/>
      <w:r>
        <w:rPr>
          <w:rFonts w:ascii="Times New Roman" w:eastAsia="Times New Roman" w:hAnsi="Times New Roman" w:cs="Times New Roman"/>
          <w:i/>
        </w:rPr>
        <w:t>que</w:t>
      </w:r>
      <w:proofErr w:type="gramEnd"/>
      <w:r>
        <w:rPr>
          <w:rFonts w:ascii="Times New Roman" w:eastAsia="Times New Roman" w:hAnsi="Times New Roman" w:cs="Times New Roman"/>
          <w:i/>
        </w:rPr>
        <w:t xml:space="preserve"> por la intención de su autor, por su objeto o por las circunstancias en que se realice sobrepase manifiestamente los límites normales del ejercicio de un derecho”.</w:t>
      </w:r>
    </w:p>
    <w:p w14:paraId="6CB3589C" w14:textId="77777777" w:rsidR="00F63C9E" w:rsidRDefault="00B05B1D">
      <w:pPr>
        <w:numPr>
          <w:ilvl w:val="0"/>
          <w:numId w:val="6"/>
        </w:numPr>
        <w:spacing w:after="229" w:line="249" w:lineRule="auto"/>
        <w:ind w:hanging="128"/>
        <w:jc w:val="both"/>
      </w:pPr>
      <w:r>
        <w:rPr>
          <w:rFonts w:ascii="Times New Roman" w:eastAsia="Times New Roman" w:hAnsi="Times New Roman" w:cs="Times New Roman"/>
          <w:i/>
        </w:rPr>
        <w:t>Cuando, de ser atendida, requiriera un tratamiento que obligara a paralizar el resto de la gestión de los sujetos obligados a suministrar la información, impidiendo la atención justa y equitativa de su trabajo y el servicio público que tienen encomendado, y así resulte de acuerdo con una ponderación razonada y basada en indicadores objetivos</w:t>
      </w:r>
    </w:p>
    <w:p w14:paraId="375B37D5" w14:textId="77777777" w:rsidR="00F63C9E" w:rsidRDefault="00B05B1D">
      <w:pPr>
        <w:numPr>
          <w:ilvl w:val="0"/>
          <w:numId w:val="6"/>
        </w:numPr>
        <w:spacing w:after="229" w:line="249" w:lineRule="auto"/>
        <w:ind w:hanging="128"/>
        <w:jc w:val="both"/>
      </w:pPr>
      <w:r>
        <w:rPr>
          <w:rFonts w:ascii="Times New Roman" w:eastAsia="Times New Roman" w:hAnsi="Times New Roman" w:cs="Times New Roman"/>
          <w:i/>
        </w:rPr>
        <w:t>Cuando suponga un riesgo para los derechos de terceros.</w:t>
      </w:r>
    </w:p>
    <w:p w14:paraId="4179B43B" w14:textId="77777777" w:rsidR="00F63C9E" w:rsidRDefault="00B05B1D">
      <w:pPr>
        <w:numPr>
          <w:ilvl w:val="0"/>
          <w:numId w:val="6"/>
        </w:numPr>
        <w:spacing w:after="229" w:line="249" w:lineRule="auto"/>
        <w:ind w:hanging="128"/>
        <w:jc w:val="both"/>
      </w:pPr>
      <w:r>
        <w:rPr>
          <w:rFonts w:ascii="Times New Roman" w:eastAsia="Times New Roman" w:hAnsi="Times New Roman" w:cs="Times New Roman"/>
          <w:i/>
        </w:rPr>
        <w:t>Cuando sea contraria a las normas, las costumbres o la buena fe.</w:t>
      </w:r>
    </w:p>
    <w:p w14:paraId="75040AB4" w14:textId="77777777" w:rsidR="00F63C9E" w:rsidRDefault="00B05B1D">
      <w:pPr>
        <w:spacing w:after="229" w:line="249" w:lineRule="auto"/>
        <w:ind w:left="1080" w:hanging="10"/>
        <w:jc w:val="both"/>
      </w:pPr>
      <w:r>
        <w:rPr>
          <w:rFonts w:ascii="Times New Roman" w:eastAsia="Times New Roman" w:hAnsi="Times New Roman" w:cs="Times New Roman"/>
          <w:i/>
        </w:rPr>
        <w:t>2. Se considerará que la solicitud está JUSTIFICADA CON LA FINALIDAD DE LA LEY cuando se fundamenta en el interés legítimo de:</w:t>
      </w:r>
    </w:p>
    <w:p w14:paraId="371BA256" w14:textId="77777777" w:rsidR="00F63C9E" w:rsidRDefault="00B05B1D">
      <w:pPr>
        <w:numPr>
          <w:ilvl w:val="0"/>
          <w:numId w:val="7"/>
        </w:numPr>
        <w:spacing w:after="229" w:line="249" w:lineRule="auto"/>
        <w:ind w:hanging="128"/>
        <w:jc w:val="both"/>
      </w:pPr>
      <w:r>
        <w:rPr>
          <w:rFonts w:ascii="Times New Roman" w:eastAsia="Times New Roman" w:hAnsi="Times New Roman" w:cs="Times New Roman"/>
          <w:i/>
        </w:rPr>
        <w:t>Someter a escrutinio la acción de los responsables públicos</w:t>
      </w:r>
    </w:p>
    <w:p w14:paraId="3A2F9C54" w14:textId="77777777" w:rsidR="00F63C9E" w:rsidRDefault="00B05B1D">
      <w:pPr>
        <w:numPr>
          <w:ilvl w:val="0"/>
          <w:numId w:val="7"/>
        </w:numPr>
        <w:spacing w:after="229" w:line="249" w:lineRule="auto"/>
        <w:ind w:hanging="128"/>
        <w:jc w:val="both"/>
      </w:pPr>
      <w:r>
        <w:rPr>
          <w:rFonts w:ascii="Times New Roman" w:eastAsia="Times New Roman" w:hAnsi="Times New Roman" w:cs="Times New Roman"/>
          <w:i/>
        </w:rPr>
        <w:t>Conocer cómo se toman las decisiones públicas</w:t>
      </w:r>
    </w:p>
    <w:p w14:paraId="4F8D093F" w14:textId="77777777" w:rsidR="00F63C9E" w:rsidRDefault="00B05B1D">
      <w:pPr>
        <w:numPr>
          <w:ilvl w:val="0"/>
          <w:numId w:val="7"/>
        </w:numPr>
        <w:spacing w:after="229" w:line="249" w:lineRule="auto"/>
        <w:ind w:hanging="128"/>
        <w:jc w:val="both"/>
      </w:pPr>
      <w:r>
        <w:rPr>
          <w:rFonts w:ascii="Times New Roman" w:eastAsia="Times New Roman" w:hAnsi="Times New Roman" w:cs="Times New Roman"/>
          <w:i/>
        </w:rPr>
        <w:t>Conocer cómo se manejan los fondos públicos</w:t>
      </w:r>
    </w:p>
    <w:p w14:paraId="70A8A1B5" w14:textId="77777777" w:rsidR="00F63C9E" w:rsidRDefault="00B05B1D">
      <w:pPr>
        <w:numPr>
          <w:ilvl w:val="0"/>
          <w:numId w:val="7"/>
        </w:numPr>
        <w:spacing w:after="229" w:line="249" w:lineRule="auto"/>
        <w:ind w:hanging="128"/>
        <w:jc w:val="both"/>
      </w:pPr>
      <w:r>
        <w:rPr>
          <w:rFonts w:ascii="Times New Roman" w:eastAsia="Times New Roman" w:hAnsi="Times New Roman" w:cs="Times New Roman"/>
          <w:i/>
        </w:rPr>
        <w:t>Conocer bajo qué criterios actúan las instituciones públicas</w:t>
      </w:r>
    </w:p>
    <w:p w14:paraId="10508535" w14:textId="77777777" w:rsidR="00F63C9E" w:rsidRDefault="00B05B1D">
      <w:pPr>
        <w:spacing w:after="229" w:line="249" w:lineRule="auto"/>
        <w:ind w:left="1080" w:hanging="10"/>
        <w:jc w:val="both"/>
      </w:pPr>
      <w:r>
        <w:rPr>
          <w:rFonts w:ascii="Times New Roman" w:eastAsia="Times New Roman" w:hAnsi="Times New Roman" w:cs="Times New Roman"/>
          <w:i/>
        </w:rPr>
        <w:t>Consecuentemente, NO ESTARÁ JUSTIFICADA CON LA FINALIDAD DE LA LEY cuando:</w:t>
      </w:r>
    </w:p>
    <w:p w14:paraId="7C12FDD2" w14:textId="77777777" w:rsidR="00F63C9E" w:rsidRDefault="00B05B1D">
      <w:pPr>
        <w:numPr>
          <w:ilvl w:val="0"/>
          <w:numId w:val="7"/>
        </w:numPr>
        <w:spacing w:after="229" w:line="249" w:lineRule="auto"/>
        <w:ind w:hanging="128"/>
        <w:jc w:val="both"/>
      </w:pPr>
      <w:r>
        <w:rPr>
          <w:rFonts w:ascii="Times New Roman" w:eastAsia="Times New Roman" w:hAnsi="Times New Roman" w:cs="Times New Roman"/>
          <w:i/>
        </w:rPr>
        <w:t>No pueda ser reconducida a ninguna de las finalidades señaladas con anterioridad y así resulte de acuerdo con una ponderación razonada y basada en indicadores objetivos.</w:t>
      </w:r>
    </w:p>
    <w:p w14:paraId="7FA04AA2" w14:textId="77777777" w:rsidR="00F63C9E" w:rsidRDefault="00B05B1D">
      <w:pPr>
        <w:numPr>
          <w:ilvl w:val="0"/>
          <w:numId w:val="7"/>
        </w:numPr>
        <w:spacing w:after="229" w:line="249" w:lineRule="auto"/>
        <w:ind w:hanging="128"/>
        <w:jc w:val="both"/>
      </w:pPr>
      <w:r>
        <w:rPr>
          <w:rFonts w:ascii="Times New Roman" w:eastAsia="Times New Roman" w:hAnsi="Times New Roman" w:cs="Times New Roman"/>
          <w:i/>
        </w:rPr>
        <w:t>Cuando tenga por finalidad patente y manifiesta obtener información que carezca de la consideración de información pública de acuerdo con la definición del artículo 13 de la LTAIBG.</w:t>
      </w:r>
    </w:p>
    <w:p w14:paraId="435C380A" w14:textId="77777777" w:rsidR="00F63C9E" w:rsidRDefault="00B05B1D">
      <w:pPr>
        <w:numPr>
          <w:ilvl w:val="0"/>
          <w:numId w:val="7"/>
        </w:numPr>
        <w:spacing w:after="229" w:line="249" w:lineRule="auto"/>
        <w:ind w:hanging="128"/>
        <w:jc w:val="both"/>
      </w:pPr>
      <w:r>
        <w:rPr>
          <w:rFonts w:ascii="Times New Roman" w:eastAsia="Times New Roman" w:hAnsi="Times New Roman" w:cs="Times New Roman"/>
          <w:i/>
        </w:rPr>
        <w:t>Cuando tenga como objeto o posible consecuencia la comisión de un ilícito civil o penal o una falta administrativa.</w:t>
      </w:r>
    </w:p>
    <w:p w14:paraId="43DEB5F8" w14:textId="77777777" w:rsidR="00F63C9E" w:rsidRDefault="00B05B1D">
      <w:pPr>
        <w:spacing w:after="229" w:line="249" w:lineRule="auto"/>
        <w:ind w:left="1080" w:hanging="10"/>
        <w:jc w:val="both"/>
      </w:pPr>
      <w:r>
        <w:rPr>
          <w:rFonts w:ascii="Times New Roman" w:eastAsia="Times New Roman" w:hAnsi="Times New Roman" w:cs="Times New Roman"/>
          <w:i/>
        </w:rPr>
        <w:t xml:space="preserve">4 </w:t>
      </w:r>
      <w:proofErr w:type="gramStart"/>
      <w:r>
        <w:rPr>
          <w:rFonts w:ascii="Times New Roman" w:eastAsia="Times New Roman" w:hAnsi="Times New Roman" w:cs="Times New Roman"/>
          <w:i/>
        </w:rPr>
        <w:t>Por</w:t>
      </w:r>
      <w:proofErr w:type="gramEnd"/>
      <w:r>
        <w:rPr>
          <w:rFonts w:ascii="Times New Roman" w:eastAsia="Times New Roman" w:hAnsi="Times New Roman" w:cs="Times New Roman"/>
          <w:i/>
        </w:rPr>
        <w:t xml:space="preserve"> otro lado debe señalarse que el artículo 7 del Código Civil dispone que:</w:t>
      </w:r>
    </w:p>
    <w:p w14:paraId="51F7B8DE" w14:textId="77777777" w:rsidR="00F63C9E" w:rsidRDefault="00B05B1D">
      <w:pPr>
        <w:numPr>
          <w:ilvl w:val="0"/>
          <w:numId w:val="8"/>
        </w:numPr>
        <w:spacing w:after="229" w:line="249" w:lineRule="auto"/>
        <w:ind w:hanging="10"/>
        <w:jc w:val="both"/>
      </w:pPr>
      <w:r>
        <w:rPr>
          <w:rFonts w:ascii="Times New Roman" w:eastAsia="Times New Roman" w:hAnsi="Times New Roman" w:cs="Times New Roman"/>
          <w:i/>
        </w:rPr>
        <w:t>Los derechos deberán ejercitarse conforme a las exigencias de la buena fe. La ley no ampara el abuso del derecho o el ejercicio antisocial del mismo. Todo acto u omisión que:</w:t>
      </w:r>
    </w:p>
    <w:p w14:paraId="277C0B52" w14:textId="77777777" w:rsidR="00F63C9E" w:rsidRDefault="00B05B1D">
      <w:pPr>
        <w:spacing w:after="0" w:line="464" w:lineRule="auto"/>
        <w:ind w:left="1080" w:right="5977" w:hanging="10"/>
        <w:jc w:val="both"/>
      </w:pPr>
      <w:r>
        <w:rPr>
          <w:rFonts w:ascii="Times New Roman" w:eastAsia="Times New Roman" w:hAnsi="Times New Roman" w:cs="Times New Roman"/>
          <w:i/>
        </w:rPr>
        <w:t>por la intención de su autor, por su objeto o</w:t>
      </w:r>
    </w:p>
    <w:p w14:paraId="5CCB0721" w14:textId="77777777" w:rsidR="00F63C9E" w:rsidRDefault="00B05B1D">
      <w:pPr>
        <w:spacing w:after="229" w:line="249" w:lineRule="auto"/>
        <w:ind w:left="1080" w:hanging="10"/>
        <w:jc w:val="both"/>
      </w:pPr>
      <w:r>
        <w:rPr>
          <w:rFonts w:ascii="Times New Roman" w:eastAsia="Times New Roman" w:hAnsi="Times New Roman" w:cs="Times New Roman"/>
          <w:i/>
        </w:rPr>
        <w:t>por las circunstancias en que se realice, sobrepase manifiestamente los límites normales del ejercicio de un derecho, con daño para tercero, dará lugar ...a la adopción de las medidas ...administrativas que impidan la persistencia en el abuso.</w:t>
      </w:r>
    </w:p>
    <w:p w14:paraId="73DD5B9F" w14:textId="77777777" w:rsidR="00F63C9E" w:rsidRDefault="00B05B1D">
      <w:pPr>
        <w:spacing w:after="229" w:line="249" w:lineRule="auto"/>
        <w:ind w:left="1080" w:hanging="10"/>
        <w:jc w:val="both"/>
      </w:pPr>
      <w:r>
        <w:rPr>
          <w:rFonts w:ascii="Times New Roman" w:eastAsia="Times New Roman" w:hAnsi="Times New Roman" w:cs="Times New Roman"/>
          <w:i/>
        </w:rPr>
        <w:t>Según numerosas sentencias (SS 14/2/86, 29/11/85, 7/5/93, 8/6/94, 21/9/87, 30/5/98,11/5/91, entre otras), el abuso de derecho:</w:t>
      </w:r>
    </w:p>
    <w:p w14:paraId="0E10CC6A" w14:textId="77777777" w:rsidR="00F63C9E" w:rsidRDefault="00B05B1D">
      <w:pPr>
        <w:numPr>
          <w:ilvl w:val="0"/>
          <w:numId w:val="8"/>
        </w:numPr>
        <w:spacing w:after="229" w:line="249" w:lineRule="auto"/>
        <w:ind w:hanging="10"/>
        <w:jc w:val="both"/>
      </w:pPr>
      <w:r>
        <w:rPr>
          <w:rFonts w:ascii="Times New Roman" w:eastAsia="Times New Roman" w:hAnsi="Times New Roman" w:cs="Times New Roman"/>
          <w:i/>
        </w:rPr>
        <w:t xml:space="preserve">presupone carencia de buena fe. La buena o mala fe es un concepto jurídico que se apoya en la valoración de conductas deducidas de unos hechos. Para la apreciación de la buena fe (ésta, según </w:t>
      </w:r>
      <w:r>
        <w:rPr>
          <w:rFonts w:ascii="Times New Roman" w:eastAsia="Times New Roman" w:hAnsi="Times New Roman" w:cs="Times New Roman"/>
          <w:i/>
        </w:rPr>
        <w:lastRenderedPageBreak/>
        <w:t>doctrina se presume) o mala fe (que debe acreditarse) hay que tener en cuenta hechos y circunstancias que aparezcan probados.</w:t>
      </w:r>
    </w:p>
    <w:p w14:paraId="357EB67B" w14:textId="77777777" w:rsidR="00F63C9E" w:rsidRDefault="00B05B1D">
      <w:pPr>
        <w:numPr>
          <w:ilvl w:val="0"/>
          <w:numId w:val="8"/>
        </w:numPr>
        <w:spacing w:after="229" w:line="249" w:lineRule="auto"/>
        <w:ind w:hanging="10"/>
        <w:jc w:val="both"/>
      </w:pPr>
      <w:r>
        <w:rPr>
          <w:rFonts w:ascii="Times New Roman" w:eastAsia="Times New Roman" w:hAnsi="Times New Roman" w:cs="Times New Roman"/>
          <w:i/>
        </w:rPr>
        <w:t>impone la exigencia de una conducta ética en el ejercicio de los derechos. El abuso de derecho procede cuando el derecho se ejercita con intención decidida de causar daño a otro o utilizándolo de modo anormal. Su apreciación exige que la base fáctica ponga de manifiesto las circunstancias objetivas (anormalidad en el ejercicio) y las subjetivas (ausencia de interés legítimo o voluntad de perjudicar).</w:t>
      </w:r>
    </w:p>
    <w:p w14:paraId="592B5A75" w14:textId="77777777" w:rsidR="00F63C9E" w:rsidRDefault="00B05B1D">
      <w:pPr>
        <w:numPr>
          <w:ilvl w:val="0"/>
          <w:numId w:val="8"/>
        </w:numPr>
        <w:spacing w:after="229" w:line="249" w:lineRule="auto"/>
        <w:ind w:hanging="10"/>
        <w:jc w:val="both"/>
      </w:pPr>
      <w:r>
        <w:rPr>
          <w:rFonts w:ascii="Times New Roman" w:eastAsia="Times New Roman" w:hAnsi="Times New Roman" w:cs="Times New Roman"/>
          <w:i/>
        </w:rPr>
        <w:t>El abuso viene determinado por la circunstancia subjetiva de ausencia de finalidad seria y legítima y la objetiva de exceso en el ejercicio del derecho.</w:t>
      </w:r>
    </w:p>
    <w:p w14:paraId="6F3A292C" w14:textId="77777777" w:rsidR="00F63C9E" w:rsidRDefault="00B05B1D">
      <w:pPr>
        <w:spacing w:after="229" w:line="249" w:lineRule="auto"/>
        <w:ind w:left="1080" w:hanging="10"/>
        <w:jc w:val="both"/>
      </w:pPr>
      <w:r>
        <w:rPr>
          <w:rFonts w:ascii="Times New Roman" w:eastAsia="Times New Roman" w:hAnsi="Times New Roman" w:cs="Times New Roman"/>
          <w:i/>
        </w:rPr>
        <w:t>Una interpretación del derecho de acceso a la información pública regulado en la Ley 19/2013 que implique un ejercicio excesivo e indiscriminado del mismo afectaría en sí mismo, perjudicándolo, el objeto y finalidad de la propia norma.</w:t>
      </w:r>
    </w:p>
    <w:p w14:paraId="254A61B1" w14:textId="77777777" w:rsidR="00F63C9E" w:rsidRDefault="00B05B1D">
      <w:pPr>
        <w:spacing w:after="229" w:line="249" w:lineRule="auto"/>
        <w:ind w:left="1080" w:hanging="10"/>
        <w:jc w:val="both"/>
      </w:pPr>
      <w:r>
        <w:rPr>
          <w:rFonts w:ascii="Times New Roman" w:eastAsia="Times New Roman" w:hAnsi="Times New Roman" w:cs="Times New Roman"/>
          <w:i/>
        </w:rPr>
        <w:t>A este respecto, deben tenerse en cuenta los elementos de carácter subjetivo y objetivo para evaluar la finalidad que motiva la presentación por el interesado de la reclamación objeto de esta resolución</w:t>
      </w:r>
      <w:r>
        <w:rPr>
          <w:rFonts w:ascii="Times New Roman" w:eastAsia="Times New Roman" w:hAnsi="Times New Roman" w:cs="Times New Roman"/>
        </w:rPr>
        <w:t>.</w:t>
      </w:r>
      <w:r>
        <w:rPr>
          <w:rFonts w:ascii="Segoe UI" w:eastAsia="Segoe UI" w:hAnsi="Segoe UI" w:cs="Segoe UI"/>
        </w:rPr>
        <w:t>»</w:t>
      </w:r>
    </w:p>
    <w:p w14:paraId="31927B93" w14:textId="77777777" w:rsidR="00F63C9E" w:rsidRDefault="00B05B1D">
      <w:pPr>
        <w:spacing w:after="229" w:line="249" w:lineRule="auto"/>
        <w:ind w:left="796" w:hanging="10"/>
        <w:jc w:val="both"/>
      </w:pPr>
      <w:r>
        <w:rPr>
          <w:rFonts w:ascii="Times New Roman" w:eastAsia="Times New Roman" w:hAnsi="Times New Roman" w:cs="Times New Roman"/>
        </w:rPr>
        <w:t>En el presente caso, se aprecia que la solicitud incurre en la causa de inadmisión prevista en la letra e) del artículo 18, de acuerdo con la doctrina anteriormente expuesta.</w:t>
      </w:r>
    </w:p>
    <w:p w14:paraId="5B9B79B0" w14:textId="77777777" w:rsidR="00F63C9E" w:rsidRDefault="00B05B1D">
      <w:pPr>
        <w:spacing w:after="229" w:line="249" w:lineRule="auto"/>
        <w:ind w:left="796" w:hanging="10"/>
        <w:jc w:val="both"/>
      </w:pPr>
      <w:r>
        <w:rPr>
          <w:rFonts w:ascii="Times New Roman" w:eastAsia="Times New Roman" w:hAnsi="Times New Roman" w:cs="Times New Roman"/>
        </w:rPr>
        <w:t>El derecho de acceso a la información pública tiene como finalidad esencial garantizar que la ciudadanía pueda conocer el funcionamiento de la Administración, las decisiones que adopta y el uso de los recursos públicos, permitiendo así evaluar la actuación de los poderes públicos y reforzar la transparencia.</w:t>
      </w:r>
    </w:p>
    <w:p w14:paraId="7698331F" w14:textId="77777777" w:rsidR="00F63C9E" w:rsidRDefault="00B05B1D">
      <w:pPr>
        <w:spacing w:after="229" w:line="249" w:lineRule="auto"/>
        <w:ind w:left="796" w:hanging="10"/>
        <w:jc w:val="both"/>
      </w:pPr>
      <w:r>
        <w:rPr>
          <w:rFonts w:ascii="Times New Roman" w:eastAsia="Times New Roman" w:hAnsi="Times New Roman" w:cs="Times New Roman"/>
        </w:rPr>
        <w:t>Sin embargo, la pretensión actual no se orienta a la obtención de información pública en los términos previstos en el artículo 18 de la Norma Foral 1/2017. Antes bien, la solicitud -además de reiterativa- presenta un carácter abusivo, al no estar justificada por la finalidad de transparencia que inspira la norma.</w:t>
      </w:r>
    </w:p>
    <w:p w14:paraId="47EE1277" w14:textId="1CECB1A5" w:rsidR="00F63C9E" w:rsidRDefault="00B05B1D">
      <w:pPr>
        <w:spacing w:after="229" w:line="249" w:lineRule="auto"/>
        <w:ind w:left="796" w:hanging="10"/>
        <w:jc w:val="both"/>
      </w:pPr>
      <w:r>
        <w:rPr>
          <w:rFonts w:ascii="Times New Roman" w:eastAsia="Times New Roman" w:hAnsi="Times New Roman" w:cs="Times New Roman"/>
        </w:rPr>
        <w:t xml:space="preserve">Tal y como ya se indicó en la Resolución 1479/2026, de 17 de marzo (expediente de información pública 01244-2026/00021), la disconformidad de </w:t>
      </w:r>
      <w:r w:rsidR="00AD0AA8" w:rsidRPr="00AD0AA8">
        <w:rPr>
          <w:rFonts w:ascii="Times New Roman" w:eastAsia="Times New Roman" w:hAnsi="Times New Roman" w:cs="Times New Roman"/>
          <w:highlight w:val="black"/>
        </w:rPr>
        <w:t>XXXXX</w:t>
      </w:r>
      <w:r>
        <w:rPr>
          <w:rFonts w:ascii="Times New Roman" w:eastAsia="Times New Roman" w:hAnsi="Times New Roman" w:cs="Times New Roman"/>
        </w:rPr>
        <w:t xml:space="preserve"> con las actuaciones administrativas derivadas de la denuncia presentada en septiembre de 2022 constituye una cuestión ajena al ámbito del derecho de acceso a la información pública.</w:t>
      </w:r>
    </w:p>
    <w:p w14:paraId="13472FC8" w14:textId="77777777" w:rsidR="00F63C9E" w:rsidRDefault="00B05B1D">
      <w:pPr>
        <w:spacing w:after="229" w:line="249" w:lineRule="auto"/>
        <w:ind w:left="796" w:hanging="10"/>
        <w:jc w:val="both"/>
      </w:pPr>
      <w:r>
        <w:rPr>
          <w:rFonts w:ascii="Times New Roman" w:eastAsia="Times New Roman" w:hAnsi="Times New Roman" w:cs="Times New Roman"/>
        </w:rPr>
        <w:t>Asimismo, procede reiterar que el derecho de acceso a la información pública, en relación con las actuaciones administrativas ejercitadas a consecuencia de la mencionada denuncia, ya ha sido debidamente atendido y plenamente satisfecho a través el acceso concedido mediante la Resolución 1186/2026, de 25 de febrero.</w:t>
      </w:r>
    </w:p>
    <w:p w14:paraId="2D00C940" w14:textId="77777777" w:rsidR="00F63C9E" w:rsidRDefault="00B05B1D">
      <w:pPr>
        <w:spacing w:after="229" w:line="249" w:lineRule="auto"/>
        <w:ind w:left="796" w:hanging="10"/>
        <w:jc w:val="both"/>
      </w:pPr>
      <w:r>
        <w:rPr>
          <w:rFonts w:ascii="Times New Roman" w:eastAsia="Times New Roman" w:hAnsi="Times New Roman" w:cs="Times New Roman"/>
        </w:rPr>
        <w:t>Cuanto antecede lleva a concluir que concurre en el presente caso la causa de inadmisión referida en el apartado e) al ser repetitiva y tener un carácter abusivo no justificado con la finalidad de transparencia de la ley.</w:t>
      </w:r>
    </w:p>
    <w:p w14:paraId="12355B91" w14:textId="77777777" w:rsidR="00F63C9E" w:rsidRDefault="00B05B1D">
      <w:pPr>
        <w:spacing w:after="229" w:line="249" w:lineRule="auto"/>
        <w:ind w:left="796" w:hanging="10"/>
        <w:jc w:val="both"/>
      </w:pPr>
      <w:r>
        <w:rPr>
          <w:rFonts w:ascii="Times New Roman" w:eastAsia="Times New Roman" w:hAnsi="Times New Roman" w:cs="Times New Roman"/>
        </w:rPr>
        <w:t>En su virtud, haciendo uso de las competencias que me han sido otorgadas por la Orden Foral 432/2025, de 17 de diciembre, por la que se delega en la persona titular de la Dirección de Agricultura la competencia para resolver las solicitudes de acceso a la información pública previstas en la Norma Foral 1/2017, de 8 febrero, de transparencia, participación ciudadana y buen gobierno del sector público del Territorio Histórico de Álava.</w:t>
      </w:r>
    </w:p>
    <w:p w14:paraId="24068FD0" w14:textId="77777777" w:rsidR="00F63C9E" w:rsidRDefault="00B05B1D">
      <w:pPr>
        <w:spacing w:after="458"/>
        <w:ind w:left="801"/>
        <w:jc w:val="center"/>
      </w:pPr>
      <w:r>
        <w:rPr>
          <w:rFonts w:ascii="Times New Roman" w:eastAsia="Times New Roman" w:hAnsi="Times New Roman" w:cs="Times New Roman"/>
          <w:b/>
        </w:rPr>
        <w:lastRenderedPageBreak/>
        <w:t>RESUELVO</w:t>
      </w:r>
    </w:p>
    <w:p w14:paraId="2AC7D2A4" w14:textId="55A18011" w:rsidR="00F63C9E" w:rsidRDefault="00B05B1D">
      <w:pPr>
        <w:spacing w:after="229" w:line="249" w:lineRule="auto"/>
        <w:ind w:left="796" w:hanging="10"/>
        <w:jc w:val="both"/>
      </w:pPr>
      <w:proofErr w:type="gramStart"/>
      <w:r>
        <w:rPr>
          <w:rFonts w:ascii="Times New Roman" w:eastAsia="Times New Roman" w:hAnsi="Times New Roman" w:cs="Times New Roman"/>
          <w:b/>
        </w:rPr>
        <w:t>Primero</w:t>
      </w:r>
      <w:r>
        <w:rPr>
          <w:rFonts w:ascii="Times New Roman" w:eastAsia="Times New Roman" w:hAnsi="Times New Roman" w:cs="Times New Roman"/>
        </w:rPr>
        <w:t>.-</w:t>
      </w:r>
      <w:proofErr w:type="gramEnd"/>
      <w:r>
        <w:rPr>
          <w:rFonts w:ascii="Times New Roman" w:eastAsia="Times New Roman" w:hAnsi="Times New Roman" w:cs="Times New Roman"/>
        </w:rPr>
        <w:t xml:space="preserve"> Inadmitir la solicitud de acceso a la información pública presentada por </w:t>
      </w:r>
      <w:r w:rsidR="00AD0AA8" w:rsidRPr="00AD0AA8">
        <w:rPr>
          <w:rFonts w:ascii="Times New Roman" w:eastAsia="Times New Roman" w:hAnsi="Times New Roman" w:cs="Times New Roman"/>
          <w:highlight w:val="black"/>
        </w:rPr>
        <w:t>XXXXX</w:t>
      </w:r>
      <w:r>
        <w:rPr>
          <w:rFonts w:ascii="Times New Roman" w:eastAsia="Times New Roman" w:hAnsi="Times New Roman" w:cs="Times New Roman"/>
        </w:rPr>
        <w:t xml:space="preserve"> con fecha 20 de mayo de 2026.</w:t>
      </w:r>
    </w:p>
    <w:p w14:paraId="4EE89A45" w14:textId="77777777" w:rsidR="00F63C9E" w:rsidRDefault="00B05B1D">
      <w:pPr>
        <w:spacing w:after="229" w:line="249" w:lineRule="auto"/>
        <w:ind w:left="796" w:hanging="10"/>
        <w:jc w:val="both"/>
      </w:pPr>
      <w:proofErr w:type="gramStart"/>
      <w:r>
        <w:rPr>
          <w:rFonts w:ascii="Times New Roman" w:eastAsia="Times New Roman" w:hAnsi="Times New Roman" w:cs="Times New Roman"/>
          <w:b/>
        </w:rPr>
        <w:t>Segundo</w:t>
      </w:r>
      <w:r>
        <w:rPr>
          <w:rFonts w:ascii="Times New Roman" w:eastAsia="Times New Roman" w:hAnsi="Times New Roman" w:cs="Times New Roman"/>
        </w:rPr>
        <w:t>.-</w:t>
      </w:r>
      <w:proofErr w:type="gramEnd"/>
      <w:r>
        <w:rPr>
          <w:rFonts w:ascii="Times New Roman" w:eastAsia="Times New Roman" w:hAnsi="Times New Roman" w:cs="Times New Roman"/>
        </w:rPr>
        <w:t xml:space="preserve"> Contra la presente resolución, que pone fin a la vía administrativa, podrá interponerse recurso contencioso-administrativo ante la Sección de lo Contencioso-Administrativo del Tribunal de Instancia de Vitoria-Gasteiz en el plazo de dos meses o, previa y potestativamente, reclamación ante el Consejo foral de Transparencia y Buen Gobierno en el plazo de un mes; en ambos casos, el plazo se contará desde el día siguiente al de la notificación de la presente resolución.</w:t>
      </w:r>
    </w:p>
    <w:p w14:paraId="4C7327DA" w14:textId="77777777" w:rsidR="00F63C9E" w:rsidRDefault="00B05B1D">
      <w:pPr>
        <w:spacing w:after="1534" w:line="249" w:lineRule="auto"/>
        <w:ind w:left="796" w:hanging="10"/>
        <w:jc w:val="both"/>
      </w:pPr>
      <w:r>
        <w:rPr>
          <w:rFonts w:ascii="Times New Roman" w:eastAsia="Times New Roman" w:hAnsi="Times New Roman" w:cs="Times New Roman"/>
        </w:rPr>
        <w:t>Vitoria-Gasteiz.</w:t>
      </w:r>
    </w:p>
    <w:p w14:paraId="78CCA76A" w14:textId="77777777" w:rsidR="00F63C9E" w:rsidRDefault="00B05B1D">
      <w:pPr>
        <w:pStyle w:val="Ttulo1"/>
        <w:ind w:left="866"/>
      </w:pPr>
      <w:r>
        <w:t>David Fernández Sarabia</w:t>
      </w:r>
    </w:p>
    <w:p w14:paraId="5E3F89D0" w14:textId="77777777" w:rsidR="00F63C9E" w:rsidRDefault="00B05B1D">
      <w:pPr>
        <w:spacing w:after="10" w:line="249" w:lineRule="auto"/>
        <w:ind w:left="881" w:hanging="10"/>
        <w:jc w:val="both"/>
      </w:pPr>
      <w:proofErr w:type="spellStart"/>
      <w:r>
        <w:rPr>
          <w:rFonts w:ascii="Times New Roman" w:eastAsia="Times New Roman" w:hAnsi="Times New Roman" w:cs="Times New Roman"/>
        </w:rPr>
        <w:t>Nekazaritza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zuzendaria</w:t>
      </w:r>
      <w:proofErr w:type="spellEnd"/>
    </w:p>
    <w:p w14:paraId="4696D797" w14:textId="65A4BB43" w:rsidR="00F63C9E" w:rsidRDefault="00B05B1D">
      <w:pPr>
        <w:spacing w:after="6326" w:line="249" w:lineRule="auto"/>
        <w:ind w:left="881" w:hanging="10"/>
        <w:jc w:val="both"/>
      </w:pPr>
      <w:r>
        <w:rPr>
          <w:rFonts w:ascii="Times New Roman" w:eastAsia="Times New Roman" w:hAnsi="Times New Roman" w:cs="Times New Roman"/>
        </w:rPr>
        <w:t>Director de Agricultura</w:t>
      </w:r>
    </w:p>
    <w:sectPr w:rsidR="00F63C9E">
      <w:headerReference w:type="even" r:id="rId12"/>
      <w:headerReference w:type="default" r:id="rId13"/>
      <w:footerReference w:type="even" r:id="rId14"/>
      <w:footerReference w:type="default" r:id="rId15"/>
      <w:headerReference w:type="first" r:id="rId16"/>
      <w:footerReference w:type="first" r:id="rId17"/>
      <w:pgSz w:w="11907" w:h="16840"/>
      <w:pgMar w:top="2888" w:right="1134" w:bottom="167" w:left="900" w:header="127" w:footer="56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B98BE" w14:textId="77777777" w:rsidR="00B05B1D" w:rsidRDefault="00B05B1D">
      <w:pPr>
        <w:spacing w:after="0" w:line="240" w:lineRule="auto"/>
      </w:pPr>
      <w:r>
        <w:separator/>
      </w:r>
    </w:p>
  </w:endnote>
  <w:endnote w:type="continuationSeparator" w:id="0">
    <w:p w14:paraId="6974CB8C" w14:textId="77777777" w:rsidR="00B05B1D" w:rsidRDefault="00B05B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81AA0" w14:textId="77777777" w:rsidR="00F63C9E" w:rsidRDefault="00B05B1D">
    <w:pPr>
      <w:spacing w:after="0"/>
      <w:ind w:right="73"/>
      <w:jc w:val="right"/>
    </w:pPr>
    <w:r>
      <w:fldChar w:fldCharType="begin"/>
    </w:r>
    <w:r>
      <w:instrText xml:space="preserve"> PAGE   \* MERGEFORMAT </w:instrText>
    </w:r>
    <w:r>
      <w:fldChar w:fldCharType="separate"/>
    </w:r>
    <w:r>
      <w:rPr>
        <w:rFonts w:ascii="Times New Roman" w:eastAsia="Times New Roman" w:hAnsi="Times New Roman" w:cs="Times New Roman"/>
        <w:sz w:val="20"/>
      </w:rPr>
      <w:t>2</w:t>
    </w:r>
    <w:r>
      <w:rPr>
        <w:rFonts w:ascii="Times New Roman" w:eastAsia="Times New Roman" w:hAnsi="Times New Roman" w:cs="Times New Roman"/>
        <w:sz w:val="20"/>
      </w:rPr>
      <w:fldChar w:fldCharType="end"/>
    </w:r>
    <w:r>
      <w:rPr>
        <w:rFonts w:ascii="Times New Roman" w:eastAsia="Times New Roman" w:hAnsi="Times New Roman" w:cs="Times New Roman"/>
        <w:sz w:val="20"/>
      </w:rPr>
      <w:t>/7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7EA21" w14:textId="77777777" w:rsidR="00F63C9E" w:rsidRDefault="00B05B1D">
    <w:pPr>
      <w:spacing w:after="0"/>
      <w:ind w:right="-211"/>
      <w:jc w:val="right"/>
    </w:pPr>
    <w:r>
      <w:fldChar w:fldCharType="begin"/>
    </w:r>
    <w:r>
      <w:instrText xml:space="preserve"> PAGE   \* MERGEFORMAT </w:instrText>
    </w:r>
    <w:r>
      <w:fldChar w:fldCharType="separate"/>
    </w:r>
    <w:r>
      <w:rPr>
        <w:rFonts w:ascii="Times New Roman" w:eastAsia="Times New Roman" w:hAnsi="Times New Roman" w:cs="Times New Roman"/>
        <w:sz w:val="20"/>
      </w:rPr>
      <w:t>2</w:t>
    </w:r>
    <w:r>
      <w:rPr>
        <w:rFonts w:ascii="Times New Roman" w:eastAsia="Times New Roman" w:hAnsi="Times New Roman" w:cs="Times New Roman"/>
        <w:sz w:val="20"/>
      </w:rPr>
      <w:fldChar w:fldCharType="end"/>
    </w:r>
    <w:r>
      <w:rPr>
        <w:rFonts w:ascii="Times New Roman" w:eastAsia="Times New Roman" w:hAnsi="Times New Roman" w:cs="Times New Roman"/>
        <w:sz w:val="20"/>
      </w:rPr>
      <w:t>/7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EBDBA" w14:textId="77777777" w:rsidR="00F63C9E" w:rsidRDefault="00B05B1D">
    <w:pPr>
      <w:spacing w:after="0"/>
      <w:ind w:right="-211"/>
      <w:jc w:val="right"/>
    </w:pPr>
    <w:r>
      <w:fldChar w:fldCharType="begin"/>
    </w:r>
    <w:r>
      <w:instrText xml:space="preserve"> PAGE   \* MERGEFORMAT </w:instrText>
    </w:r>
    <w:r>
      <w:fldChar w:fldCharType="separate"/>
    </w:r>
    <w:r>
      <w:rPr>
        <w:rFonts w:ascii="Times New Roman" w:eastAsia="Times New Roman" w:hAnsi="Times New Roman" w:cs="Times New Roman"/>
        <w:sz w:val="20"/>
      </w:rPr>
      <w:t>2</w:t>
    </w:r>
    <w:r>
      <w:rPr>
        <w:rFonts w:ascii="Times New Roman" w:eastAsia="Times New Roman" w:hAnsi="Times New Roman" w:cs="Times New Roman"/>
        <w:sz w:val="20"/>
      </w:rPr>
      <w:fldChar w:fldCharType="end"/>
    </w:r>
    <w:r>
      <w:rPr>
        <w:rFonts w:ascii="Times New Roman" w:eastAsia="Times New Roman" w:hAnsi="Times New Roman" w:cs="Times New Roman"/>
        <w:sz w:val="20"/>
      </w:rPr>
      <w:t>/7</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E2794" w14:textId="77777777" w:rsidR="00F63C9E" w:rsidRDefault="00B05B1D">
    <w:pPr>
      <w:spacing w:after="0"/>
      <w:ind w:right="-211"/>
      <w:jc w:val="right"/>
    </w:pPr>
    <w:r>
      <w:fldChar w:fldCharType="begin"/>
    </w:r>
    <w:r>
      <w:instrText xml:space="preserve"> PAGE   \* MERGEFORMAT </w:instrText>
    </w:r>
    <w:r>
      <w:fldChar w:fldCharType="separate"/>
    </w:r>
    <w:r>
      <w:rPr>
        <w:rFonts w:ascii="Times New Roman" w:eastAsia="Times New Roman" w:hAnsi="Times New Roman" w:cs="Times New Roman"/>
        <w:sz w:val="20"/>
      </w:rPr>
      <w:t>2</w:t>
    </w:r>
    <w:r>
      <w:rPr>
        <w:rFonts w:ascii="Times New Roman" w:eastAsia="Times New Roman" w:hAnsi="Times New Roman" w:cs="Times New Roman"/>
        <w:sz w:val="20"/>
      </w:rPr>
      <w:fldChar w:fldCharType="end"/>
    </w:r>
    <w:r>
      <w:rPr>
        <w:rFonts w:ascii="Times New Roman" w:eastAsia="Times New Roman" w:hAnsi="Times New Roman" w:cs="Times New Roman"/>
        <w:sz w:val="20"/>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7C68A" w14:textId="77777777" w:rsidR="00B05B1D" w:rsidRDefault="00B05B1D">
      <w:pPr>
        <w:spacing w:after="0" w:line="240" w:lineRule="auto"/>
      </w:pPr>
      <w:r>
        <w:separator/>
      </w:r>
    </w:p>
  </w:footnote>
  <w:footnote w:type="continuationSeparator" w:id="0">
    <w:p w14:paraId="38B708B1" w14:textId="77777777" w:rsidR="00B05B1D" w:rsidRDefault="00B05B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CD2BC" w14:textId="77777777" w:rsidR="00F63C9E" w:rsidRDefault="00B05B1D">
    <w:pPr>
      <w:spacing w:after="0"/>
      <w:ind w:right="-522"/>
      <w:jc w:val="right"/>
    </w:pPr>
    <w:r>
      <w:rPr>
        <w:noProof/>
      </w:rPr>
      <mc:AlternateContent>
        <mc:Choice Requires="wpg">
          <w:drawing>
            <wp:anchor distT="0" distB="0" distL="114300" distR="114300" simplePos="0" relativeHeight="251658240" behindDoc="0" locked="0" layoutInCell="1" allowOverlap="1" wp14:anchorId="35C886BA" wp14:editId="68E55BF1">
              <wp:simplePos x="0" y="0"/>
              <wp:positionH relativeFrom="page">
                <wp:posOffset>1124585</wp:posOffset>
              </wp:positionH>
              <wp:positionV relativeFrom="page">
                <wp:posOffset>540385</wp:posOffset>
              </wp:positionV>
              <wp:extent cx="5761356" cy="428625"/>
              <wp:effectExtent l="0" t="0" r="0" b="0"/>
              <wp:wrapSquare wrapText="bothSides"/>
              <wp:docPr id="6087" name="Group 6087"/>
              <wp:cNvGraphicFramePr/>
              <a:graphic xmlns:a="http://schemas.openxmlformats.org/drawingml/2006/main">
                <a:graphicData uri="http://schemas.microsoft.com/office/word/2010/wordprocessingGroup">
                  <wpg:wgp>
                    <wpg:cNvGrpSpPr/>
                    <wpg:grpSpPr>
                      <a:xfrm>
                        <a:off x="0" y="0"/>
                        <a:ext cx="5761356" cy="428625"/>
                        <a:chOff x="0" y="0"/>
                        <a:chExt cx="5761356" cy="428625"/>
                      </a:xfrm>
                    </wpg:grpSpPr>
                    <wps:wsp>
                      <wps:cNvPr id="6088" name="Shape 6088"/>
                      <wps:cNvSpPr/>
                      <wps:spPr>
                        <a:xfrm>
                          <a:off x="0" y="217805"/>
                          <a:ext cx="2448560" cy="0"/>
                        </a:xfrm>
                        <a:custGeom>
                          <a:avLst/>
                          <a:gdLst/>
                          <a:ahLst/>
                          <a:cxnLst/>
                          <a:rect l="0" t="0" r="0" b="0"/>
                          <a:pathLst>
                            <a:path w="2448560">
                              <a:moveTo>
                                <a:pt x="0" y="0"/>
                              </a:moveTo>
                              <a:lnTo>
                                <a:pt x="244856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6090" name="Shape 6090"/>
                      <wps:cNvSpPr/>
                      <wps:spPr>
                        <a:xfrm>
                          <a:off x="3312796" y="217805"/>
                          <a:ext cx="2448560" cy="0"/>
                        </a:xfrm>
                        <a:custGeom>
                          <a:avLst/>
                          <a:gdLst/>
                          <a:ahLst/>
                          <a:cxnLst/>
                          <a:rect l="0" t="0" r="0" b="0"/>
                          <a:pathLst>
                            <a:path w="2448560">
                              <a:moveTo>
                                <a:pt x="0" y="0"/>
                              </a:moveTo>
                              <a:lnTo>
                                <a:pt x="244856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6089" name="Picture 6089"/>
                        <pic:cNvPicPr/>
                      </pic:nvPicPr>
                      <pic:blipFill>
                        <a:blip r:embed="rId1"/>
                        <a:stretch>
                          <a:fillRect/>
                        </a:stretch>
                      </pic:blipFill>
                      <pic:spPr>
                        <a:xfrm>
                          <a:off x="2666365" y="0"/>
                          <a:ext cx="428625" cy="428625"/>
                        </a:xfrm>
                        <a:prstGeom prst="rect">
                          <a:avLst/>
                        </a:prstGeom>
                      </pic:spPr>
                    </pic:pic>
                  </wpg:wgp>
                </a:graphicData>
              </a:graphic>
            </wp:anchor>
          </w:drawing>
        </mc:Choice>
        <mc:Fallback xmlns:a="http://schemas.openxmlformats.org/drawingml/2006/main">
          <w:pict>
            <v:group id="Group 6087" style="width:453.65pt;height:33.75pt;position:absolute;mso-position-horizontal-relative:page;mso-position-horizontal:absolute;margin-left:88.55pt;mso-position-vertical-relative:page;margin-top:42.55pt;" coordsize="57613,4286">
              <v:shape id="Shape 6088" style="position:absolute;width:24485;height:0;left:0;top:2178;" coordsize="2448560,0" path="m0,0l2448560,0">
                <v:stroke weight="0.5pt" endcap="flat" joinstyle="miter" miterlimit="10" on="true" color="#000000"/>
                <v:fill on="false" color="#000000" opacity="0"/>
              </v:shape>
              <v:shape id="Shape 6090" style="position:absolute;width:24485;height:0;left:33127;top:2178;" coordsize="2448560,0" path="m0,0l2448560,0">
                <v:stroke weight="0.5pt" endcap="flat" joinstyle="miter" miterlimit="10" on="true" color="#000000"/>
                <v:fill on="false" color="#000000" opacity="0"/>
              </v:shape>
              <v:shape id="Picture 6089" style="position:absolute;width:4286;height:4286;left:26663;top:0;" filled="f">
                <v:imagedata r:id="rId18"/>
              </v:shape>
              <w10:wrap type="square"/>
            </v:group>
          </w:pict>
        </mc:Fallback>
      </mc:AlternateContent>
    </w:r>
    <w:proofErr w:type="spellStart"/>
    <w:r>
      <w:rPr>
        <w:rFonts w:ascii="Arial" w:eastAsia="Arial" w:hAnsi="Arial" w:cs="Arial"/>
        <w:sz w:val="10"/>
      </w:rPr>
      <w:t>Jakinaraz</w:t>
    </w:r>
    <w:proofErr w:type="spellEnd"/>
    <w:r>
      <w:rPr>
        <w:rFonts w:ascii="Arial" w:eastAsia="Arial" w:hAnsi="Arial" w:cs="Arial"/>
        <w:sz w:val="10"/>
      </w:rPr>
      <w:t xml:space="preserve">. </w:t>
    </w:r>
    <w:proofErr w:type="spellStart"/>
    <w:r>
      <w:rPr>
        <w:rFonts w:ascii="Arial" w:eastAsia="Arial" w:hAnsi="Arial" w:cs="Arial"/>
        <w:sz w:val="10"/>
      </w:rPr>
      <w:t>zkia</w:t>
    </w:r>
    <w:proofErr w:type="spellEnd"/>
    <w:r>
      <w:rPr>
        <w:rFonts w:ascii="Arial" w:eastAsia="Arial" w:hAnsi="Arial" w:cs="Arial"/>
        <w:sz w:val="10"/>
      </w:rPr>
      <w:t xml:space="preserve">. / </w:t>
    </w:r>
    <w:proofErr w:type="spellStart"/>
    <w:r>
      <w:rPr>
        <w:rFonts w:ascii="Arial" w:eastAsia="Arial" w:hAnsi="Arial" w:cs="Arial"/>
        <w:sz w:val="10"/>
      </w:rPr>
      <w:t>Num</w:t>
    </w:r>
    <w:proofErr w:type="spellEnd"/>
    <w:r>
      <w:rPr>
        <w:rFonts w:ascii="Arial" w:eastAsia="Arial" w:hAnsi="Arial" w:cs="Arial"/>
        <w:sz w:val="10"/>
      </w:rPr>
      <w:t>. Notif.: 20260300274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A7DBA" w14:textId="654DE0D6" w:rsidR="00F63C9E" w:rsidRDefault="00AD0AA8">
    <w:pPr>
      <w:spacing w:after="0"/>
      <w:ind w:right="-522"/>
      <w:jc w:val="right"/>
    </w:pPr>
    <w:r>
      <w:rPr>
        <w:noProof/>
      </w:rPr>
      <mc:AlternateContent>
        <mc:Choice Requires="wpg">
          <w:drawing>
            <wp:anchor distT="0" distB="0" distL="114300" distR="114300" simplePos="0" relativeHeight="251663360" behindDoc="0" locked="0" layoutInCell="1" allowOverlap="1" wp14:anchorId="77B7582B" wp14:editId="4FBE4F13">
              <wp:simplePos x="0" y="0"/>
              <wp:positionH relativeFrom="page">
                <wp:posOffset>448945</wp:posOffset>
              </wp:positionH>
              <wp:positionV relativeFrom="page">
                <wp:posOffset>271145</wp:posOffset>
              </wp:positionV>
              <wp:extent cx="5761356" cy="428625"/>
              <wp:effectExtent l="0" t="0" r="0" b="0"/>
              <wp:wrapSquare wrapText="bothSides"/>
              <wp:docPr id="2027494962" name="Group 6139"/>
              <wp:cNvGraphicFramePr/>
              <a:graphic xmlns:a="http://schemas.openxmlformats.org/drawingml/2006/main">
                <a:graphicData uri="http://schemas.microsoft.com/office/word/2010/wordprocessingGroup">
                  <wpg:wgp>
                    <wpg:cNvGrpSpPr/>
                    <wpg:grpSpPr>
                      <a:xfrm>
                        <a:off x="0" y="0"/>
                        <a:ext cx="5761356" cy="428625"/>
                        <a:chOff x="0" y="0"/>
                        <a:chExt cx="5761356" cy="428625"/>
                      </a:xfrm>
                    </wpg:grpSpPr>
                    <wps:wsp>
                      <wps:cNvPr id="134750161" name="Shape 6140"/>
                      <wps:cNvSpPr/>
                      <wps:spPr>
                        <a:xfrm>
                          <a:off x="0" y="217805"/>
                          <a:ext cx="2448560" cy="0"/>
                        </a:xfrm>
                        <a:custGeom>
                          <a:avLst/>
                          <a:gdLst/>
                          <a:ahLst/>
                          <a:cxnLst/>
                          <a:rect l="0" t="0" r="0" b="0"/>
                          <a:pathLst>
                            <a:path w="2448560">
                              <a:moveTo>
                                <a:pt x="0" y="0"/>
                              </a:moveTo>
                              <a:lnTo>
                                <a:pt x="2448560" y="0"/>
                              </a:lnTo>
                            </a:path>
                          </a:pathLst>
                        </a:custGeom>
                        <a:noFill/>
                        <a:ln w="6350" cap="flat" cmpd="sng" algn="ctr">
                          <a:solidFill>
                            <a:srgbClr val="000000"/>
                          </a:solidFill>
                          <a:prstDash val="solid"/>
                          <a:miter lim="127000"/>
                        </a:ln>
                        <a:effectLst/>
                      </wps:spPr>
                      <wps:bodyPr/>
                    </wps:wsp>
                    <wps:wsp>
                      <wps:cNvPr id="712906267" name="Shape 6142"/>
                      <wps:cNvSpPr/>
                      <wps:spPr>
                        <a:xfrm>
                          <a:off x="3312796" y="217805"/>
                          <a:ext cx="2448560" cy="0"/>
                        </a:xfrm>
                        <a:custGeom>
                          <a:avLst/>
                          <a:gdLst/>
                          <a:ahLst/>
                          <a:cxnLst/>
                          <a:rect l="0" t="0" r="0" b="0"/>
                          <a:pathLst>
                            <a:path w="2448560">
                              <a:moveTo>
                                <a:pt x="0" y="0"/>
                              </a:moveTo>
                              <a:lnTo>
                                <a:pt x="2448560" y="0"/>
                              </a:lnTo>
                            </a:path>
                          </a:pathLst>
                        </a:custGeom>
                        <a:noFill/>
                        <a:ln w="6350" cap="flat" cmpd="sng" algn="ctr">
                          <a:solidFill>
                            <a:srgbClr val="000000"/>
                          </a:solidFill>
                          <a:prstDash val="solid"/>
                          <a:miter lim="127000"/>
                        </a:ln>
                        <a:effectLst/>
                      </wps:spPr>
                      <wps:bodyPr/>
                    </wps:wsp>
                    <pic:pic xmlns:pic="http://schemas.openxmlformats.org/drawingml/2006/picture">
                      <pic:nvPicPr>
                        <pic:cNvPr id="185745214" name="Picture 6141"/>
                        <pic:cNvPicPr/>
                      </pic:nvPicPr>
                      <pic:blipFill>
                        <a:blip r:embed="rId1"/>
                        <a:stretch>
                          <a:fillRect/>
                        </a:stretch>
                      </pic:blipFill>
                      <pic:spPr>
                        <a:xfrm>
                          <a:off x="2666365" y="0"/>
                          <a:ext cx="428625" cy="428625"/>
                        </a:xfrm>
                        <a:prstGeom prst="rect">
                          <a:avLst/>
                        </a:prstGeom>
                      </pic:spPr>
                    </pic:pic>
                  </wpg:wgp>
                </a:graphicData>
              </a:graphic>
            </wp:anchor>
          </w:drawing>
        </mc:Choice>
        <mc:Fallback>
          <w:pict>
            <v:group w14:anchorId="1A66D247" id="Group 6139" o:spid="_x0000_s1026" style="position:absolute;margin-left:35.35pt;margin-top:21.35pt;width:453.65pt;height:33.75pt;z-index:251663360;mso-position-horizontal-relative:page;mso-position-vertical-relative:page" coordsize="57613,428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">
              <v:shape id="Shape 6140" o:spid="_x0000_s1027" style="position:absolute;top:2178;width:24485;height:0;visibility:visible;mso-wrap-style:square;v-text-anchor:top" coordsize="2448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" path="m,l2448560,e" filled="f" strokeweight=".5pt">
                <v:stroke miterlimit="83231f" joinstyle="miter"/>
                <v:path arrowok="t" textboxrect="0,0,2448560,0"/>
              </v:shape>
              <v:shape id="Shape 6142" o:spid="_x0000_s1028" style="position:absolute;left:33127;top:2178;width:24486;height:0;visibility:visible;mso-wrap-style:square;v-text-anchor:top" coordsize="2448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" path="m,l2448560,e" filled="f" strokeweight=".5pt">
                <v:stroke miterlimit="83231f" joinstyle="miter"/>
                <v:path arrowok="t" textboxrect="0,0,244856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141" o:spid="_x0000_s1029" type="#_x0000_t75" style="position:absolute;left:26663;width:4286;height:4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">
                <v:imagedata r:id="rId2" o:title=""/>
              </v:shape>
              <w10:wrap type="square"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B94AB" w14:textId="2F790D4D" w:rsidR="00F63C9E" w:rsidRDefault="00F63C9E">
    <w:pPr>
      <w:spacing w:after="0"/>
      <w:ind w:right="-522"/>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1F270" w14:textId="69B1BE97" w:rsidR="00F63C9E" w:rsidRDefault="00B05B1D">
    <w:pPr>
      <w:spacing w:after="0"/>
      <w:ind w:right="-807"/>
      <w:jc w:val="right"/>
    </w:pPr>
    <w:r>
      <w:rPr>
        <w:noProof/>
      </w:rPr>
      <mc:AlternateContent>
        <mc:Choice Requires="wpg">
          <w:drawing>
            <wp:anchor distT="0" distB="0" distL="114300" distR="114300" simplePos="0" relativeHeight="251659264" behindDoc="0" locked="0" layoutInCell="1" allowOverlap="1" wp14:anchorId="42052C9A" wp14:editId="5B8CFA0B">
              <wp:simplePos x="0" y="0"/>
              <wp:positionH relativeFrom="page">
                <wp:posOffset>1124585</wp:posOffset>
              </wp:positionH>
              <wp:positionV relativeFrom="page">
                <wp:posOffset>540385</wp:posOffset>
              </wp:positionV>
              <wp:extent cx="5761356" cy="428625"/>
              <wp:effectExtent l="0" t="0" r="0" b="0"/>
              <wp:wrapSquare wrapText="bothSides"/>
              <wp:docPr id="6139" name="Group 6139"/>
              <wp:cNvGraphicFramePr/>
              <a:graphic xmlns:a="http://schemas.openxmlformats.org/drawingml/2006/main">
                <a:graphicData uri="http://schemas.microsoft.com/office/word/2010/wordprocessingGroup">
                  <wpg:wgp>
                    <wpg:cNvGrpSpPr/>
                    <wpg:grpSpPr>
                      <a:xfrm>
                        <a:off x="0" y="0"/>
                        <a:ext cx="5761356" cy="428625"/>
                        <a:chOff x="0" y="0"/>
                        <a:chExt cx="5761356" cy="428625"/>
                      </a:xfrm>
                    </wpg:grpSpPr>
                    <wps:wsp>
                      <wps:cNvPr id="6140" name="Shape 6140"/>
                      <wps:cNvSpPr/>
                      <wps:spPr>
                        <a:xfrm>
                          <a:off x="0" y="217805"/>
                          <a:ext cx="2448560" cy="0"/>
                        </a:xfrm>
                        <a:custGeom>
                          <a:avLst/>
                          <a:gdLst/>
                          <a:ahLst/>
                          <a:cxnLst/>
                          <a:rect l="0" t="0" r="0" b="0"/>
                          <a:pathLst>
                            <a:path w="2448560">
                              <a:moveTo>
                                <a:pt x="0" y="0"/>
                              </a:moveTo>
                              <a:lnTo>
                                <a:pt x="244856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6142" name="Shape 6142"/>
                      <wps:cNvSpPr/>
                      <wps:spPr>
                        <a:xfrm>
                          <a:off x="3312796" y="217805"/>
                          <a:ext cx="2448560" cy="0"/>
                        </a:xfrm>
                        <a:custGeom>
                          <a:avLst/>
                          <a:gdLst/>
                          <a:ahLst/>
                          <a:cxnLst/>
                          <a:rect l="0" t="0" r="0" b="0"/>
                          <a:pathLst>
                            <a:path w="2448560">
                              <a:moveTo>
                                <a:pt x="0" y="0"/>
                              </a:moveTo>
                              <a:lnTo>
                                <a:pt x="244856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6141" name="Picture 6141"/>
                        <pic:cNvPicPr/>
                      </pic:nvPicPr>
                      <pic:blipFill>
                        <a:blip r:embed="rId1"/>
                        <a:stretch>
                          <a:fillRect/>
                        </a:stretch>
                      </pic:blipFill>
                      <pic:spPr>
                        <a:xfrm>
                          <a:off x="2666365" y="0"/>
                          <a:ext cx="428625" cy="428625"/>
                        </a:xfrm>
                        <a:prstGeom prst="rect">
                          <a:avLst/>
                        </a:prstGeom>
                      </pic:spPr>
                    </pic:pic>
                  </wpg:wgp>
                </a:graphicData>
              </a:graphic>
            </wp:anchor>
          </w:drawing>
        </mc:Choice>
        <mc:Fallback xmlns:a="http://schemas.openxmlformats.org/drawingml/2006/main">
          <w:pict>
            <v:group id="Group 6139" style="width:453.65pt;height:33.75pt;position:absolute;mso-position-horizontal-relative:page;mso-position-horizontal:absolute;margin-left:88.55pt;mso-position-vertical-relative:page;margin-top:42.55pt;" coordsize="57613,4286">
              <v:shape id="Shape 6140" style="position:absolute;width:24485;height:0;left:0;top:2178;" coordsize="2448560,0" path="m0,0l2448560,0">
                <v:stroke weight="0.5pt" endcap="flat" joinstyle="miter" miterlimit="10" on="true" color="#000000"/>
                <v:fill on="false" color="#000000" opacity="0"/>
              </v:shape>
              <v:shape id="Shape 6142" style="position:absolute;width:24485;height:0;left:33127;top:2178;" coordsize="2448560,0" path="m0,0l2448560,0">
                <v:stroke weight="0.5pt" endcap="flat" joinstyle="miter" miterlimit="10" on="true" color="#000000"/>
                <v:fill on="false" color="#000000" opacity="0"/>
              </v:shape>
              <v:shape id="Picture 6141" style="position:absolute;width:4286;height:4286;left:26663;top:0;" filled="f">
                <v:imagedata r:id="rId18"/>
              </v:shape>
              <w10:wrap type="squar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EEDE4" w14:textId="29F645F6" w:rsidR="00F63C9E" w:rsidRDefault="00B05B1D">
    <w:pPr>
      <w:spacing w:after="0"/>
      <w:ind w:right="-807"/>
      <w:jc w:val="right"/>
    </w:pPr>
    <w:r>
      <w:rPr>
        <w:noProof/>
      </w:rPr>
      <mc:AlternateContent>
        <mc:Choice Requires="wpg">
          <w:drawing>
            <wp:anchor distT="0" distB="0" distL="114300" distR="114300" simplePos="0" relativeHeight="251660288" behindDoc="0" locked="0" layoutInCell="1" allowOverlap="1" wp14:anchorId="4A6159A1" wp14:editId="13B842F8">
              <wp:simplePos x="0" y="0"/>
              <wp:positionH relativeFrom="page">
                <wp:posOffset>1124585</wp:posOffset>
              </wp:positionH>
              <wp:positionV relativeFrom="page">
                <wp:posOffset>540385</wp:posOffset>
              </wp:positionV>
              <wp:extent cx="5761356" cy="428625"/>
              <wp:effectExtent l="0" t="0" r="0" b="0"/>
              <wp:wrapSquare wrapText="bothSides"/>
              <wp:docPr id="6122" name="Group 6122"/>
              <wp:cNvGraphicFramePr/>
              <a:graphic xmlns:a="http://schemas.openxmlformats.org/drawingml/2006/main">
                <a:graphicData uri="http://schemas.microsoft.com/office/word/2010/wordprocessingGroup">
                  <wpg:wgp>
                    <wpg:cNvGrpSpPr/>
                    <wpg:grpSpPr>
                      <a:xfrm>
                        <a:off x="0" y="0"/>
                        <a:ext cx="5761356" cy="428625"/>
                        <a:chOff x="0" y="0"/>
                        <a:chExt cx="5761356" cy="428625"/>
                      </a:xfrm>
                    </wpg:grpSpPr>
                    <wps:wsp>
                      <wps:cNvPr id="6123" name="Shape 6123"/>
                      <wps:cNvSpPr/>
                      <wps:spPr>
                        <a:xfrm>
                          <a:off x="0" y="217805"/>
                          <a:ext cx="2448560" cy="0"/>
                        </a:xfrm>
                        <a:custGeom>
                          <a:avLst/>
                          <a:gdLst/>
                          <a:ahLst/>
                          <a:cxnLst/>
                          <a:rect l="0" t="0" r="0" b="0"/>
                          <a:pathLst>
                            <a:path w="2448560">
                              <a:moveTo>
                                <a:pt x="0" y="0"/>
                              </a:moveTo>
                              <a:lnTo>
                                <a:pt x="244856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6125" name="Shape 6125"/>
                      <wps:cNvSpPr/>
                      <wps:spPr>
                        <a:xfrm>
                          <a:off x="3312796" y="217805"/>
                          <a:ext cx="2448560" cy="0"/>
                        </a:xfrm>
                        <a:custGeom>
                          <a:avLst/>
                          <a:gdLst/>
                          <a:ahLst/>
                          <a:cxnLst/>
                          <a:rect l="0" t="0" r="0" b="0"/>
                          <a:pathLst>
                            <a:path w="2448560">
                              <a:moveTo>
                                <a:pt x="0" y="0"/>
                              </a:moveTo>
                              <a:lnTo>
                                <a:pt x="244856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6124" name="Picture 6124"/>
                        <pic:cNvPicPr/>
                      </pic:nvPicPr>
                      <pic:blipFill>
                        <a:blip r:embed="rId1"/>
                        <a:stretch>
                          <a:fillRect/>
                        </a:stretch>
                      </pic:blipFill>
                      <pic:spPr>
                        <a:xfrm>
                          <a:off x="2666365" y="0"/>
                          <a:ext cx="428625" cy="428625"/>
                        </a:xfrm>
                        <a:prstGeom prst="rect">
                          <a:avLst/>
                        </a:prstGeom>
                      </pic:spPr>
                    </pic:pic>
                  </wpg:wgp>
                </a:graphicData>
              </a:graphic>
            </wp:anchor>
          </w:drawing>
        </mc:Choice>
        <mc:Fallback xmlns:a="http://schemas.openxmlformats.org/drawingml/2006/main">
          <w:pict>
            <v:group id="Group 6122" style="width:453.65pt;height:33.75pt;position:absolute;mso-position-horizontal-relative:page;mso-position-horizontal:absolute;margin-left:88.55pt;mso-position-vertical-relative:page;margin-top:42.55pt;" coordsize="57613,4286">
              <v:shape id="Shape 6123" style="position:absolute;width:24485;height:0;left:0;top:2178;" coordsize="2448560,0" path="m0,0l2448560,0">
                <v:stroke weight="0.5pt" endcap="flat" joinstyle="miter" miterlimit="10" on="true" color="#000000"/>
                <v:fill on="false" color="#000000" opacity="0"/>
              </v:shape>
              <v:shape id="Shape 6125" style="position:absolute;width:24485;height:0;left:33127;top:2178;" coordsize="2448560,0" path="m0,0l2448560,0">
                <v:stroke weight="0.5pt" endcap="flat" joinstyle="miter" miterlimit="10" on="true" color="#000000"/>
                <v:fill on="false" color="#000000" opacity="0"/>
              </v:shape>
              <v:shape id="Picture 6124" style="position:absolute;width:4286;height:4286;left:26663;top:0;" filled="f">
                <v:imagedata r:id="rId18"/>
              </v:shape>
              <w10:wrap type="squar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C588E" w14:textId="77777777" w:rsidR="00F63C9E" w:rsidRDefault="00B05B1D">
    <w:pPr>
      <w:spacing w:after="0"/>
      <w:ind w:right="-807"/>
      <w:jc w:val="right"/>
    </w:pPr>
    <w:r>
      <w:rPr>
        <w:noProof/>
      </w:rPr>
      <mc:AlternateContent>
        <mc:Choice Requires="wpg">
          <w:drawing>
            <wp:anchor distT="0" distB="0" distL="114300" distR="114300" simplePos="0" relativeHeight="251661312" behindDoc="0" locked="0" layoutInCell="1" allowOverlap="1" wp14:anchorId="1EEDD087" wp14:editId="246599DF">
              <wp:simplePos x="0" y="0"/>
              <wp:positionH relativeFrom="page">
                <wp:posOffset>1124585</wp:posOffset>
              </wp:positionH>
              <wp:positionV relativeFrom="page">
                <wp:posOffset>540385</wp:posOffset>
              </wp:positionV>
              <wp:extent cx="5761356" cy="428625"/>
              <wp:effectExtent l="0" t="0" r="0" b="0"/>
              <wp:wrapSquare wrapText="bothSides"/>
              <wp:docPr id="6105" name="Group 6105"/>
              <wp:cNvGraphicFramePr/>
              <a:graphic xmlns:a="http://schemas.openxmlformats.org/drawingml/2006/main">
                <a:graphicData uri="http://schemas.microsoft.com/office/word/2010/wordprocessingGroup">
                  <wpg:wgp>
                    <wpg:cNvGrpSpPr/>
                    <wpg:grpSpPr>
                      <a:xfrm>
                        <a:off x="0" y="0"/>
                        <a:ext cx="5761356" cy="428625"/>
                        <a:chOff x="0" y="0"/>
                        <a:chExt cx="5761356" cy="428625"/>
                      </a:xfrm>
                    </wpg:grpSpPr>
                    <wps:wsp>
                      <wps:cNvPr id="6106" name="Shape 6106"/>
                      <wps:cNvSpPr/>
                      <wps:spPr>
                        <a:xfrm>
                          <a:off x="0" y="217805"/>
                          <a:ext cx="2448560" cy="0"/>
                        </a:xfrm>
                        <a:custGeom>
                          <a:avLst/>
                          <a:gdLst/>
                          <a:ahLst/>
                          <a:cxnLst/>
                          <a:rect l="0" t="0" r="0" b="0"/>
                          <a:pathLst>
                            <a:path w="2448560">
                              <a:moveTo>
                                <a:pt x="0" y="0"/>
                              </a:moveTo>
                              <a:lnTo>
                                <a:pt x="244856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s:wsp>
                      <wps:cNvPr id="6108" name="Shape 6108"/>
                      <wps:cNvSpPr/>
                      <wps:spPr>
                        <a:xfrm>
                          <a:off x="3312796" y="217805"/>
                          <a:ext cx="2448560" cy="0"/>
                        </a:xfrm>
                        <a:custGeom>
                          <a:avLst/>
                          <a:gdLst/>
                          <a:ahLst/>
                          <a:cxnLst/>
                          <a:rect l="0" t="0" r="0" b="0"/>
                          <a:pathLst>
                            <a:path w="2448560">
                              <a:moveTo>
                                <a:pt x="0" y="0"/>
                              </a:moveTo>
                              <a:lnTo>
                                <a:pt x="244856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6107" name="Picture 6107"/>
                        <pic:cNvPicPr/>
                      </pic:nvPicPr>
                      <pic:blipFill>
                        <a:blip r:embed="rId1"/>
                        <a:stretch>
                          <a:fillRect/>
                        </a:stretch>
                      </pic:blipFill>
                      <pic:spPr>
                        <a:xfrm>
                          <a:off x="2666365" y="0"/>
                          <a:ext cx="428625" cy="428625"/>
                        </a:xfrm>
                        <a:prstGeom prst="rect">
                          <a:avLst/>
                        </a:prstGeom>
                      </pic:spPr>
                    </pic:pic>
                  </wpg:wgp>
                </a:graphicData>
              </a:graphic>
            </wp:anchor>
          </w:drawing>
        </mc:Choice>
        <mc:Fallback xmlns:a="http://schemas.openxmlformats.org/drawingml/2006/main">
          <w:pict>
            <v:group id="Group 6105" style="width:453.65pt;height:33.75pt;position:absolute;mso-position-horizontal-relative:page;mso-position-horizontal:absolute;margin-left:88.55pt;mso-position-vertical-relative:page;margin-top:42.55pt;" coordsize="57613,4286">
              <v:shape id="Shape 6106" style="position:absolute;width:24485;height:0;left:0;top:2178;" coordsize="2448560,0" path="m0,0l2448560,0">
                <v:stroke weight="0.5pt" endcap="flat" joinstyle="miter" miterlimit="10" on="true" color="#000000"/>
                <v:fill on="false" color="#000000" opacity="0"/>
              </v:shape>
              <v:shape id="Shape 6108" style="position:absolute;width:24485;height:0;left:33127;top:2178;" coordsize="2448560,0" path="m0,0l2448560,0">
                <v:stroke weight="0.5pt" endcap="flat" joinstyle="miter" miterlimit="10" on="true" color="#000000"/>
                <v:fill on="false" color="#000000" opacity="0"/>
              </v:shape>
              <v:shape id="Picture 6107" style="position:absolute;width:4286;height:4286;left:26663;top:0;" filled="f">
                <v:imagedata r:id="rId18"/>
              </v:shape>
              <w10:wrap type="square"/>
            </v:group>
          </w:pict>
        </mc:Fallback>
      </mc:AlternateContent>
    </w:r>
    <w:proofErr w:type="spellStart"/>
    <w:r>
      <w:rPr>
        <w:rFonts w:ascii="Arial" w:eastAsia="Arial" w:hAnsi="Arial" w:cs="Arial"/>
        <w:sz w:val="10"/>
      </w:rPr>
      <w:t>Jakinaraz</w:t>
    </w:r>
    <w:proofErr w:type="spellEnd"/>
    <w:r>
      <w:rPr>
        <w:rFonts w:ascii="Arial" w:eastAsia="Arial" w:hAnsi="Arial" w:cs="Arial"/>
        <w:sz w:val="10"/>
      </w:rPr>
      <w:t xml:space="preserve">. </w:t>
    </w:r>
    <w:proofErr w:type="spellStart"/>
    <w:r>
      <w:rPr>
        <w:rFonts w:ascii="Arial" w:eastAsia="Arial" w:hAnsi="Arial" w:cs="Arial"/>
        <w:sz w:val="10"/>
      </w:rPr>
      <w:t>zkia</w:t>
    </w:r>
    <w:proofErr w:type="spellEnd"/>
    <w:r>
      <w:rPr>
        <w:rFonts w:ascii="Arial" w:eastAsia="Arial" w:hAnsi="Arial" w:cs="Arial"/>
        <w:sz w:val="10"/>
      </w:rPr>
      <w:t xml:space="preserve">. / </w:t>
    </w:r>
    <w:proofErr w:type="spellStart"/>
    <w:r>
      <w:rPr>
        <w:rFonts w:ascii="Arial" w:eastAsia="Arial" w:hAnsi="Arial" w:cs="Arial"/>
        <w:sz w:val="10"/>
      </w:rPr>
      <w:t>Num</w:t>
    </w:r>
    <w:proofErr w:type="spellEnd"/>
    <w:r>
      <w:rPr>
        <w:rFonts w:ascii="Arial" w:eastAsia="Arial" w:hAnsi="Arial" w:cs="Arial"/>
        <w:sz w:val="10"/>
      </w:rPr>
      <w:t>. Notif.: 20260300274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2303F"/>
    <w:multiLevelType w:val="hybridMultilevel"/>
    <w:tmpl w:val="4180381C"/>
    <w:lvl w:ilvl="0" w:tplc="E9F85440">
      <w:start w:val="1"/>
      <w:numFmt w:val="bullet"/>
      <w:lvlText w:val="•"/>
      <w:lvlJc w:val="left"/>
      <w:pPr>
        <w:ind w:left="7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A08A832">
      <w:start w:val="1"/>
      <w:numFmt w:val="bullet"/>
      <w:lvlText w:val="o"/>
      <w:lvlJc w:val="left"/>
      <w:pPr>
        <w:ind w:left="24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AE4C2CE">
      <w:start w:val="1"/>
      <w:numFmt w:val="bullet"/>
      <w:lvlText w:val="▪"/>
      <w:lvlJc w:val="left"/>
      <w:pPr>
        <w:ind w:left="31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FA4484E">
      <w:start w:val="1"/>
      <w:numFmt w:val="bullet"/>
      <w:lvlText w:val="•"/>
      <w:lvlJc w:val="left"/>
      <w:pPr>
        <w:ind w:left="38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578CE74">
      <w:start w:val="1"/>
      <w:numFmt w:val="bullet"/>
      <w:lvlText w:val="o"/>
      <w:lvlJc w:val="left"/>
      <w:pPr>
        <w:ind w:left="45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2D88336">
      <w:start w:val="1"/>
      <w:numFmt w:val="bullet"/>
      <w:lvlText w:val="▪"/>
      <w:lvlJc w:val="left"/>
      <w:pPr>
        <w:ind w:left="53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C942A92">
      <w:start w:val="1"/>
      <w:numFmt w:val="bullet"/>
      <w:lvlText w:val="•"/>
      <w:lvlJc w:val="left"/>
      <w:pPr>
        <w:ind w:left="60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DE41ECE">
      <w:start w:val="1"/>
      <w:numFmt w:val="bullet"/>
      <w:lvlText w:val="o"/>
      <w:lvlJc w:val="left"/>
      <w:pPr>
        <w:ind w:left="67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12AEAF4">
      <w:start w:val="1"/>
      <w:numFmt w:val="bullet"/>
      <w:lvlText w:val="▪"/>
      <w:lvlJc w:val="left"/>
      <w:pPr>
        <w:ind w:left="74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5B02E28"/>
    <w:multiLevelType w:val="hybridMultilevel"/>
    <w:tmpl w:val="BF7A6084"/>
    <w:lvl w:ilvl="0" w:tplc="07440A46">
      <w:start w:val="1"/>
      <w:numFmt w:val="lowerLetter"/>
      <w:lvlText w:val="%1)"/>
      <w:lvlJc w:val="left"/>
      <w:pPr>
        <w:ind w:left="1039"/>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8A3CC7CE">
      <w:start w:val="1"/>
      <w:numFmt w:val="lowerLetter"/>
      <w:lvlText w:val="%2"/>
      <w:lvlJc w:val="left"/>
      <w:pPr>
        <w:ind w:left="108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D1EE4D0C">
      <w:start w:val="1"/>
      <w:numFmt w:val="lowerRoman"/>
      <w:lvlText w:val="%3"/>
      <w:lvlJc w:val="left"/>
      <w:pPr>
        <w:ind w:left="180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219EFA6A">
      <w:start w:val="1"/>
      <w:numFmt w:val="decimal"/>
      <w:lvlText w:val="%4"/>
      <w:lvlJc w:val="left"/>
      <w:pPr>
        <w:ind w:left="252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724C2E98">
      <w:start w:val="1"/>
      <w:numFmt w:val="lowerLetter"/>
      <w:lvlText w:val="%5"/>
      <w:lvlJc w:val="left"/>
      <w:pPr>
        <w:ind w:left="324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F198D502">
      <w:start w:val="1"/>
      <w:numFmt w:val="lowerRoman"/>
      <w:lvlText w:val="%6"/>
      <w:lvlJc w:val="left"/>
      <w:pPr>
        <w:ind w:left="396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4F26F5B4">
      <w:start w:val="1"/>
      <w:numFmt w:val="decimal"/>
      <w:lvlText w:val="%7"/>
      <w:lvlJc w:val="left"/>
      <w:pPr>
        <w:ind w:left="468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A92200A8">
      <w:start w:val="1"/>
      <w:numFmt w:val="lowerLetter"/>
      <w:lvlText w:val="%8"/>
      <w:lvlJc w:val="left"/>
      <w:pPr>
        <w:ind w:left="540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A104A776">
      <w:start w:val="1"/>
      <w:numFmt w:val="lowerRoman"/>
      <w:lvlText w:val="%9"/>
      <w:lvlJc w:val="left"/>
      <w:pPr>
        <w:ind w:left="612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DDB48B1"/>
    <w:multiLevelType w:val="hybridMultilevel"/>
    <w:tmpl w:val="EFBA7318"/>
    <w:lvl w:ilvl="0" w:tplc="FB4ACA3E">
      <w:start w:val="1"/>
      <w:numFmt w:val="bullet"/>
      <w:lvlText w:val="-"/>
      <w:lvlJc w:val="left"/>
      <w:pPr>
        <w:ind w:left="1198"/>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5F4C7412">
      <w:start w:val="1"/>
      <w:numFmt w:val="bullet"/>
      <w:lvlText w:val="o"/>
      <w:lvlJc w:val="left"/>
      <w:pPr>
        <w:ind w:left="108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4372C324">
      <w:start w:val="1"/>
      <w:numFmt w:val="bullet"/>
      <w:lvlText w:val="▪"/>
      <w:lvlJc w:val="left"/>
      <w:pPr>
        <w:ind w:left="180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D3BC7F4A">
      <w:start w:val="1"/>
      <w:numFmt w:val="bullet"/>
      <w:lvlText w:val="•"/>
      <w:lvlJc w:val="left"/>
      <w:pPr>
        <w:ind w:left="252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DFC6548E">
      <w:start w:val="1"/>
      <w:numFmt w:val="bullet"/>
      <w:lvlText w:val="o"/>
      <w:lvlJc w:val="left"/>
      <w:pPr>
        <w:ind w:left="324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2EBAE9B4">
      <w:start w:val="1"/>
      <w:numFmt w:val="bullet"/>
      <w:lvlText w:val="▪"/>
      <w:lvlJc w:val="left"/>
      <w:pPr>
        <w:ind w:left="396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26E8D47E">
      <w:start w:val="1"/>
      <w:numFmt w:val="bullet"/>
      <w:lvlText w:val="•"/>
      <w:lvlJc w:val="left"/>
      <w:pPr>
        <w:ind w:left="468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6DA85A84">
      <w:start w:val="1"/>
      <w:numFmt w:val="bullet"/>
      <w:lvlText w:val="o"/>
      <w:lvlJc w:val="left"/>
      <w:pPr>
        <w:ind w:left="540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07F222A6">
      <w:start w:val="1"/>
      <w:numFmt w:val="bullet"/>
      <w:lvlText w:val="▪"/>
      <w:lvlJc w:val="left"/>
      <w:pPr>
        <w:ind w:left="612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4B8B4AFE"/>
    <w:multiLevelType w:val="hybridMultilevel"/>
    <w:tmpl w:val="5D00494A"/>
    <w:lvl w:ilvl="0" w:tplc="23BE80C0">
      <w:start w:val="1"/>
      <w:numFmt w:val="bullet"/>
      <w:lvlText w:val="-"/>
      <w:lvlJc w:val="left"/>
      <w:pPr>
        <w:ind w:left="9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9A8B970">
      <w:start w:val="1"/>
      <w:numFmt w:val="bullet"/>
      <w:lvlText w:val="•"/>
      <w:lvlJc w:val="left"/>
      <w:pPr>
        <w:ind w:left="185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E2EEAD8">
      <w:start w:val="1"/>
      <w:numFmt w:val="bullet"/>
      <w:lvlText w:val="▪"/>
      <w:lvlJc w:val="left"/>
      <w:pPr>
        <w:ind w:left="19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CD49AF4">
      <w:start w:val="1"/>
      <w:numFmt w:val="bullet"/>
      <w:lvlText w:val="•"/>
      <w:lvlJc w:val="left"/>
      <w:pPr>
        <w:ind w:left="26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7AC51C8">
      <w:start w:val="1"/>
      <w:numFmt w:val="bullet"/>
      <w:lvlText w:val="o"/>
      <w:lvlJc w:val="left"/>
      <w:pPr>
        <w:ind w:left="33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286AC78">
      <w:start w:val="1"/>
      <w:numFmt w:val="bullet"/>
      <w:lvlText w:val="▪"/>
      <w:lvlJc w:val="left"/>
      <w:pPr>
        <w:ind w:left="40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B9E9826">
      <w:start w:val="1"/>
      <w:numFmt w:val="bullet"/>
      <w:lvlText w:val="•"/>
      <w:lvlJc w:val="left"/>
      <w:pPr>
        <w:ind w:left="48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C00C102">
      <w:start w:val="1"/>
      <w:numFmt w:val="bullet"/>
      <w:lvlText w:val="o"/>
      <w:lvlJc w:val="left"/>
      <w:pPr>
        <w:ind w:left="55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7A0B200">
      <w:start w:val="1"/>
      <w:numFmt w:val="bullet"/>
      <w:lvlText w:val="▪"/>
      <w:lvlJc w:val="left"/>
      <w:pPr>
        <w:ind w:left="62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52FD68F9"/>
    <w:multiLevelType w:val="hybridMultilevel"/>
    <w:tmpl w:val="CF686758"/>
    <w:lvl w:ilvl="0" w:tplc="020E2DD2">
      <w:start w:val="1"/>
      <w:numFmt w:val="upperLetter"/>
      <w:lvlText w:val="%1)"/>
      <w:lvlJc w:val="left"/>
      <w:pPr>
        <w:ind w:left="108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3B08EBE2">
      <w:start w:val="1"/>
      <w:numFmt w:val="lowerLetter"/>
      <w:lvlText w:val="%2"/>
      <w:lvlJc w:val="left"/>
      <w:pPr>
        <w:ind w:left="1364"/>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C06C7286">
      <w:start w:val="1"/>
      <w:numFmt w:val="lowerRoman"/>
      <w:lvlText w:val="%3"/>
      <w:lvlJc w:val="left"/>
      <w:pPr>
        <w:ind w:left="2084"/>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E0FE1C18">
      <w:start w:val="1"/>
      <w:numFmt w:val="decimal"/>
      <w:lvlText w:val="%4"/>
      <w:lvlJc w:val="left"/>
      <w:pPr>
        <w:ind w:left="2804"/>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42542338">
      <w:start w:val="1"/>
      <w:numFmt w:val="lowerLetter"/>
      <w:lvlText w:val="%5"/>
      <w:lvlJc w:val="left"/>
      <w:pPr>
        <w:ind w:left="3524"/>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776279D6">
      <w:start w:val="1"/>
      <w:numFmt w:val="lowerRoman"/>
      <w:lvlText w:val="%6"/>
      <w:lvlJc w:val="left"/>
      <w:pPr>
        <w:ind w:left="4244"/>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83C25392">
      <w:start w:val="1"/>
      <w:numFmt w:val="decimal"/>
      <w:lvlText w:val="%7"/>
      <w:lvlJc w:val="left"/>
      <w:pPr>
        <w:ind w:left="4964"/>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6F8CBF54">
      <w:start w:val="1"/>
      <w:numFmt w:val="lowerLetter"/>
      <w:lvlText w:val="%8"/>
      <w:lvlJc w:val="left"/>
      <w:pPr>
        <w:ind w:left="5684"/>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95DE0342">
      <w:start w:val="1"/>
      <w:numFmt w:val="lowerRoman"/>
      <w:lvlText w:val="%9"/>
      <w:lvlJc w:val="left"/>
      <w:pPr>
        <w:ind w:left="6404"/>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5D6C5594"/>
    <w:multiLevelType w:val="hybridMultilevel"/>
    <w:tmpl w:val="CEB45EE0"/>
    <w:lvl w:ilvl="0" w:tplc="1D44FD40">
      <w:start w:val="1"/>
      <w:numFmt w:val="bullet"/>
      <w:lvlText w:val="-"/>
      <w:lvlJc w:val="left"/>
      <w:pPr>
        <w:ind w:left="1198"/>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3E4A0250">
      <w:start w:val="1"/>
      <w:numFmt w:val="bullet"/>
      <w:lvlText w:val="o"/>
      <w:lvlJc w:val="left"/>
      <w:pPr>
        <w:ind w:left="108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086A4734">
      <w:start w:val="1"/>
      <w:numFmt w:val="bullet"/>
      <w:lvlText w:val="▪"/>
      <w:lvlJc w:val="left"/>
      <w:pPr>
        <w:ind w:left="180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E8FE0DDA">
      <w:start w:val="1"/>
      <w:numFmt w:val="bullet"/>
      <w:lvlText w:val="•"/>
      <w:lvlJc w:val="left"/>
      <w:pPr>
        <w:ind w:left="252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B5C84F08">
      <w:start w:val="1"/>
      <w:numFmt w:val="bullet"/>
      <w:lvlText w:val="o"/>
      <w:lvlJc w:val="left"/>
      <w:pPr>
        <w:ind w:left="324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3C144E5A">
      <w:start w:val="1"/>
      <w:numFmt w:val="bullet"/>
      <w:lvlText w:val="▪"/>
      <w:lvlJc w:val="left"/>
      <w:pPr>
        <w:ind w:left="396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290AB21A">
      <w:start w:val="1"/>
      <w:numFmt w:val="bullet"/>
      <w:lvlText w:val="•"/>
      <w:lvlJc w:val="left"/>
      <w:pPr>
        <w:ind w:left="468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314A5C1E">
      <w:start w:val="1"/>
      <w:numFmt w:val="bullet"/>
      <w:lvlText w:val="o"/>
      <w:lvlJc w:val="left"/>
      <w:pPr>
        <w:ind w:left="540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7B0AAAB2">
      <w:start w:val="1"/>
      <w:numFmt w:val="bullet"/>
      <w:lvlText w:val="▪"/>
      <w:lvlJc w:val="left"/>
      <w:pPr>
        <w:ind w:left="612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780B0F3C"/>
    <w:multiLevelType w:val="hybridMultilevel"/>
    <w:tmpl w:val="4A9EDF38"/>
    <w:lvl w:ilvl="0" w:tplc="E9E8159E">
      <w:start w:val="1"/>
      <w:numFmt w:val="bullet"/>
      <w:lvlText w:val="•"/>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2342650">
      <w:start w:val="1"/>
      <w:numFmt w:val="bullet"/>
      <w:lvlText w:val="o"/>
      <w:lvlJc w:val="left"/>
      <w:pPr>
        <w:ind w:left="9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27A1ED0">
      <w:start w:val="1"/>
      <w:numFmt w:val="bullet"/>
      <w:lvlRestart w:val="0"/>
      <w:lvlText w:val="•"/>
      <w:lvlJc w:val="left"/>
      <w:pPr>
        <w:ind w:left="18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B942EFC">
      <w:start w:val="1"/>
      <w:numFmt w:val="bullet"/>
      <w:lvlText w:val="•"/>
      <w:lvlJc w:val="left"/>
      <w:pPr>
        <w:ind w:left="23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1FC6AD8">
      <w:start w:val="1"/>
      <w:numFmt w:val="bullet"/>
      <w:lvlText w:val="o"/>
      <w:lvlJc w:val="left"/>
      <w:pPr>
        <w:ind w:left="30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B24F6B0">
      <w:start w:val="1"/>
      <w:numFmt w:val="bullet"/>
      <w:lvlText w:val="▪"/>
      <w:lvlJc w:val="left"/>
      <w:pPr>
        <w:ind w:left="37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0BEC966">
      <w:start w:val="1"/>
      <w:numFmt w:val="bullet"/>
      <w:lvlText w:val="•"/>
      <w:lvlJc w:val="left"/>
      <w:pPr>
        <w:ind w:left="45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B2AC272">
      <w:start w:val="1"/>
      <w:numFmt w:val="bullet"/>
      <w:lvlText w:val="o"/>
      <w:lvlJc w:val="left"/>
      <w:pPr>
        <w:ind w:left="52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4E40DEA">
      <w:start w:val="1"/>
      <w:numFmt w:val="bullet"/>
      <w:lvlText w:val="▪"/>
      <w:lvlJc w:val="left"/>
      <w:pPr>
        <w:ind w:left="59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79E17A1A"/>
    <w:multiLevelType w:val="hybridMultilevel"/>
    <w:tmpl w:val="124430E2"/>
    <w:lvl w:ilvl="0" w:tplc="B7FE27BA">
      <w:start w:val="1"/>
      <w:numFmt w:val="bullet"/>
      <w:lvlText w:val="-"/>
      <w:lvlJc w:val="left"/>
      <w:pPr>
        <w:ind w:left="108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7EFE6824">
      <w:start w:val="1"/>
      <w:numFmt w:val="bullet"/>
      <w:lvlText w:val="o"/>
      <w:lvlJc w:val="left"/>
      <w:pPr>
        <w:ind w:left="1293"/>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BC14D39A">
      <w:start w:val="1"/>
      <w:numFmt w:val="bullet"/>
      <w:lvlText w:val="▪"/>
      <w:lvlJc w:val="left"/>
      <w:pPr>
        <w:ind w:left="2013"/>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53CA075A">
      <w:start w:val="1"/>
      <w:numFmt w:val="bullet"/>
      <w:lvlText w:val="•"/>
      <w:lvlJc w:val="left"/>
      <w:pPr>
        <w:ind w:left="2733"/>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8012CC18">
      <w:start w:val="1"/>
      <w:numFmt w:val="bullet"/>
      <w:lvlText w:val="o"/>
      <w:lvlJc w:val="left"/>
      <w:pPr>
        <w:ind w:left="3453"/>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2E828788">
      <w:start w:val="1"/>
      <w:numFmt w:val="bullet"/>
      <w:lvlText w:val="▪"/>
      <w:lvlJc w:val="left"/>
      <w:pPr>
        <w:ind w:left="4173"/>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DB447E9C">
      <w:start w:val="1"/>
      <w:numFmt w:val="bullet"/>
      <w:lvlText w:val="•"/>
      <w:lvlJc w:val="left"/>
      <w:pPr>
        <w:ind w:left="4893"/>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9A7AC296">
      <w:start w:val="1"/>
      <w:numFmt w:val="bullet"/>
      <w:lvlText w:val="o"/>
      <w:lvlJc w:val="left"/>
      <w:pPr>
        <w:ind w:left="5613"/>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7F3E06A8">
      <w:start w:val="1"/>
      <w:numFmt w:val="bullet"/>
      <w:lvlText w:val="▪"/>
      <w:lvlJc w:val="left"/>
      <w:pPr>
        <w:ind w:left="6333"/>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num w:numId="1" w16cid:durableId="627902738">
    <w:abstractNumId w:val="0"/>
  </w:num>
  <w:num w:numId="2" w16cid:durableId="907686601">
    <w:abstractNumId w:val="3"/>
  </w:num>
  <w:num w:numId="3" w16cid:durableId="1956475906">
    <w:abstractNumId w:val="6"/>
  </w:num>
  <w:num w:numId="4" w16cid:durableId="1455368964">
    <w:abstractNumId w:val="1"/>
  </w:num>
  <w:num w:numId="5" w16cid:durableId="20865923">
    <w:abstractNumId w:val="4"/>
  </w:num>
  <w:num w:numId="6" w16cid:durableId="532042528">
    <w:abstractNumId w:val="5"/>
  </w:num>
  <w:num w:numId="7" w16cid:durableId="646395419">
    <w:abstractNumId w:val="2"/>
  </w:num>
  <w:num w:numId="8" w16cid:durableId="19937564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C9E"/>
    <w:rsid w:val="00A565B6"/>
    <w:rsid w:val="00A648D9"/>
    <w:rsid w:val="00AD0AA8"/>
    <w:rsid w:val="00B05B1D"/>
    <w:rsid w:val="00F51427"/>
    <w:rsid w:val="00F63C9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7DA61"/>
  <w15:docId w15:val="{BF5D3FA6-FCB8-4925-9F6B-5A4DC2993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Ttulo1">
    <w:name w:val="heading 1"/>
    <w:next w:val="Normal"/>
    <w:link w:val="Ttulo1Car"/>
    <w:uiPriority w:val="9"/>
    <w:qFormat/>
    <w:pPr>
      <w:keepNext/>
      <w:keepLines/>
      <w:spacing w:after="25" w:line="259" w:lineRule="auto"/>
      <w:ind w:left="1004" w:hanging="10"/>
      <w:outlineLvl w:val="0"/>
    </w:pPr>
    <w:rPr>
      <w:rFonts w:ascii="Times New Roman" w:eastAsia="Times New Roman" w:hAnsi="Times New Roman" w:cs="Times New Roman"/>
      <w:b/>
      <w:color w:val="000000"/>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Times New Roman" w:eastAsia="Times New Roman" w:hAnsi="Times New Roman" w:cs="Times New Roman"/>
      <w:b/>
      <w:color w:val="000000"/>
      <w:sz w:val="22"/>
    </w:rPr>
  </w:style>
  <w:style w:type="paragraph" w:styleId="Piedepgina">
    <w:name w:val="footer"/>
    <w:basedOn w:val="Normal"/>
    <w:link w:val="PiedepginaCar"/>
    <w:uiPriority w:val="99"/>
    <w:unhideWhenUsed/>
    <w:rsid w:val="00AD0AA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D0AA8"/>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4.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8" Type="http://schemas.openxmlformats.org/officeDocument/2006/relationships/image" Target="media/image4.jpg"/><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_rels/header4.xml.rels><?xml version="1.0" encoding="UTF-8" standalone="yes"?>
<Relationships xmlns="http://schemas.openxmlformats.org/package/2006/relationships"><Relationship Id="rId18" Type="http://schemas.openxmlformats.org/officeDocument/2006/relationships/image" Target="media/image4.jpg"/><Relationship Id="rId1" Type="http://schemas.openxmlformats.org/officeDocument/2006/relationships/image" Target="media/image2.jpg"/></Relationships>
</file>

<file path=word/_rels/header5.xml.rels><?xml version="1.0" encoding="UTF-8" standalone="yes"?>
<Relationships xmlns="http://schemas.openxmlformats.org/package/2006/relationships"><Relationship Id="rId18" Type="http://schemas.openxmlformats.org/officeDocument/2006/relationships/image" Target="media/image4.jpg"/><Relationship Id="rId1" Type="http://schemas.openxmlformats.org/officeDocument/2006/relationships/image" Target="media/image2.jpg"/></Relationships>
</file>

<file path=word/_rels/header6.xml.rels><?xml version="1.0" encoding="UTF-8" standalone="yes"?>
<Relationships xmlns="http://schemas.openxmlformats.org/package/2006/relationships"><Relationship Id="rId18" Type="http://schemas.openxmlformats.org/officeDocument/2006/relationships/image" Target="media/image4.jpg"/><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141</TotalTime>
  <Pages>7</Pages>
  <Words>2819</Words>
  <Characters>15508</Characters>
  <Application>Microsoft Office Word</Application>
  <DocSecurity>0</DocSecurity>
  <Lines>129</Lines>
  <Paragraphs>36</Paragraphs>
  <ScaleCrop>false</ScaleCrop>
  <Company/>
  <LinksUpToDate>false</LinksUpToDate>
  <CharactersWithSpaces>18291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Urien Salterain, Karoline</dc:creator>
  <cp:keywords/>
  <cp:lastModifiedBy>Urien Salterain, Karoline</cp:lastModifiedBy>
  <cp:revision>4</cp:revision>
  <dcterms:created xsi:type="dcterms:W3CDTF">2026-09-18T09:57:00Z</dcterms:created>
  <dcterms:modified xsi:type="dcterms:W3CDTF">2026-09-18T12:18:00Z</dcterms:modified>
</cp:coreProperties>
</file>