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CF492C" w14:paraId="2D6C5E14" w14:textId="77777777" w:rsidTr="00EE0139">
        <w:trPr>
          <w:gridAfter w:val="1"/>
          <w:wAfter w:w="285" w:type="dxa"/>
          <w:trHeight w:val="168"/>
        </w:trPr>
        <w:tc>
          <w:tcPr>
            <w:tcW w:w="4253" w:type="dxa"/>
            <w:shd w:val="clear" w:color="auto" w:fill="auto"/>
            <w:vAlign w:val="bottom"/>
          </w:tcPr>
          <w:p w14:paraId="54A35B29" w14:textId="77777777" w:rsidR="00AD28E7" w:rsidRPr="005D24EE" w:rsidRDefault="00AD28E7" w:rsidP="005C6341">
            <w:pPr>
              <w:rPr>
                <w:rFonts w:ascii="Arial" w:hAnsi="Arial" w:cs="Arial"/>
                <w:b/>
                <w:color w:val="000000" w:themeColor="text1"/>
                <w:sz w:val="12"/>
                <w:szCs w:val="12"/>
              </w:rPr>
            </w:pPr>
          </w:p>
        </w:tc>
        <w:tc>
          <w:tcPr>
            <w:tcW w:w="283" w:type="dxa"/>
          </w:tcPr>
          <w:p w14:paraId="19ED062B" w14:textId="77777777" w:rsidR="00AD28E7" w:rsidRPr="00DF0910" w:rsidRDefault="00AD28E7" w:rsidP="005C6341">
            <w:pPr>
              <w:rPr>
                <w:rFonts w:ascii="Arial" w:hAnsi="Arial" w:cs="Arial"/>
                <w:color w:val="000000" w:themeColor="text1"/>
                <w:sz w:val="12"/>
                <w:szCs w:val="12"/>
              </w:rPr>
            </w:pPr>
          </w:p>
        </w:tc>
        <w:tc>
          <w:tcPr>
            <w:tcW w:w="5103" w:type="dxa"/>
            <w:gridSpan w:val="3"/>
            <w:vMerge w:val="restart"/>
            <w:shd w:val="clear" w:color="auto" w:fill="auto"/>
          </w:tcPr>
          <w:p w14:paraId="35126408" w14:textId="77777777" w:rsidR="00AD28E7" w:rsidRDefault="00AD28E7" w:rsidP="005C6341">
            <w:pPr>
              <w:tabs>
                <w:tab w:val="left" w:pos="0"/>
              </w:tabs>
              <w:rPr>
                <w:rFonts w:ascii="Arial" w:hAnsi="Arial" w:cs="Arial"/>
                <w:b/>
                <w:noProof/>
                <w:color w:val="000000"/>
                <w:sz w:val="16"/>
                <w:szCs w:val="16"/>
              </w:rPr>
            </w:pPr>
          </w:p>
          <w:p w14:paraId="1D945A87" w14:textId="77777777" w:rsidR="00AD28E7" w:rsidRDefault="00AD28E7" w:rsidP="005C6341">
            <w:pPr>
              <w:tabs>
                <w:tab w:val="left" w:pos="0"/>
              </w:tabs>
              <w:rPr>
                <w:rFonts w:ascii="Arial" w:hAnsi="Arial" w:cs="Arial"/>
                <w:b/>
                <w:noProof/>
                <w:color w:val="000000"/>
                <w:sz w:val="16"/>
                <w:szCs w:val="16"/>
              </w:rPr>
            </w:pPr>
          </w:p>
          <w:p w14:paraId="5F61BBCA" w14:textId="77777777" w:rsidR="00AD28E7" w:rsidRDefault="00AD28E7" w:rsidP="005C6341">
            <w:pPr>
              <w:tabs>
                <w:tab w:val="left" w:pos="0"/>
              </w:tabs>
              <w:rPr>
                <w:rFonts w:ascii="Arial" w:hAnsi="Arial" w:cs="Arial"/>
                <w:b/>
                <w:noProof/>
                <w:color w:val="000000"/>
                <w:sz w:val="16"/>
                <w:szCs w:val="16"/>
              </w:rPr>
            </w:pPr>
          </w:p>
          <w:p w14:paraId="7E701897" w14:textId="3894C74C" w:rsidR="00AD28E7" w:rsidRPr="00D76AF9" w:rsidRDefault="00AD28E7" w:rsidP="00FE3E62">
            <w:pPr>
              <w:spacing w:after="60"/>
              <w:rPr>
                <w:rFonts w:ascii="Arial" w:hAnsi="Arial" w:cs="Arial"/>
                <w:b/>
                <w:noProof/>
                <w:color w:val="000000"/>
                <w:sz w:val="16"/>
                <w:szCs w:val="16"/>
              </w:rPr>
            </w:pPr>
          </w:p>
        </w:tc>
      </w:tr>
      <w:tr w:rsidR="00CF492C" w14:paraId="21AF0B13" w14:textId="77777777" w:rsidTr="00EE0139">
        <w:trPr>
          <w:gridAfter w:val="1"/>
          <w:wAfter w:w="285" w:type="dxa"/>
          <w:trHeight w:val="168"/>
        </w:trPr>
        <w:tc>
          <w:tcPr>
            <w:tcW w:w="4253" w:type="dxa"/>
            <w:shd w:val="clear" w:color="auto" w:fill="auto"/>
            <w:vAlign w:val="bottom"/>
          </w:tcPr>
          <w:p w14:paraId="3161FD9B" w14:textId="77777777" w:rsidR="00AD28E7" w:rsidRPr="005D24EE" w:rsidRDefault="00AD28E7" w:rsidP="005C6341">
            <w:pPr>
              <w:rPr>
                <w:rFonts w:ascii="Arial" w:hAnsi="Arial" w:cs="Arial"/>
                <w:b/>
                <w:color w:val="000000" w:themeColor="text1"/>
                <w:sz w:val="12"/>
                <w:szCs w:val="12"/>
              </w:rPr>
            </w:pPr>
          </w:p>
        </w:tc>
        <w:tc>
          <w:tcPr>
            <w:tcW w:w="283" w:type="dxa"/>
          </w:tcPr>
          <w:p w14:paraId="174B0312" w14:textId="77777777" w:rsidR="00AD28E7" w:rsidRPr="00DF0910" w:rsidRDefault="00AD28E7" w:rsidP="005C6341">
            <w:pPr>
              <w:rPr>
                <w:rFonts w:ascii="Arial" w:hAnsi="Arial" w:cs="Arial"/>
                <w:color w:val="000000" w:themeColor="text1"/>
                <w:sz w:val="12"/>
                <w:szCs w:val="12"/>
              </w:rPr>
            </w:pPr>
          </w:p>
        </w:tc>
        <w:tc>
          <w:tcPr>
            <w:tcW w:w="5103" w:type="dxa"/>
            <w:gridSpan w:val="3"/>
            <w:vMerge/>
            <w:shd w:val="clear" w:color="auto" w:fill="auto"/>
          </w:tcPr>
          <w:p w14:paraId="33C18243" w14:textId="77777777" w:rsidR="00AD28E7" w:rsidRPr="00D76AF9" w:rsidRDefault="00AD28E7" w:rsidP="005C6341">
            <w:pPr>
              <w:rPr>
                <w:rFonts w:ascii="Arial" w:hAnsi="Arial" w:cs="Arial"/>
                <w:b/>
                <w:noProof/>
                <w:color w:val="000000"/>
                <w:sz w:val="16"/>
                <w:szCs w:val="16"/>
              </w:rPr>
            </w:pPr>
          </w:p>
        </w:tc>
      </w:tr>
      <w:tr w:rsidR="00CF492C" w14:paraId="27F9ED29" w14:textId="77777777" w:rsidTr="00EE0139">
        <w:trPr>
          <w:gridAfter w:val="1"/>
          <w:wAfter w:w="285" w:type="dxa"/>
          <w:trHeight w:val="168"/>
        </w:trPr>
        <w:tc>
          <w:tcPr>
            <w:tcW w:w="4253" w:type="dxa"/>
            <w:shd w:val="clear" w:color="auto" w:fill="auto"/>
            <w:vAlign w:val="bottom"/>
          </w:tcPr>
          <w:p w14:paraId="53489D5C" w14:textId="77777777" w:rsidR="00AD28E7" w:rsidRPr="005D24EE" w:rsidRDefault="00AD28E7" w:rsidP="005C6341">
            <w:pPr>
              <w:rPr>
                <w:rFonts w:ascii="Arial" w:hAnsi="Arial" w:cs="Arial"/>
                <w:b/>
                <w:color w:val="000000" w:themeColor="text1"/>
                <w:sz w:val="12"/>
                <w:szCs w:val="12"/>
              </w:rPr>
            </w:pPr>
          </w:p>
        </w:tc>
        <w:tc>
          <w:tcPr>
            <w:tcW w:w="283" w:type="dxa"/>
          </w:tcPr>
          <w:p w14:paraId="23C9BAE0" w14:textId="77777777" w:rsidR="00AD28E7" w:rsidRPr="00DF0910" w:rsidRDefault="00AD28E7" w:rsidP="005C6341">
            <w:pPr>
              <w:rPr>
                <w:rFonts w:ascii="Arial" w:hAnsi="Arial" w:cs="Arial"/>
                <w:color w:val="000000" w:themeColor="text1"/>
                <w:sz w:val="12"/>
                <w:szCs w:val="12"/>
              </w:rPr>
            </w:pPr>
          </w:p>
        </w:tc>
        <w:tc>
          <w:tcPr>
            <w:tcW w:w="5103" w:type="dxa"/>
            <w:gridSpan w:val="3"/>
            <w:vMerge/>
            <w:shd w:val="clear" w:color="auto" w:fill="auto"/>
          </w:tcPr>
          <w:p w14:paraId="0D12DECC" w14:textId="77777777" w:rsidR="00AD28E7" w:rsidRPr="00D76AF9" w:rsidRDefault="00AD28E7" w:rsidP="005C6341">
            <w:pPr>
              <w:rPr>
                <w:rFonts w:ascii="Arial" w:hAnsi="Arial" w:cs="Arial"/>
                <w:b/>
                <w:noProof/>
                <w:color w:val="000000"/>
                <w:sz w:val="16"/>
                <w:szCs w:val="16"/>
              </w:rPr>
            </w:pPr>
          </w:p>
        </w:tc>
      </w:tr>
      <w:tr w:rsidR="00CF492C" w14:paraId="2A18A8FC" w14:textId="77777777" w:rsidTr="00EE0139">
        <w:trPr>
          <w:gridAfter w:val="1"/>
          <w:wAfter w:w="285" w:type="dxa"/>
          <w:trHeight w:val="168"/>
        </w:trPr>
        <w:tc>
          <w:tcPr>
            <w:tcW w:w="4253" w:type="dxa"/>
            <w:shd w:val="clear" w:color="auto" w:fill="auto"/>
            <w:vAlign w:val="bottom"/>
          </w:tcPr>
          <w:p w14:paraId="3A0C0873" w14:textId="77777777" w:rsidR="00AD28E7" w:rsidRPr="005D24EE" w:rsidRDefault="00AD28E7" w:rsidP="005C6341">
            <w:pPr>
              <w:rPr>
                <w:rFonts w:ascii="Arial" w:hAnsi="Arial" w:cs="Arial"/>
                <w:b/>
                <w:color w:val="000000" w:themeColor="text1"/>
                <w:sz w:val="12"/>
                <w:szCs w:val="12"/>
              </w:rPr>
            </w:pPr>
          </w:p>
        </w:tc>
        <w:tc>
          <w:tcPr>
            <w:tcW w:w="283" w:type="dxa"/>
          </w:tcPr>
          <w:p w14:paraId="7AACF359" w14:textId="77777777" w:rsidR="00AD28E7" w:rsidRPr="00DF0910" w:rsidRDefault="00AD28E7" w:rsidP="005C6341">
            <w:pPr>
              <w:rPr>
                <w:rFonts w:ascii="Arial" w:hAnsi="Arial" w:cs="Arial"/>
                <w:color w:val="000000" w:themeColor="text1"/>
                <w:sz w:val="12"/>
                <w:szCs w:val="12"/>
              </w:rPr>
            </w:pPr>
          </w:p>
        </w:tc>
        <w:tc>
          <w:tcPr>
            <w:tcW w:w="5103" w:type="dxa"/>
            <w:gridSpan w:val="3"/>
            <w:vMerge/>
            <w:shd w:val="clear" w:color="auto" w:fill="auto"/>
          </w:tcPr>
          <w:p w14:paraId="580099C9" w14:textId="77777777" w:rsidR="00AD28E7" w:rsidRPr="00D76AF9" w:rsidRDefault="00AD28E7" w:rsidP="005C6341">
            <w:pPr>
              <w:rPr>
                <w:rFonts w:ascii="Arial" w:hAnsi="Arial" w:cs="Arial"/>
                <w:b/>
                <w:noProof/>
                <w:color w:val="000000"/>
                <w:sz w:val="16"/>
                <w:szCs w:val="16"/>
              </w:rPr>
            </w:pPr>
          </w:p>
        </w:tc>
      </w:tr>
      <w:tr w:rsidR="00CF492C" w14:paraId="08642EE3" w14:textId="77777777" w:rsidTr="00EE0139">
        <w:trPr>
          <w:gridAfter w:val="1"/>
          <w:wAfter w:w="285" w:type="dxa"/>
          <w:trHeight w:val="168"/>
        </w:trPr>
        <w:tc>
          <w:tcPr>
            <w:tcW w:w="4253" w:type="dxa"/>
            <w:shd w:val="clear" w:color="auto" w:fill="auto"/>
            <w:vAlign w:val="bottom"/>
          </w:tcPr>
          <w:p w14:paraId="0F1793C8" w14:textId="77777777" w:rsidR="00AD28E7" w:rsidRPr="005D24EE" w:rsidRDefault="00AD28E7" w:rsidP="005C6341">
            <w:pPr>
              <w:rPr>
                <w:rFonts w:ascii="Arial" w:hAnsi="Arial" w:cs="Arial"/>
                <w:b/>
                <w:color w:val="000000" w:themeColor="text1"/>
                <w:sz w:val="12"/>
                <w:szCs w:val="12"/>
              </w:rPr>
            </w:pPr>
          </w:p>
        </w:tc>
        <w:tc>
          <w:tcPr>
            <w:tcW w:w="283" w:type="dxa"/>
          </w:tcPr>
          <w:p w14:paraId="168D1708" w14:textId="77777777" w:rsidR="00AD28E7" w:rsidRPr="00DF0910" w:rsidRDefault="00AD28E7" w:rsidP="005C6341">
            <w:pPr>
              <w:rPr>
                <w:rFonts w:ascii="Arial" w:hAnsi="Arial" w:cs="Arial"/>
                <w:color w:val="000000" w:themeColor="text1"/>
                <w:sz w:val="12"/>
                <w:szCs w:val="12"/>
              </w:rPr>
            </w:pPr>
          </w:p>
        </w:tc>
        <w:tc>
          <w:tcPr>
            <w:tcW w:w="5103" w:type="dxa"/>
            <w:gridSpan w:val="3"/>
            <w:vMerge/>
            <w:shd w:val="clear" w:color="auto" w:fill="auto"/>
          </w:tcPr>
          <w:p w14:paraId="3DB94A4D" w14:textId="77777777" w:rsidR="00AD28E7" w:rsidRPr="00D76AF9" w:rsidRDefault="00AD28E7" w:rsidP="005C6341">
            <w:pPr>
              <w:rPr>
                <w:rFonts w:ascii="Arial" w:hAnsi="Arial" w:cs="Arial"/>
                <w:b/>
                <w:noProof/>
                <w:color w:val="000000"/>
                <w:sz w:val="16"/>
                <w:szCs w:val="16"/>
              </w:rPr>
            </w:pPr>
          </w:p>
        </w:tc>
      </w:tr>
      <w:tr w:rsidR="00CF492C" w14:paraId="08068E9A" w14:textId="77777777" w:rsidTr="00EE0139">
        <w:trPr>
          <w:gridAfter w:val="1"/>
          <w:wAfter w:w="285" w:type="dxa"/>
          <w:trHeight w:val="168"/>
        </w:trPr>
        <w:tc>
          <w:tcPr>
            <w:tcW w:w="4253" w:type="dxa"/>
            <w:tcBorders>
              <w:bottom w:val="single" w:sz="4" w:space="0" w:color="auto"/>
            </w:tcBorders>
            <w:shd w:val="clear" w:color="auto" w:fill="auto"/>
            <w:vAlign w:val="bottom"/>
          </w:tcPr>
          <w:p w14:paraId="066775D0" w14:textId="77777777" w:rsidR="00AD28E7" w:rsidRPr="00DF0910" w:rsidRDefault="000A3C0E"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4A1F5AA5" w14:textId="77777777" w:rsidR="00AD28E7" w:rsidRPr="00DF0910" w:rsidRDefault="00AD28E7" w:rsidP="005C6341">
            <w:pPr>
              <w:rPr>
                <w:rFonts w:ascii="Arial" w:hAnsi="Arial" w:cs="Arial"/>
                <w:color w:val="000000" w:themeColor="text1"/>
                <w:sz w:val="12"/>
                <w:szCs w:val="12"/>
              </w:rPr>
            </w:pPr>
          </w:p>
        </w:tc>
        <w:tc>
          <w:tcPr>
            <w:tcW w:w="5103" w:type="dxa"/>
            <w:gridSpan w:val="3"/>
            <w:vMerge/>
            <w:shd w:val="clear" w:color="auto" w:fill="auto"/>
          </w:tcPr>
          <w:p w14:paraId="2FE53A9E" w14:textId="77777777" w:rsidR="00AD28E7" w:rsidRPr="00DF0910" w:rsidRDefault="00AD28E7" w:rsidP="005C6341">
            <w:pPr>
              <w:rPr>
                <w:rFonts w:ascii="Arial" w:hAnsi="Arial" w:cs="Arial"/>
                <w:color w:val="000000" w:themeColor="text1"/>
                <w:sz w:val="12"/>
                <w:szCs w:val="12"/>
              </w:rPr>
            </w:pPr>
          </w:p>
        </w:tc>
      </w:tr>
      <w:tr w:rsidR="00CF492C" w14:paraId="264A5DF9" w14:textId="77777777" w:rsidTr="00EE0139">
        <w:trPr>
          <w:gridAfter w:val="1"/>
          <w:wAfter w:w="285" w:type="dxa"/>
          <w:trHeight w:hRule="exact" w:val="340"/>
        </w:trPr>
        <w:tc>
          <w:tcPr>
            <w:tcW w:w="4253" w:type="dxa"/>
            <w:tcBorders>
              <w:top w:val="single" w:sz="4" w:space="0" w:color="auto"/>
            </w:tcBorders>
            <w:shd w:val="clear" w:color="auto" w:fill="auto"/>
          </w:tcPr>
          <w:p w14:paraId="7E995D31" w14:textId="77777777" w:rsidR="00AD28E7" w:rsidRPr="00D812A9" w:rsidRDefault="000A3C0E" w:rsidP="005C6341">
            <w:pPr>
              <w:rPr>
                <w:rFonts w:ascii="Arial" w:hAnsi="Arial" w:cs="Arial"/>
                <w:color w:val="4F81BD" w:themeColor="accent1"/>
                <w:sz w:val="16"/>
                <w:szCs w:val="16"/>
              </w:rPr>
            </w:pPr>
            <w:r>
              <w:rPr>
                <w:rFonts w:ascii="Arial" w:hAnsi="Arial" w:cs="Arial"/>
                <w:noProof/>
                <w:sz w:val="16"/>
                <w:szCs w:val="16"/>
              </w:rPr>
              <w:t>01244-2026/00004</w:t>
            </w:r>
          </w:p>
        </w:tc>
        <w:tc>
          <w:tcPr>
            <w:tcW w:w="283" w:type="dxa"/>
          </w:tcPr>
          <w:p w14:paraId="5C992A4B" w14:textId="77777777" w:rsidR="00AD28E7" w:rsidRPr="00DF0910" w:rsidRDefault="00AD28E7" w:rsidP="005C6341">
            <w:pPr>
              <w:rPr>
                <w:rFonts w:ascii="Arial" w:hAnsi="Arial" w:cs="Arial"/>
                <w:color w:val="000000" w:themeColor="text1"/>
                <w:sz w:val="16"/>
                <w:szCs w:val="16"/>
              </w:rPr>
            </w:pPr>
          </w:p>
        </w:tc>
        <w:tc>
          <w:tcPr>
            <w:tcW w:w="5103" w:type="dxa"/>
            <w:gridSpan w:val="3"/>
            <w:vMerge/>
            <w:shd w:val="clear" w:color="auto" w:fill="auto"/>
            <w:vAlign w:val="center"/>
          </w:tcPr>
          <w:p w14:paraId="7AF86512" w14:textId="77777777" w:rsidR="00AD28E7" w:rsidRPr="00DF0910" w:rsidRDefault="00AD28E7" w:rsidP="005C6341">
            <w:pPr>
              <w:rPr>
                <w:rFonts w:ascii="Arial" w:hAnsi="Arial" w:cs="Arial"/>
                <w:color w:val="000000" w:themeColor="text1"/>
                <w:sz w:val="16"/>
                <w:szCs w:val="16"/>
              </w:rPr>
            </w:pPr>
          </w:p>
        </w:tc>
      </w:tr>
      <w:tr w:rsidR="00CF492C" w14:paraId="002907D0"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0E03EBCE" w14:textId="77777777" w:rsidR="00AD28E7" w:rsidRPr="00DF0910" w:rsidRDefault="000A3C0E"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477A0937" w14:textId="77777777" w:rsidR="00AD28E7" w:rsidRPr="00DF0910" w:rsidRDefault="00AD28E7" w:rsidP="005C6341">
            <w:pPr>
              <w:jc w:val="center"/>
              <w:rPr>
                <w:rFonts w:ascii="Arial" w:hAnsi="Arial" w:cs="Arial"/>
                <w:color w:val="000000" w:themeColor="text1"/>
                <w:sz w:val="20"/>
              </w:rPr>
            </w:pPr>
          </w:p>
        </w:tc>
        <w:tc>
          <w:tcPr>
            <w:tcW w:w="5103" w:type="dxa"/>
            <w:gridSpan w:val="3"/>
            <w:vMerge/>
            <w:shd w:val="clear" w:color="auto" w:fill="auto"/>
            <w:vAlign w:val="center"/>
          </w:tcPr>
          <w:p w14:paraId="2FC0527B" w14:textId="77777777" w:rsidR="00AD28E7" w:rsidRPr="00DF0910" w:rsidRDefault="00AD28E7" w:rsidP="005C6341">
            <w:pPr>
              <w:rPr>
                <w:rFonts w:ascii="Arial" w:hAnsi="Arial" w:cs="Arial"/>
                <w:color w:val="000000" w:themeColor="text1"/>
                <w:sz w:val="20"/>
              </w:rPr>
            </w:pPr>
          </w:p>
        </w:tc>
      </w:tr>
      <w:tr w:rsidR="00CF492C" w14:paraId="0DC08E73" w14:textId="77777777" w:rsidTr="00EE0139">
        <w:trPr>
          <w:gridAfter w:val="1"/>
          <w:wAfter w:w="285" w:type="dxa"/>
          <w:trHeight w:hRule="exact" w:val="663"/>
        </w:trPr>
        <w:tc>
          <w:tcPr>
            <w:tcW w:w="4253" w:type="dxa"/>
            <w:tcBorders>
              <w:top w:val="single" w:sz="4" w:space="0" w:color="auto"/>
            </w:tcBorders>
            <w:shd w:val="clear" w:color="auto" w:fill="auto"/>
          </w:tcPr>
          <w:p w14:paraId="26EEDB00" w14:textId="77777777" w:rsidR="0053630E" w:rsidRPr="004A3C02" w:rsidRDefault="0053630E" w:rsidP="0053630E">
            <w:pPr>
              <w:pStyle w:val="Textoindependiente"/>
              <w:spacing w:after="0" w:line="200" w:lineRule="exact"/>
              <w:rPr>
                <w:sz w:val="12"/>
                <w:szCs w:val="12"/>
              </w:rPr>
            </w:pPr>
            <w:r w:rsidRPr="004A3C02">
              <w:rPr>
                <w:sz w:val="12"/>
                <w:szCs w:val="12"/>
              </w:rPr>
              <w:t>Enplegu, Merkataritza</w:t>
            </w:r>
            <w:r>
              <w:rPr>
                <w:sz w:val="12"/>
                <w:szCs w:val="12"/>
              </w:rPr>
              <w:t>,</w:t>
            </w:r>
            <w:r w:rsidRPr="004A3C02">
              <w:rPr>
                <w:sz w:val="12"/>
                <w:szCs w:val="12"/>
              </w:rPr>
              <w:t xml:space="preserve">Turismo </w:t>
            </w:r>
          </w:p>
          <w:p w14:paraId="34544519" w14:textId="77777777" w:rsidR="0053630E" w:rsidRPr="004A3C02" w:rsidRDefault="0053630E" w:rsidP="0053630E">
            <w:pPr>
              <w:pStyle w:val="Textoindependiente"/>
              <w:spacing w:after="0" w:line="200" w:lineRule="exact"/>
              <w:jc w:val="left"/>
              <w:rPr>
                <w:sz w:val="12"/>
                <w:szCs w:val="12"/>
              </w:rPr>
            </w:pPr>
            <w:r w:rsidRPr="004A3C02">
              <w:rPr>
                <w:sz w:val="12"/>
                <w:szCs w:val="12"/>
              </w:rPr>
              <w:t>eta Foru Administrazioaren Saila / Departamento de Empleo,</w:t>
            </w:r>
            <w:r>
              <w:rPr>
                <w:sz w:val="12"/>
                <w:szCs w:val="12"/>
              </w:rPr>
              <w:t xml:space="preserve"> Comercio,</w:t>
            </w:r>
            <w:r w:rsidRPr="004A3C02">
              <w:rPr>
                <w:sz w:val="12"/>
                <w:szCs w:val="12"/>
              </w:rPr>
              <w:t xml:space="preserve"> Turismo y Administración Foral</w:t>
            </w:r>
          </w:p>
          <w:p w14:paraId="1F65DFB9" w14:textId="77777777" w:rsidR="00AD28E7" w:rsidRPr="00D812A9" w:rsidRDefault="00AD28E7" w:rsidP="005C6341">
            <w:pPr>
              <w:rPr>
                <w:rFonts w:ascii="Arial" w:hAnsi="Arial" w:cs="Arial"/>
                <w:color w:val="4F81BD" w:themeColor="accent1"/>
                <w:sz w:val="16"/>
                <w:szCs w:val="16"/>
              </w:rPr>
            </w:pPr>
          </w:p>
        </w:tc>
        <w:tc>
          <w:tcPr>
            <w:tcW w:w="283" w:type="dxa"/>
          </w:tcPr>
          <w:p w14:paraId="2244899C" w14:textId="77777777" w:rsidR="00AD28E7" w:rsidRPr="00DF0910" w:rsidRDefault="00AD28E7"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3A5FF180" w14:textId="77777777" w:rsidR="00AD28E7" w:rsidRPr="00DF0910" w:rsidRDefault="00AD28E7" w:rsidP="005C6341">
            <w:pPr>
              <w:rPr>
                <w:rFonts w:ascii="Arial" w:hAnsi="Arial" w:cs="Arial"/>
                <w:color w:val="000000" w:themeColor="text1"/>
                <w:sz w:val="16"/>
                <w:szCs w:val="16"/>
              </w:rPr>
            </w:pPr>
          </w:p>
        </w:tc>
      </w:tr>
      <w:tr w:rsidR="00CF492C" w14:paraId="09B5E15D" w14:textId="77777777" w:rsidTr="00EE0139">
        <w:tc>
          <w:tcPr>
            <w:tcW w:w="4820" w:type="dxa"/>
            <w:gridSpan w:val="3"/>
          </w:tcPr>
          <w:p w14:paraId="2F25882D" w14:textId="77777777" w:rsidR="00AD28E7" w:rsidRDefault="00AD28E7"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4DE5FB3E" w14:textId="77777777" w:rsidR="00AD28E7" w:rsidRDefault="00AD28E7"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0AE44BA6" w14:textId="77777777" w:rsidR="00AD28E7" w:rsidRDefault="00AD28E7"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7336D5C6" w14:textId="77777777" w:rsidR="00AD28E7" w:rsidRPr="00663BA9" w:rsidRDefault="00AD28E7"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19B40F28" w14:textId="77777777" w:rsidR="00AD28E7" w:rsidRPr="00426B3C" w:rsidRDefault="00AD28E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2BB63FAF" w14:textId="77777777" w:rsidR="00AD28E7" w:rsidRPr="00663BA9" w:rsidRDefault="00AD28E7"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CF492C" w14:paraId="1D5D750C" w14:textId="77777777" w:rsidTr="00EE0139">
        <w:tc>
          <w:tcPr>
            <w:tcW w:w="4820" w:type="dxa"/>
            <w:gridSpan w:val="3"/>
          </w:tcPr>
          <w:p w14:paraId="21935686" w14:textId="77777777" w:rsidR="00AD28E7" w:rsidRPr="00663BA9" w:rsidRDefault="000A3C0E"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Pr>
                <w:sz w:val="16"/>
              </w:rPr>
              <w:t xml:space="preserve">EBAZPENA </w:t>
            </w:r>
            <w:r w:rsidRPr="00663BA9">
              <w:rPr>
                <w:rFonts w:ascii="Arial" w:hAnsi="Arial" w:cs="Arial"/>
                <w:b/>
                <w:sz w:val="16"/>
                <w:szCs w:val="16"/>
              </w:rPr>
              <w:t>jakinaraztea.</w:t>
            </w:r>
          </w:p>
          <w:p w14:paraId="2C6B0CD3" w14:textId="77777777" w:rsidR="00AD28E7" w:rsidRDefault="00AD28E7" w:rsidP="00E72518">
            <w:pPr>
              <w:pStyle w:val="Sangradetextonormal"/>
              <w:tabs>
                <w:tab w:val="clear" w:pos="1702"/>
                <w:tab w:val="clear" w:pos="4253"/>
                <w:tab w:val="clear" w:pos="5104"/>
                <w:tab w:val="clear" w:pos="5812"/>
              </w:tabs>
              <w:spacing w:before="0" w:after="0"/>
              <w:ind w:firstLine="0"/>
              <w:jc w:val="both"/>
              <w:rPr>
                <w:sz w:val="16"/>
              </w:rPr>
            </w:pPr>
          </w:p>
          <w:p w14:paraId="21D7D2B2" w14:textId="0A022644" w:rsidR="00AD28E7" w:rsidRPr="00E72518" w:rsidRDefault="0053630E"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Funtzio Publikoko Zuzendariak</w:t>
            </w:r>
            <w:r w:rsidRPr="008C220D">
              <w:rPr>
                <w:rFonts w:ascii="Arial" w:hAnsi="Arial" w:cs="Arial"/>
                <w:sz w:val="16"/>
                <w:szCs w:val="16"/>
              </w:rPr>
              <w:t>, ebazpen hau eman du data honetan.</w:t>
            </w:r>
          </w:p>
        </w:tc>
        <w:tc>
          <w:tcPr>
            <w:tcW w:w="284" w:type="dxa"/>
          </w:tcPr>
          <w:p w14:paraId="6FBABA8C" w14:textId="77777777" w:rsidR="00AD28E7" w:rsidRPr="00426B3C" w:rsidRDefault="00AD28E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69937C6D" w14:textId="77777777" w:rsidR="00AD28E7" w:rsidRPr="00663BA9" w:rsidRDefault="000A3C0E"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Pr>
                <w:sz w:val="16"/>
              </w:rPr>
              <w:t>RESOLUCIÓN</w:t>
            </w:r>
          </w:p>
          <w:p w14:paraId="5A194D45" w14:textId="77777777" w:rsidR="00AD28E7" w:rsidRDefault="00AD28E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140174D0" w14:textId="77777777" w:rsidR="0053630E" w:rsidRPr="00E72518" w:rsidRDefault="0053630E" w:rsidP="0053630E">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El Director de Función Pública</w:t>
            </w:r>
            <w:r w:rsidRPr="008C220D">
              <w:rPr>
                <w:rFonts w:ascii="Arial" w:hAnsi="Arial" w:cs="Arial"/>
                <w:sz w:val="16"/>
                <w:szCs w:val="16"/>
              </w:rPr>
              <w:t>, se ha servido dictar la siguiente Resolución, en la fecha que se señala</w:t>
            </w:r>
            <w:r>
              <w:rPr>
                <w:rFonts w:ascii="Arial" w:hAnsi="Arial" w:cs="Arial"/>
                <w:sz w:val="16"/>
                <w:szCs w:val="16"/>
              </w:rPr>
              <w:t>.</w:t>
            </w:r>
          </w:p>
          <w:p w14:paraId="17B62A95" w14:textId="26C2A35A" w:rsidR="00AD28E7" w:rsidRPr="00E72518" w:rsidRDefault="000A3C0E"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sidRPr="00E72518">
              <w:rPr>
                <w:rFonts w:ascii="Arial" w:hAnsi="Arial" w:cs="Arial"/>
                <w:sz w:val="16"/>
                <w:szCs w:val="16"/>
              </w:rPr>
              <w:t>.</w:t>
            </w:r>
          </w:p>
          <w:p w14:paraId="428C59CA" w14:textId="77777777" w:rsidR="00AD28E7" w:rsidRPr="00E72518" w:rsidRDefault="00AD28E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25601EF5" w14:textId="77777777" w:rsidR="00AD28E7" w:rsidRPr="00426B3C" w:rsidRDefault="00AD28E7"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CF492C" w14:paraId="356B58CB" w14:textId="77777777" w:rsidTr="00EE0139">
        <w:tc>
          <w:tcPr>
            <w:tcW w:w="160" w:type="dxa"/>
          </w:tcPr>
          <w:p w14:paraId="73906F6C" w14:textId="77777777" w:rsidR="00AD28E7" w:rsidRPr="00426B3C" w:rsidRDefault="00AD28E7"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070F7AF3" w14:textId="77777777" w:rsidR="00AD28E7" w:rsidRPr="00426B3C" w:rsidRDefault="000A3C0E"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77EC615D" w14:textId="77777777" w:rsidR="00AD28E7" w:rsidRPr="00426B3C" w:rsidRDefault="000A3C0E"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4260299E" w14:textId="77777777" w:rsidR="00AD28E7" w:rsidRPr="00426B3C" w:rsidRDefault="00AD28E7"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7E295D8C" w14:textId="77777777" w:rsidR="00AD28E7" w:rsidRPr="00426B3C" w:rsidRDefault="000A3C0E"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13F6CB2F" w14:textId="77777777" w:rsidR="00AD28E7" w:rsidRPr="00426B3C" w:rsidRDefault="000A3C0E"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7DDD7F58" w14:textId="77777777" w:rsidR="00AD28E7" w:rsidRPr="00426B3C" w:rsidRDefault="00AD28E7" w:rsidP="00426B3C">
            <w:pPr>
              <w:jc w:val="center"/>
              <w:rPr>
                <w:rFonts w:ascii="Arial" w:hAnsi="Arial" w:cs="Arial"/>
                <w:b/>
                <w:color w:val="000000" w:themeColor="text1"/>
                <w:sz w:val="16"/>
                <w:szCs w:val="16"/>
              </w:rPr>
            </w:pPr>
          </w:p>
        </w:tc>
      </w:tr>
      <w:tr w:rsidR="00CF492C" w14:paraId="0B6FAF5C" w14:textId="77777777" w:rsidTr="00EE0139">
        <w:trPr>
          <w:trHeight w:hRule="exact" w:val="227"/>
        </w:trPr>
        <w:tc>
          <w:tcPr>
            <w:tcW w:w="160" w:type="dxa"/>
            <w:vAlign w:val="center"/>
          </w:tcPr>
          <w:p w14:paraId="723A271B" w14:textId="77777777" w:rsidR="00AD28E7" w:rsidRPr="00426B3C" w:rsidRDefault="00AD28E7"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3BFB1BF6" w14:textId="77777777" w:rsidR="00AD28E7" w:rsidRPr="00FE3E62" w:rsidRDefault="000A3C0E" w:rsidP="00426B3C">
            <w:pPr>
              <w:jc w:val="center"/>
              <w:rPr>
                <w:rFonts w:ascii="Arial" w:hAnsi="Arial" w:cs="Arial"/>
                <w:sz w:val="16"/>
                <w:szCs w:val="16"/>
              </w:rPr>
            </w:pPr>
            <w:r w:rsidRPr="00FE3E62">
              <w:rPr>
                <w:rFonts w:ascii="Arial" w:hAnsi="Arial" w:cs="Arial"/>
                <w:noProof/>
                <w:sz w:val="16"/>
                <w:szCs w:val="16"/>
              </w:rPr>
              <w:t>26/02</w:t>
            </w:r>
            <w:r w:rsidRPr="00FE3E62">
              <w:rPr>
                <w:rFonts w:ascii="Arial" w:hAnsi="Arial" w:cs="Arial"/>
                <w:sz w:val="16"/>
                <w:szCs w:val="16"/>
              </w:rPr>
              <w:t>/09</w:t>
            </w:r>
          </w:p>
        </w:tc>
        <w:tc>
          <w:tcPr>
            <w:tcW w:w="1985" w:type="dxa"/>
            <w:tcBorders>
              <w:top w:val="single" w:sz="4" w:space="0" w:color="auto"/>
            </w:tcBorders>
            <w:vAlign w:val="center"/>
          </w:tcPr>
          <w:p w14:paraId="2B6C8E9A" w14:textId="77777777" w:rsidR="00AD28E7" w:rsidRPr="00FE3E62" w:rsidRDefault="000A3C0E" w:rsidP="00426B3C">
            <w:pPr>
              <w:jc w:val="center"/>
              <w:rPr>
                <w:rFonts w:ascii="Arial" w:hAnsi="Arial" w:cs="Arial"/>
                <w:sz w:val="16"/>
                <w:szCs w:val="16"/>
              </w:rPr>
            </w:pPr>
            <w:r w:rsidRPr="00FE3E62">
              <w:rPr>
                <w:rFonts w:ascii="Arial" w:hAnsi="Arial" w:cs="Arial"/>
                <w:noProof/>
                <w:sz w:val="16"/>
                <w:szCs w:val="16"/>
              </w:rPr>
              <w:t>828</w:t>
            </w:r>
          </w:p>
        </w:tc>
        <w:tc>
          <w:tcPr>
            <w:tcW w:w="851" w:type="dxa"/>
            <w:vAlign w:val="center"/>
          </w:tcPr>
          <w:p w14:paraId="7EA76270" w14:textId="77777777" w:rsidR="00AD28E7" w:rsidRPr="00FE3E62" w:rsidRDefault="00AD28E7" w:rsidP="00426B3C">
            <w:pPr>
              <w:jc w:val="center"/>
              <w:rPr>
                <w:rFonts w:ascii="Arial" w:hAnsi="Arial" w:cs="Arial"/>
                <w:sz w:val="16"/>
                <w:szCs w:val="16"/>
              </w:rPr>
            </w:pPr>
          </w:p>
        </w:tc>
        <w:tc>
          <w:tcPr>
            <w:tcW w:w="1985" w:type="dxa"/>
            <w:tcBorders>
              <w:top w:val="single" w:sz="4" w:space="0" w:color="auto"/>
            </w:tcBorders>
            <w:vAlign w:val="center"/>
          </w:tcPr>
          <w:p w14:paraId="7678613D" w14:textId="77777777" w:rsidR="00AD28E7" w:rsidRPr="00FE3E62" w:rsidRDefault="000A3C0E" w:rsidP="00426B3C">
            <w:pPr>
              <w:jc w:val="center"/>
              <w:rPr>
                <w:rFonts w:ascii="Arial" w:hAnsi="Arial" w:cs="Arial"/>
                <w:sz w:val="16"/>
                <w:szCs w:val="16"/>
              </w:rPr>
            </w:pPr>
            <w:r w:rsidRPr="00FE3E62">
              <w:rPr>
                <w:rFonts w:ascii="Arial" w:hAnsi="Arial" w:cs="Arial"/>
                <w:noProof/>
                <w:sz w:val="16"/>
                <w:szCs w:val="16"/>
              </w:rPr>
              <w:t>09/02</w:t>
            </w:r>
            <w:r w:rsidRPr="00FE3E62">
              <w:rPr>
                <w:rFonts w:ascii="Arial" w:hAnsi="Arial" w:cs="Arial"/>
                <w:sz w:val="16"/>
                <w:szCs w:val="16"/>
              </w:rPr>
              <w:t>/2026</w:t>
            </w:r>
          </w:p>
        </w:tc>
        <w:tc>
          <w:tcPr>
            <w:tcW w:w="1985" w:type="dxa"/>
            <w:tcBorders>
              <w:top w:val="single" w:sz="4" w:space="0" w:color="auto"/>
            </w:tcBorders>
            <w:vAlign w:val="center"/>
          </w:tcPr>
          <w:p w14:paraId="0337596D" w14:textId="77777777" w:rsidR="00AD28E7" w:rsidRPr="00FE3E62" w:rsidRDefault="000A3C0E" w:rsidP="00426B3C">
            <w:pPr>
              <w:jc w:val="center"/>
              <w:rPr>
                <w:rFonts w:ascii="Arial" w:hAnsi="Arial" w:cs="Arial"/>
                <w:sz w:val="16"/>
                <w:szCs w:val="16"/>
              </w:rPr>
            </w:pPr>
            <w:r w:rsidRPr="00FE3E62">
              <w:rPr>
                <w:rFonts w:ascii="Arial" w:hAnsi="Arial" w:cs="Arial"/>
                <w:noProof/>
                <w:sz w:val="16"/>
                <w:szCs w:val="16"/>
              </w:rPr>
              <w:t>828</w:t>
            </w:r>
          </w:p>
        </w:tc>
        <w:tc>
          <w:tcPr>
            <w:tcW w:w="567" w:type="dxa"/>
            <w:vAlign w:val="center"/>
          </w:tcPr>
          <w:p w14:paraId="7D6E4C3D" w14:textId="77777777" w:rsidR="00AD28E7" w:rsidRPr="00FE3E62" w:rsidRDefault="00AD28E7" w:rsidP="00426B3C">
            <w:pPr>
              <w:jc w:val="center"/>
              <w:rPr>
                <w:rFonts w:ascii="Arial" w:hAnsi="Arial" w:cs="Arial"/>
                <w:sz w:val="16"/>
                <w:szCs w:val="16"/>
              </w:rPr>
            </w:pPr>
          </w:p>
        </w:tc>
      </w:tr>
    </w:tbl>
    <w:p w14:paraId="56A715E4" w14:textId="77777777" w:rsidR="00AD28E7" w:rsidRPr="00426B3C" w:rsidRDefault="00AD28E7"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tbl>
      <w:tblPr>
        <w:tblW w:w="9072" w:type="dxa"/>
        <w:tblLayout w:type="fixed"/>
        <w:tblCellMar>
          <w:left w:w="0" w:type="dxa"/>
          <w:right w:w="0" w:type="dxa"/>
        </w:tblCellMar>
        <w:tblLook w:val="0000" w:firstRow="0" w:lastRow="0" w:firstColumn="0" w:lastColumn="0" w:noHBand="0" w:noVBand="0"/>
      </w:tblPr>
      <w:tblGrid>
        <w:gridCol w:w="568"/>
        <w:gridCol w:w="4394"/>
        <w:gridCol w:w="3969"/>
        <w:gridCol w:w="141"/>
      </w:tblGrid>
      <w:tr w:rsidR="00CF492C" w14:paraId="19FB7D87" w14:textId="77777777" w:rsidTr="0011721E">
        <w:tc>
          <w:tcPr>
            <w:tcW w:w="568" w:type="dxa"/>
          </w:tcPr>
          <w:p w14:paraId="76474B50" w14:textId="77777777" w:rsidR="00AD28E7" w:rsidRPr="00A24E42" w:rsidRDefault="00AD28E7" w:rsidP="00003467">
            <w:pPr>
              <w:pStyle w:val="Normal0"/>
              <w:spacing w:before="240" w:after="480"/>
              <w:rPr>
                <w:sz w:val="24"/>
                <w:lang w:eastAsia="es-ES"/>
              </w:rPr>
            </w:pPr>
            <w:bookmarkStart w:id="0" w:name="RESOLUCION"/>
          </w:p>
        </w:tc>
        <w:tc>
          <w:tcPr>
            <w:tcW w:w="8504" w:type="dxa"/>
            <w:gridSpan w:val="3"/>
          </w:tcPr>
          <w:p w14:paraId="282120FE" w14:textId="77777777" w:rsidR="00AD28E7" w:rsidRPr="00A24E42" w:rsidRDefault="000A3C0E" w:rsidP="00003467">
            <w:pPr>
              <w:pStyle w:val="Normal0"/>
              <w:spacing w:before="240" w:after="480"/>
              <w:rPr>
                <w:sz w:val="24"/>
                <w:lang w:eastAsia="es-ES"/>
              </w:rPr>
            </w:pPr>
            <w:r w:rsidRPr="00630375">
              <w:rPr>
                <w:b/>
                <w:noProof/>
                <w:sz w:val="24"/>
                <w:lang w:eastAsia="es-ES"/>
              </w:rPr>
              <w:t>RESOLUCIÓN</w:t>
            </w:r>
          </w:p>
        </w:tc>
      </w:tr>
      <w:tr w:rsidR="00CF492C" w14:paraId="63CFF41A" w14:textId="77777777" w:rsidTr="0011721E">
        <w:tc>
          <w:tcPr>
            <w:tcW w:w="568" w:type="dxa"/>
          </w:tcPr>
          <w:p w14:paraId="600B61EF" w14:textId="77777777" w:rsidR="00AD28E7" w:rsidRPr="00A24E42" w:rsidRDefault="00AD28E7" w:rsidP="00003467">
            <w:pPr>
              <w:pStyle w:val="Normal0"/>
              <w:spacing w:after="360"/>
              <w:rPr>
                <w:sz w:val="22"/>
                <w:lang w:eastAsia="es-ES"/>
              </w:rPr>
            </w:pPr>
          </w:p>
        </w:tc>
        <w:tc>
          <w:tcPr>
            <w:tcW w:w="8504" w:type="dxa"/>
            <w:gridSpan w:val="3"/>
          </w:tcPr>
          <w:p w14:paraId="2FB8E903" w14:textId="77777777" w:rsidR="00AD28E7" w:rsidRPr="00A24E42" w:rsidRDefault="000A3C0E" w:rsidP="00003467">
            <w:pPr>
              <w:pStyle w:val="Normal0"/>
              <w:spacing w:after="360"/>
              <w:rPr>
                <w:sz w:val="22"/>
                <w:lang w:eastAsia="es-ES"/>
              </w:rPr>
            </w:pPr>
            <w:r w:rsidRPr="00A24E42">
              <w:rPr>
                <w:noProof/>
                <w:sz w:val="22"/>
                <w:lang w:eastAsia="es-ES"/>
              </w:rPr>
              <w:t>Servicio de Secretaría Técnica de Función Pública</w:t>
            </w:r>
            <w:r w:rsidRPr="00A24E42">
              <w:rPr>
                <w:noProof/>
                <w:sz w:val="22"/>
                <w:lang w:eastAsia="es-ES"/>
              </w:rPr>
              <w:br/>
              <w:t>Nº expte.:</w:t>
            </w:r>
            <w:r w:rsidRPr="00A24E42">
              <w:rPr>
                <w:sz w:val="22"/>
                <w:lang w:eastAsia="es-ES"/>
              </w:rPr>
              <w:t xml:space="preserve"> </w:t>
            </w:r>
            <w:r>
              <w:rPr>
                <w:sz w:val="22"/>
                <w:lang w:eastAsia="es-ES"/>
              </w:rPr>
              <w:t>230/2026</w:t>
            </w:r>
          </w:p>
        </w:tc>
      </w:tr>
      <w:tr w:rsidR="00CF492C" w14:paraId="2D0DFB21" w14:textId="77777777" w:rsidTr="0011721E">
        <w:tc>
          <w:tcPr>
            <w:tcW w:w="568" w:type="dxa"/>
          </w:tcPr>
          <w:p w14:paraId="3BD46562" w14:textId="77777777" w:rsidR="00AD28E7" w:rsidRPr="00A24E42" w:rsidRDefault="00AD28E7" w:rsidP="00003467">
            <w:pPr>
              <w:pStyle w:val="Normal0"/>
              <w:spacing w:after="360"/>
              <w:ind w:left="57" w:right="57"/>
              <w:rPr>
                <w:rFonts w:ascii="Arial" w:hAnsi="Arial"/>
                <w:b/>
                <w:sz w:val="22"/>
                <w:lang w:eastAsia="es-ES"/>
              </w:rPr>
            </w:pPr>
          </w:p>
        </w:tc>
        <w:tc>
          <w:tcPr>
            <w:tcW w:w="8504" w:type="dxa"/>
            <w:gridSpan w:val="3"/>
          </w:tcPr>
          <w:p w14:paraId="5E423592" w14:textId="0D2B330C" w:rsidR="00AD28E7" w:rsidRPr="00A24E42" w:rsidRDefault="000A3C0E" w:rsidP="00003467">
            <w:pPr>
              <w:pStyle w:val="Normal0"/>
              <w:spacing w:after="360"/>
              <w:ind w:right="142"/>
              <w:jc w:val="both"/>
              <w:rPr>
                <w:b/>
                <w:snapToGrid w:val="0"/>
                <w:sz w:val="22"/>
                <w:lang w:val="eu-ES" w:eastAsia="es-ES"/>
              </w:rPr>
            </w:pPr>
            <w:r w:rsidRPr="00200CAB">
              <w:rPr>
                <w:b/>
                <w:noProof/>
                <w:snapToGrid w:val="0"/>
                <w:sz w:val="22"/>
                <w:lang w:val="eu-ES" w:eastAsia="es-ES"/>
              </w:rPr>
              <w:t xml:space="preserve">Inadmitir la solicitud de acceso a información pública presentada por </w:t>
            </w:r>
            <w:r w:rsidR="00E772F4" w:rsidRPr="00E772F4">
              <w:rPr>
                <w:b/>
                <w:noProof/>
                <w:snapToGrid w:val="0"/>
                <w:sz w:val="22"/>
                <w:highlight w:val="black"/>
                <w:lang w:val="eu-ES" w:eastAsia="es-ES"/>
              </w:rPr>
              <w:t>XXXXX</w:t>
            </w:r>
            <w:r w:rsidRPr="00081083">
              <w:rPr>
                <w:b/>
                <w:noProof/>
                <w:snapToGrid w:val="0"/>
                <w:sz w:val="22"/>
                <w:lang w:val="eu-ES" w:eastAsia="es-ES"/>
              </w:rPr>
              <w:t xml:space="preserve"> </w:t>
            </w:r>
            <w:r w:rsidRPr="00200CAB">
              <w:rPr>
                <w:b/>
                <w:noProof/>
                <w:snapToGrid w:val="0"/>
                <w:sz w:val="22"/>
                <w:lang w:val="eu-ES" w:eastAsia="es-ES"/>
              </w:rPr>
              <w:t>en lo relativo a la información requerida no publicada en el Portal de empleo por no obrar la misma en poder de esta Dirección.</w:t>
            </w:r>
            <w:r>
              <w:rPr>
                <w:b/>
                <w:noProof/>
                <w:snapToGrid w:val="0"/>
                <w:sz w:val="22"/>
                <w:lang w:val="eu-ES" w:eastAsia="es-ES"/>
              </w:rPr>
              <w:t xml:space="preserve"> </w:t>
            </w:r>
          </w:p>
        </w:tc>
      </w:tr>
      <w:tr w:rsidR="00CF492C" w14:paraId="7C0A5621" w14:textId="77777777" w:rsidTr="00B82366">
        <w:trPr>
          <w:trHeight w:val="2127"/>
        </w:trPr>
        <w:tc>
          <w:tcPr>
            <w:tcW w:w="568" w:type="dxa"/>
          </w:tcPr>
          <w:p w14:paraId="0C67F9B5" w14:textId="77777777" w:rsidR="00AD28E7" w:rsidRPr="00A24E42" w:rsidRDefault="00AD28E7" w:rsidP="00003467">
            <w:pPr>
              <w:pStyle w:val="Normal0"/>
              <w:spacing w:after="240"/>
              <w:ind w:left="57" w:right="57"/>
              <w:jc w:val="both"/>
              <w:rPr>
                <w:rFonts w:ascii="Arial" w:hAnsi="Arial"/>
                <w:lang w:val="eu-ES" w:eastAsia="es-ES"/>
              </w:rPr>
            </w:pPr>
          </w:p>
        </w:tc>
        <w:tc>
          <w:tcPr>
            <w:tcW w:w="8504" w:type="dxa"/>
            <w:gridSpan w:val="3"/>
          </w:tcPr>
          <w:p w14:paraId="0BE34AA1" w14:textId="4E76C01F" w:rsidR="00AD28E7" w:rsidRPr="00081083" w:rsidRDefault="000A3C0E" w:rsidP="00081083">
            <w:pPr>
              <w:pStyle w:val="Normal0"/>
              <w:jc w:val="both"/>
              <w:rPr>
                <w:rFonts w:eastAsiaTheme="minorHAnsi" w:cstheme="minorBidi"/>
                <w:sz w:val="22"/>
                <w:szCs w:val="22"/>
              </w:rPr>
            </w:pPr>
            <w:r>
              <w:rPr>
                <w:rFonts w:eastAsiaTheme="minorHAnsi" w:cstheme="minorBidi"/>
                <w:sz w:val="22"/>
                <w:szCs w:val="22"/>
              </w:rPr>
              <w:t xml:space="preserve">En fecha 12 de enero de 2026 </w:t>
            </w:r>
            <w:r w:rsidR="00E772F4" w:rsidRPr="00E772F4">
              <w:rPr>
                <w:rFonts w:eastAsiaTheme="minorHAnsi" w:cstheme="minorBidi"/>
                <w:sz w:val="22"/>
                <w:szCs w:val="22"/>
                <w:highlight w:val="black"/>
              </w:rPr>
              <w:t>XXXXX</w:t>
            </w:r>
            <w:r w:rsidRPr="00774BB6">
              <w:rPr>
                <w:rFonts w:eastAsiaTheme="minorHAnsi" w:cstheme="minorBidi"/>
                <w:sz w:val="22"/>
                <w:szCs w:val="22"/>
              </w:rPr>
              <w:t xml:space="preserve"> </w:t>
            </w:r>
            <w:r w:rsidRPr="00081083">
              <w:rPr>
                <w:rFonts w:eastAsiaTheme="minorHAnsi" w:cstheme="minorBidi"/>
                <w:sz w:val="22"/>
                <w:szCs w:val="22"/>
              </w:rPr>
              <w:t>ha presentado una solicitud de acceso a la información pública, por lo que parece sustentarse en el artículo 30 NF 1/2017, relativo al «Ejercicio del derecho de acceso a la información pública», el cual guarda relación con el artículo 12 LTAIBG.</w:t>
            </w:r>
          </w:p>
          <w:p w14:paraId="29B2CCF8" w14:textId="77777777" w:rsidR="00AD28E7" w:rsidRPr="00081083" w:rsidRDefault="00AD28E7" w:rsidP="00081083">
            <w:pPr>
              <w:pStyle w:val="Normal0"/>
              <w:jc w:val="both"/>
              <w:rPr>
                <w:rFonts w:eastAsiaTheme="minorHAnsi" w:cstheme="minorBidi"/>
                <w:sz w:val="22"/>
                <w:szCs w:val="22"/>
              </w:rPr>
            </w:pPr>
          </w:p>
          <w:p w14:paraId="4B6E0EB3"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No obstante, ha de tenerse en consideración que la persona solicitante no participó en los procesos selectivos cuya información solicita, por lo que, en ningún caso, tendría la condición de interesado en virtud del artículo 53.1.a LPACAP, que reconoce a los participantes en un proceso selectivo el derecho a acceder a los exámenes realizado por los demás aspirantes, teniendo presente que ese derecho no es absoluto e ilimitado.</w:t>
            </w:r>
          </w:p>
          <w:p w14:paraId="5836C33D" w14:textId="77777777" w:rsidR="00AD28E7" w:rsidRPr="00081083" w:rsidRDefault="00AD28E7" w:rsidP="00081083">
            <w:pPr>
              <w:pStyle w:val="Normal0"/>
              <w:jc w:val="both"/>
              <w:rPr>
                <w:rFonts w:eastAsiaTheme="minorHAnsi" w:cstheme="minorBidi"/>
                <w:sz w:val="22"/>
                <w:szCs w:val="22"/>
              </w:rPr>
            </w:pPr>
          </w:p>
          <w:p w14:paraId="47ECEFAC"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Una vez descarta la presentación de la presente solicitud como interesado del artículo 53.1.a LPACAP, cabe entrar a analizar si se incurren alguna causa de inadmisión recogidas en la NF 1/2017 y LTAIBG.</w:t>
            </w:r>
          </w:p>
          <w:p w14:paraId="67B384A1" w14:textId="77777777" w:rsidR="00AD28E7" w:rsidRPr="00081083" w:rsidRDefault="00AD28E7" w:rsidP="00081083">
            <w:pPr>
              <w:pStyle w:val="Normal0"/>
              <w:jc w:val="both"/>
              <w:rPr>
                <w:rFonts w:eastAsiaTheme="minorHAnsi" w:cstheme="minorBidi"/>
                <w:sz w:val="22"/>
                <w:szCs w:val="22"/>
              </w:rPr>
            </w:pPr>
          </w:p>
          <w:p w14:paraId="6CF40AF3"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El artículo 18.1 LTAIBG, establece las causas de inadmisión de las solicitudes:</w:t>
            </w:r>
          </w:p>
          <w:p w14:paraId="746C995C" w14:textId="77777777" w:rsidR="0053630E" w:rsidRDefault="0053630E" w:rsidP="00081083">
            <w:pPr>
              <w:pStyle w:val="Normal0"/>
              <w:jc w:val="both"/>
              <w:rPr>
                <w:rFonts w:eastAsiaTheme="minorHAnsi" w:cstheme="minorBidi"/>
                <w:sz w:val="22"/>
                <w:szCs w:val="22"/>
              </w:rPr>
            </w:pPr>
          </w:p>
          <w:p w14:paraId="7A0CB30F" w14:textId="65AB3712"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«1. Se inadmitirán a trámite, mediante resolución motivada, las solicitudes:</w:t>
            </w:r>
          </w:p>
          <w:p w14:paraId="543E30B2"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a) Que se refieran a información que esté en curso de elaboración o de publicación general.</w:t>
            </w:r>
          </w:p>
          <w:p w14:paraId="70DF0C61"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lastRenderedPageBreak/>
              <w:t>b) Referidas a información que tenga carácter auxiliar o de apoyo como la contenida en notas, borradores, opiniones, resúmenes, comunicaciones e informes internos o entre órganos o entidades administrativas.</w:t>
            </w:r>
          </w:p>
          <w:p w14:paraId="37EADEC6"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c) Relativas a información para cuya divulgación sea necesaria una acción previa de reelaboración.</w:t>
            </w:r>
          </w:p>
          <w:p w14:paraId="48711D62" w14:textId="77777777" w:rsidR="00AD28E7" w:rsidRPr="00081083" w:rsidRDefault="000A3C0E" w:rsidP="00081083">
            <w:pPr>
              <w:pStyle w:val="Normal0"/>
              <w:jc w:val="both"/>
              <w:rPr>
                <w:rFonts w:eastAsiaTheme="minorHAnsi" w:cstheme="minorBidi"/>
                <w:b/>
                <w:bCs/>
                <w:sz w:val="22"/>
                <w:szCs w:val="22"/>
              </w:rPr>
            </w:pPr>
            <w:r w:rsidRPr="00081083">
              <w:rPr>
                <w:rFonts w:eastAsiaTheme="minorHAnsi" w:cstheme="minorBidi"/>
                <w:b/>
                <w:bCs/>
                <w:sz w:val="22"/>
                <w:szCs w:val="22"/>
              </w:rPr>
              <w:t>d) Dirigidas a un órgano en cuyo poder no obre la información cuando se desconozca el competente.</w:t>
            </w:r>
          </w:p>
          <w:p w14:paraId="36810F12"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e) Que sean manifiestamente repetitivas o tengan un carácter abusivo no justificado con la finalidad de transparencia de esta Ley».</w:t>
            </w:r>
          </w:p>
          <w:p w14:paraId="102BF08C" w14:textId="77777777" w:rsidR="00AD28E7" w:rsidRPr="00081083" w:rsidRDefault="00AD28E7" w:rsidP="00081083">
            <w:pPr>
              <w:pStyle w:val="Normal0"/>
              <w:jc w:val="both"/>
              <w:rPr>
                <w:rFonts w:eastAsiaTheme="minorHAnsi" w:cstheme="minorBidi"/>
                <w:sz w:val="22"/>
                <w:szCs w:val="22"/>
              </w:rPr>
            </w:pPr>
          </w:p>
          <w:p w14:paraId="00B7D785"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(El destacado es nuestro)</w:t>
            </w:r>
          </w:p>
          <w:p w14:paraId="27D3C6AF" w14:textId="77777777" w:rsidR="00AD28E7" w:rsidRPr="00081083" w:rsidRDefault="00AD28E7" w:rsidP="00081083">
            <w:pPr>
              <w:pStyle w:val="Normal0"/>
              <w:jc w:val="both"/>
              <w:rPr>
                <w:rFonts w:eastAsiaTheme="minorHAnsi" w:cstheme="minorBidi"/>
                <w:sz w:val="22"/>
                <w:szCs w:val="22"/>
              </w:rPr>
            </w:pPr>
          </w:p>
          <w:p w14:paraId="0279F85A"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En relación con el anterior precepto el artículo 34 NF 1/2017 estatuye las reglas especiales en la aplicación de las causas de inadmisión de las solicitudes de acceso, disponiendo que:</w:t>
            </w:r>
          </w:p>
          <w:p w14:paraId="1C394C55" w14:textId="77777777" w:rsidR="00AD28E7" w:rsidRPr="00081083" w:rsidRDefault="00AD28E7" w:rsidP="00081083">
            <w:pPr>
              <w:pStyle w:val="Normal0"/>
              <w:jc w:val="both"/>
              <w:rPr>
                <w:rFonts w:eastAsiaTheme="minorHAnsi" w:cstheme="minorBidi"/>
                <w:sz w:val="22"/>
                <w:szCs w:val="22"/>
              </w:rPr>
            </w:pPr>
          </w:p>
          <w:p w14:paraId="5D321A7B"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w:t>
            </w:r>
            <w:r w:rsidRPr="00081083">
              <w:rPr>
                <w:rFonts w:eastAsiaTheme="minorHAnsi" w:cstheme="minorBidi"/>
                <w:b/>
                <w:bCs/>
                <w:sz w:val="22"/>
                <w:szCs w:val="22"/>
              </w:rPr>
              <w:t>1. Serán de aplicación las causas de inadmisión de solicitudes de acceso previstas en la legislación básica.</w:t>
            </w:r>
            <w:r w:rsidRPr="00081083">
              <w:rPr>
                <w:rFonts w:eastAsiaTheme="minorHAnsi" w:cstheme="minorBidi"/>
                <w:sz w:val="22"/>
                <w:szCs w:val="22"/>
              </w:rPr>
              <w:t xml:space="preserve"> </w:t>
            </w:r>
          </w:p>
          <w:p w14:paraId="662EBF5A"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 xml:space="preserve">2. Se seguirán las siguientes reglas en la aplicación de las causas de inadmisión de las solicitudes de acceso previstas en la legislación básica: </w:t>
            </w:r>
          </w:p>
          <w:p w14:paraId="2A6FDFF9"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 xml:space="preserve">a) De acuerdo con el principio de máxima accesibilidad recogido en el artículo 16, las causas de inadmisión se interpretarán de forma restrictiva. </w:t>
            </w:r>
          </w:p>
          <w:p w14:paraId="20F02C19"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 xml:space="preserve">b) Cuando no se admita la solicitud porque la información está en curso de elaboración o publicación general, la resolución de inadmisión deberá especificar el órgano que elabora dicha información y el tiempo previsto para su conclusión y puesta a disposición. </w:t>
            </w:r>
          </w:p>
          <w:p w14:paraId="38D8905A"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 xml:space="preserve">c) Los informes preceptivos no tendrán la consideración de información de carácter auxiliar o de apoyo. </w:t>
            </w:r>
          </w:p>
          <w:p w14:paraId="67269B4B"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d) Cuando la información solicitada pueda obtenerse mediante un tratamiento informatizado de uso corriente, no se considerará reelaboración de la información».</w:t>
            </w:r>
          </w:p>
          <w:p w14:paraId="4F207AD7" w14:textId="77777777" w:rsidR="00AD28E7" w:rsidRPr="00081083" w:rsidRDefault="00AD28E7" w:rsidP="00081083">
            <w:pPr>
              <w:pStyle w:val="Normal0"/>
              <w:jc w:val="both"/>
              <w:rPr>
                <w:rFonts w:eastAsiaTheme="minorHAnsi" w:cstheme="minorBidi"/>
                <w:sz w:val="22"/>
                <w:szCs w:val="22"/>
              </w:rPr>
            </w:pPr>
          </w:p>
          <w:p w14:paraId="2C1567D8"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(El destacado es nuestro)</w:t>
            </w:r>
          </w:p>
          <w:p w14:paraId="4C3D85DC" w14:textId="77777777" w:rsidR="00AD28E7" w:rsidRPr="00081083" w:rsidRDefault="00AD28E7" w:rsidP="00081083">
            <w:pPr>
              <w:pStyle w:val="Normal0"/>
              <w:jc w:val="both"/>
              <w:rPr>
                <w:rFonts w:eastAsiaTheme="minorHAnsi" w:cstheme="minorBidi"/>
                <w:sz w:val="22"/>
                <w:szCs w:val="22"/>
              </w:rPr>
            </w:pPr>
          </w:p>
          <w:p w14:paraId="6F453232"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Al albur de los preceptos citados, se deduce, en primer lugar, que existe una remisión normativa por parte de la NF 1/2017 a las causas contempladas en el artículo 18 LTAIBG; y, en segundo término, que, y en lo que aquí interesa, el citado artículo 18, en la letra d) de su apartado primero, establece para que pueda operar la causa de inadmisión en el contenida, que esté dirigida a un órgano en cuyo poder no obre la información.</w:t>
            </w:r>
          </w:p>
          <w:p w14:paraId="4CA389DF" w14:textId="77777777" w:rsidR="00AD28E7" w:rsidRPr="00081083" w:rsidRDefault="00AD28E7" w:rsidP="00081083">
            <w:pPr>
              <w:pStyle w:val="Normal0"/>
              <w:jc w:val="both"/>
              <w:rPr>
                <w:rFonts w:eastAsiaTheme="minorHAnsi" w:cstheme="minorBidi"/>
                <w:sz w:val="22"/>
                <w:szCs w:val="22"/>
              </w:rPr>
            </w:pPr>
          </w:p>
          <w:p w14:paraId="38ED0475"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El artículo 13 LTAIBG relativo a la información pública estatuye que:</w:t>
            </w:r>
          </w:p>
          <w:p w14:paraId="77D0CB2D" w14:textId="77777777" w:rsidR="00AD28E7" w:rsidRPr="00081083" w:rsidRDefault="00AD28E7" w:rsidP="00081083">
            <w:pPr>
              <w:pStyle w:val="Normal0"/>
              <w:jc w:val="both"/>
              <w:rPr>
                <w:rFonts w:eastAsiaTheme="minorHAnsi" w:cstheme="minorBidi"/>
                <w:sz w:val="22"/>
                <w:szCs w:val="22"/>
              </w:rPr>
            </w:pPr>
          </w:p>
          <w:p w14:paraId="200F72EA"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«Artículo 13. Información pública.</w:t>
            </w:r>
          </w:p>
          <w:p w14:paraId="0BB82E56"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 xml:space="preserve">Se entiende por información pública los contenidos o documentos, cualquiera que sea su formato o soporte, </w:t>
            </w:r>
            <w:r w:rsidRPr="00081083">
              <w:rPr>
                <w:rFonts w:eastAsiaTheme="minorHAnsi" w:cstheme="minorBidi"/>
                <w:b/>
                <w:bCs/>
                <w:sz w:val="22"/>
                <w:szCs w:val="22"/>
              </w:rPr>
              <w:t>que obren en poder</w:t>
            </w:r>
            <w:r w:rsidRPr="00081083">
              <w:rPr>
                <w:rFonts w:eastAsiaTheme="minorHAnsi" w:cstheme="minorBidi"/>
                <w:sz w:val="22"/>
                <w:szCs w:val="22"/>
              </w:rPr>
              <w:t xml:space="preserve"> de alguno de los sujetos incluidos en el ámbito de aplicación de este título y que hayan sido elaborados o adquiridos en el ejercicio de sus funciones».</w:t>
            </w:r>
          </w:p>
          <w:p w14:paraId="33D65CFA" w14:textId="77777777" w:rsidR="00AD28E7" w:rsidRPr="00081083" w:rsidRDefault="00AD28E7" w:rsidP="00081083">
            <w:pPr>
              <w:pStyle w:val="Normal0"/>
              <w:jc w:val="both"/>
              <w:rPr>
                <w:rFonts w:eastAsiaTheme="minorHAnsi" w:cstheme="minorBidi"/>
                <w:sz w:val="22"/>
                <w:szCs w:val="22"/>
              </w:rPr>
            </w:pPr>
          </w:p>
          <w:p w14:paraId="41B9C474"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(El destacado es nuestro)</w:t>
            </w:r>
          </w:p>
          <w:p w14:paraId="0EB2639F" w14:textId="77777777" w:rsidR="00AD28E7" w:rsidRPr="00081083" w:rsidRDefault="00AD28E7" w:rsidP="00081083">
            <w:pPr>
              <w:pStyle w:val="Normal0"/>
              <w:jc w:val="both"/>
              <w:rPr>
                <w:rFonts w:eastAsiaTheme="minorHAnsi" w:cstheme="minorBidi"/>
                <w:sz w:val="22"/>
                <w:szCs w:val="22"/>
              </w:rPr>
            </w:pPr>
          </w:p>
          <w:p w14:paraId="6CA47731" w14:textId="77777777" w:rsidR="00AD28E7" w:rsidRPr="00081083" w:rsidRDefault="000A3C0E" w:rsidP="00081083">
            <w:pPr>
              <w:pStyle w:val="Normal0"/>
              <w:jc w:val="both"/>
              <w:rPr>
                <w:rFonts w:eastAsiaTheme="minorHAnsi" w:cstheme="minorBidi"/>
                <w:sz w:val="22"/>
                <w:szCs w:val="22"/>
              </w:rPr>
            </w:pPr>
            <w:r w:rsidRPr="00081083">
              <w:rPr>
                <w:rFonts w:eastAsiaTheme="minorHAnsi" w:cstheme="minorBidi"/>
                <w:sz w:val="22"/>
                <w:szCs w:val="22"/>
              </w:rPr>
              <w:t>Sentado lo anterior, las solicitudes con respecto al ejercicio segundo (ejercicio práctico) de la oferta de empleo público del año 2007 de la categoría de imprenta (4837) Grupo D y, con respecto al ejercicio segundo (ejercicio práctico) de la oferta de empleo público del año 2007, de la categoría de subalterno (5917) se encuentran correctamente dirigida ante el órgano competente, pero tras la revisión del expediente administrativo solicitado, cuyo soporte es en papel y tras haber concluido el mismo hace casi quince años, no obran en aquellos los enunciados ni respuestas del segundo ejercicio solicitados, por lo que resulta materialmente imposible proporcionar la información requerida, de forma que ni concurre el presupuesto ni existe objeto sobre el que proyectar el derecho de acceso del solicitante.</w:t>
            </w:r>
          </w:p>
          <w:p w14:paraId="7C7D87FC" w14:textId="77777777" w:rsidR="00AD28E7" w:rsidRPr="00081083" w:rsidRDefault="00AD28E7" w:rsidP="00081083">
            <w:pPr>
              <w:pStyle w:val="Normal0"/>
              <w:jc w:val="both"/>
              <w:rPr>
                <w:rFonts w:eastAsiaTheme="minorHAnsi" w:cstheme="minorBidi"/>
                <w:sz w:val="22"/>
                <w:szCs w:val="22"/>
              </w:rPr>
            </w:pPr>
          </w:p>
          <w:p w14:paraId="76D6D20B" w14:textId="77777777" w:rsidR="00AD28E7" w:rsidRDefault="000A3C0E" w:rsidP="00081083">
            <w:pPr>
              <w:pStyle w:val="Normal0"/>
              <w:ind w:right="142" w:firstLine="1"/>
              <w:jc w:val="both"/>
              <w:rPr>
                <w:rFonts w:eastAsiaTheme="minorHAnsi" w:cstheme="minorBidi"/>
                <w:sz w:val="22"/>
                <w:szCs w:val="22"/>
              </w:rPr>
            </w:pPr>
            <w:r w:rsidRPr="00081083">
              <w:rPr>
                <w:rFonts w:eastAsiaTheme="minorHAnsi" w:cstheme="minorBidi"/>
                <w:sz w:val="22"/>
                <w:szCs w:val="22"/>
              </w:rPr>
              <w:t>Sin perjuicio de lo anterior, el solicitante tiene el resto de información publicable relativa a dicho proceso en el portal de empleo de esta Diputación Foral.</w:t>
            </w:r>
          </w:p>
          <w:p w14:paraId="2A44E7CF" w14:textId="77777777" w:rsidR="00AD28E7" w:rsidRDefault="00AD28E7" w:rsidP="00081083">
            <w:pPr>
              <w:pStyle w:val="Normal0"/>
              <w:ind w:right="142" w:firstLine="1"/>
              <w:jc w:val="both"/>
              <w:rPr>
                <w:noProof/>
                <w:snapToGrid w:val="0"/>
                <w:sz w:val="22"/>
                <w:lang w:eastAsia="es-ES"/>
              </w:rPr>
            </w:pPr>
          </w:p>
          <w:p w14:paraId="307DB4C3" w14:textId="77777777" w:rsidR="00AD28E7" w:rsidRDefault="000A3C0E" w:rsidP="00200CAB">
            <w:pPr>
              <w:pStyle w:val="Normal0"/>
              <w:ind w:right="142" w:firstLine="1"/>
              <w:jc w:val="both"/>
              <w:rPr>
                <w:noProof/>
                <w:snapToGrid w:val="0"/>
                <w:sz w:val="22"/>
                <w:lang w:eastAsia="es-ES"/>
              </w:rPr>
            </w:pPr>
            <w:r w:rsidRPr="0071548E">
              <w:rPr>
                <w:noProof/>
                <w:snapToGrid w:val="0"/>
                <w:sz w:val="22"/>
                <w:lang w:eastAsia="es-ES"/>
              </w:rPr>
              <w:t>Por todo cuanto antecede, de conformidad con el artículo 35.1 NF 1/2017 - en relación con el Decreto Foral 154/1993 del Consejo de Diputados de 30 de Julio, por el que se establecen las atribuciones en materia de Función Pública, en relación a su vez, con el Decreto Foral 23/2021, de 1 de junio, por el que se aprueba la estructura orgánica y funcional del Departamento de Fomento del Empleo, Comercio y Turismo y de Administración Foral, y, en relación todos ellos, con el Decreto Foral 152/2023, del Diputado General, de 30 de junio, por el que se determinan los Departamentos de la Diputación Foral de Álava para la legislatura 2023-2027, resulta competente para resolver la presente solicitud la Primera Teniente de Diputado General y Diputada Foral de Empleo, Comercio, Turismo y Administración Foral, quien, por medio de la Orden Foral 243/2020, de 1 de julio, aprobó delegar en la persona titular de la dirección de Función Pública la competencia para resolver las solicitudes en materia de acceso a la información pública, por lo que, en virtud de dicha delegación, considerándose como dictada por el órgano delegante,</w:t>
            </w:r>
          </w:p>
          <w:p w14:paraId="618C5808" w14:textId="77777777" w:rsidR="00AD28E7" w:rsidRDefault="00AD28E7" w:rsidP="00200CAB">
            <w:pPr>
              <w:pStyle w:val="Normal0"/>
              <w:ind w:right="142" w:firstLine="1"/>
              <w:jc w:val="both"/>
              <w:rPr>
                <w:noProof/>
                <w:snapToGrid w:val="0"/>
                <w:sz w:val="22"/>
                <w:lang w:eastAsia="es-ES"/>
              </w:rPr>
            </w:pPr>
          </w:p>
          <w:p w14:paraId="7F370010" w14:textId="77777777" w:rsidR="00AD28E7" w:rsidRPr="003851FE" w:rsidRDefault="00AD28E7" w:rsidP="00200CAB">
            <w:pPr>
              <w:pStyle w:val="Normal0"/>
              <w:ind w:right="142" w:firstLine="1"/>
              <w:jc w:val="both"/>
              <w:rPr>
                <w:noProof/>
                <w:snapToGrid w:val="0"/>
                <w:sz w:val="22"/>
                <w:lang w:val="es-ES_tradnl" w:eastAsia="es-ES"/>
              </w:rPr>
            </w:pPr>
          </w:p>
        </w:tc>
      </w:tr>
      <w:tr w:rsidR="00CF492C" w14:paraId="30D2EB9E" w14:textId="77777777" w:rsidTr="0011721E">
        <w:trPr>
          <w:gridAfter w:val="1"/>
          <w:wAfter w:w="141" w:type="dxa"/>
        </w:trPr>
        <w:tc>
          <w:tcPr>
            <w:tcW w:w="8931" w:type="dxa"/>
            <w:gridSpan w:val="3"/>
          </w:tcPr>
          <w:p w14:paraId="33972028" w14:textId="77777777" w:rsidR="00AD28E7" w:rsidRDefault="000A3C0E" w:rsidP="00003467">
            <w:pPr>
              <w:pStyle w:val="Normal0"/>
              <w:spacing w:after="120"/>
              <w:ind w:left="-708"/>
              <w:jc w:val="both"/>
              <w:rPr>
                <w:b/>
                <w:noProof/>
                <w:snapToGrid w:val="0"/>
                <w:sz w:val="22"/>
                <w:lang w:val="es-ES_tradnl" w:eastAsia="es-ES"/>
              </w:rPr>
            </w:pPr>
            <w:r>
              <w:rPr>
                <w:b/>
                <w:noProof/>
                <w:snapToGrid w:val="0"/>
                <w:sz w:val="22"/>
                <w:lang w:val="es-ES_tradnl" w:eastAsia="es-ES"/>
              </w:rPr>
              <w:lastRenderedPageBreak/>
              <w:t xml:space="preserve">                                                                                     RESUELVO</w:t>
            </w:r>
          </w:p>
          <w:p w14:paraId="47B97539" w14:textId="77777777" w:rsidR="00AD28E7" w:rsidRPr="008E439C" w:rsidRDefault="00AD28E7" w:rsidP="00003467">
            <w:pPr>
              <w:pStyle w:val="Normal0"/>
              <w:spacing w:after="120"/>
              <w:ind w:left="-708"/>
              <w:jc w:val="center"/>
              <w:rPr>
                <w:b/>
                <w:lang w:eastAsia="es-ES"/>
              </w:rPr>
            </w:pPr>
          </w:p>
        </w:tc>
      </w:tr>
      <w:tr w:rsidR="00CF492C" w14:paraId="0E39FF6F" w14:textId="77777777" w:rsidTr="0011721E">
        <w:trPr>
          <w:trHeight w:val="4704"/>
        </w:trPr>
        <w:tc>
          <w:tcPr>
            <w:tcW w:w="568" w:type="dxa"/>
          </w:tcPr>
          <w:p w14:paraId="26A5D30F" w14:textId="77777777" w:rsidR="00AD28E7" w:rsidRPr="00A24E42" w:rsidRDefault="00AD28E7" w:rsidP="00D42D05">
            <w:pPr>
              <w:pStyle w:val="Normal0"/>
              <w:spacing w:after="240"/>
              <w:ind w:left="57" w:right="57"/>
              <w:rPr>
                <w:rFonts w:ascii="Arial" w:hAnsi="Arial"/>
                <w:lang w:val="eu-ES" w:eastAsia="es-ES"/>
              </w:rPr>
            </w:pPr>
          </w:p>
        </w:tc>
        <w:tc>
          <w:tcPr>
            <w:tcW w:w="8504" w:type="dxa"/>
            <w:gridSpan w:val="3"/>
          </w:tcPr>
          <w:p w14:paraId="429EA4F1" w14:textId="1F364108" w:rsidR="00AD28E7" w:rsidRDefault="000A3C0E" w:rsidP="00003467">
            <w:pPr>
              <w:pStyle w:val="Normal0"/>
              <w:spacing w:after="240"/>
              <w:ind w:right="142" w:firstLine="1"/>
              <w:jc w:val="both"/>
              <w:rPr>
                <w:snapToGrid w:val="0"/>
                <w:sz w:val="22"/>
                <w:lang w:val="eu-ES" w:eastAsia="es-ES"/>
              </w:rPr>
            </w:pPr>
            <w:r>
              <w:rPr>
                <w:b/>
                <w:noProof/>
                <w:snapToGrid w:val="0"/>
                <w:sz w:val="22"/>
                <w:lang w:val="es-ES_tradnl" w:eastAsia="es-ES"/>
              </w:rPr>
              <w:t>Primero</w:t>
            </w:r>
            <w:r w:rsidRPr="00552894">
              <w:rPr>
                <w:b/>
                <w:noProof/>
                <w:snapToGrid w:val="0"/>
                <w:sz w:val="22"/>
                <w:lang w:val="es-ES_tradnl" w:eastAsia="es-ES"/>
              </w:rPr>
              <w:t>.</w:t>
            </w:r>
            <w:r w:rsidRPr="00552894">
              <w:rPr>
                <w:snapToGrid w:val="0"/>
                <w:sz w:val="22"/>
                <w:lang w:val="eu-ES" w:eastAsia="es-ES"/>
              </w:rPr>
              <w:t xml:space="preserve"> </w:t>
            </w:r>
            <w:r w:rsidRPr="00774BB6">
              <w:rPr>
                <w:snapToGrid w:val="0"/>
                <w:sz w:val="22"/>
                <w:lang w:val="eu-ES" w:eastAsia="es-ES"/>
              </w:rPr>
              <w:t xml:space="preserve">Inadmitir la solicitud de acceso a información pública con respecto al ejercicio segundo (ejercicio práctico) de la oferta de empleo público del año 2007 de la categoría de imprenta (4837) Grupo D, </w:t>
            </w:r>
            <w:proofErr w:type="spellStart"/>
            <w:r w:rsidRPr="00774BB6">
              <w:rPr>
                <w:snapToGrid w:val="0"/>
                <w:sz w:val="22"/>
                <w:lang w:val="eu-ES" w:eastAsia="es-ES"/>
              </w:rPr>
              <w:t>presentada</w:t>
            </w:r>
            <w:proofErr w:type="spellEnd"/>
            <w:r w:rsidRPr="00774BB6">
              <w:rPr>
                <w:snapToGrid w:val="0"/>
                <w:sz w:val="22"/>
                <w:lang w:val="eu-ES" w:eastAsia="es-ES"/>
              </w:rPr>
              <w:t xml:space="preserve"> </w:t>
            </w:r>
            <w:proofErr w:type="spellStart"/>
            <w:r w:rsidRPr="00774BB6">
              <w:rPr>
                <w:snapToGrid w:val="0"/>
                <w:sz w:val="22"/>
                <w:lang w:val="eu-ES" w:eastAsia="es-ES"/>
              </w:rPr>
              <w:t>por</w:t>
            </w:r>
            <w:proofErr w:type="spellEnd"/>
            <w:r w:rsidRPr="00774BB6">
              <w:rPr>
                <w:snapToGrid w:val="0"/>
                <w:sz w:val="22"/>
                <w:lang w:val="eu-ES" w:eastAsia="es-ES"/>
              </w:rPr>
              <w:t xml:space="preserve"> </w:t>
            </w:r>
            <w:r w:rsidR="00E772F4" w:rsidRPr="00E772F4">
              <w:rPr>
                <w:snapToGrid w:val="0"/>
                <w:sz w:val="22"/>
                <w:highlight w:val="black"/>
                <w:lang w:val="eu-ES" w:eastAsia="es-ES"/>
              </w:rPr>
              <w:t>XXXXX</w:t>
            </w:r>
            <w:r w:rsidRPr="00774BB6">
              <w:rPr>
                <w:snapToGrid w:val="0"/>
                <w:sz w:val="22"/>
                <w:lang w:val="eu-ES" w:eastAsia="es-ES"/>
              </w:rPr>
              <w:t xml:space="preserve"> </w:t>
            </w:r>
            <w:proofErr w:type="spellStart"/>
            <w:r w:rsidRPr="00774BB6">
              <w:rPr>
                <w:snapToGrid w:val="0"/>
                <w:sz w:val="22"/>
                <w:lang w:val="eu-ES" w:eastAsia="es-ES"/>
              </w:rPr>
              <w:t>por</w:t>
            </w:r>
            <w:proofErr w:type="spellEnd"/>
            <w:r w:rsidRPr="00774BB6">
              <w:rPr>
                <w:snapToGrid w:val="0"/>
                <w:sz w:val="22"/>
                <w:lang w:val="eu-ES" w:eastAsia="es-ES"/>
              </w:rPr>
              <w:t xml:space="preserve"> no </w:t>
            </w:r>
            <w:proofErr w:type="spellStart"/>
            <w:r w:rsidRPr="00774BB6">
              <w:rPr>
                <w:snapToGrid w:val="0"/>
                <w:sz w:val="22"/>
                <w:lang w:val="eu-ES" w:eastAsia="es-ES"/>
              </w:rPr>
              <w:t>obrar</w:t>
            </w:r>
            <w:proofErr w:type="spellEnd"/>
            <w:r w:rsidRPr="00774BB6">
              <w:rPr>
                <w:snapToGrid w:val="0"/>
                <w:sz w:val="22"/>
                <w:lang w:val="eu-ES" w:eastAsia="es-ES"/>
              </w:rPr>
              <w:t xml:space="preserve"> en poder de esta Dirección la documentación requerida.</w:t>
            </w:r>
          </w:p>
          <w:p w14:paraId="5B2A77C2" w14:textId="4F395058" w:rsidR="00AD28E7" w:rsidRDefault="000A3C0E" w:rsidP="00003467">
            <w:pPr>
              <w:pStyle w:val="Normal0"/>
              <w:spacing w:after="240"/>
              <w:ind w:right="142" w:firstLine="1"/>
              <w:jc w:val="both"/>
              <w:rPr>
                <w:snapToGrid w:val="0"/>
                <w:sz w:val="22"/>
                <w:lang w:val="eu-ES" w:eastAsia="es-ES"/>
              </w:rPr>
            </w:pPr>
            <w:r>
              <w:rPr>
                <w:b/>
                <w:snapToGrid w:val="0"/>
                <w:sz w:val="22"/>
                <w:lang w:val="eu-ES" w:eastAsia="es-ES"/>
              </w:rPr>
              <w:t>Segundo</w:t>
            </w:r>
            <w:r w:rsidRPr="008B496C">
              <w:rPr>
                <w:b/>
                <w:snapToGrid w:val="0"/>
                <w:sz w:val="22"/>
                <w:lang w:val="eu-ES" w:eastAsia="es-ES"/>
              </w:rPr>
              <w:t>.</w:t>
            </w:r>
            <w:r>
              <w:rPr>
                <w:snapToGrid w:val="0"/>
                <w:sz w:val="22"/>
                <w:lang w:val="eu-ES" w:eastAsia="es-ES"/>
              </w:rPr>
              <w:t xml:space="preserve"> </w:t>
            </w:r>
            <w:r w:rsidRPr="00774BB6">
              <w:rPr>
                <w:snapToGrid w:val="0"/>
                <w:sz w:val="22"/>
                <w:lang w:val="eu-ES" w:eastAsia="es-ES"/>
              </w:rPr>
              <w:t xml:space="preserve">Inadmitir la solicitud de acceso a información pública con respecto al ejercicio segundo (ejercicio práctico) de la oferta de empleo público del año 2007 de la categoría de subalterno (5917), </w:t>
            </w:r>
            <w:proofErr w:type="spellStart"/>
            <w:r w:rsidRPr="00774BB6">
              <w:rPr>
                <w:snapToGrid w:val="0"/>
                <w:sz w:val="22"/>
                <w:lang w:val="eu-ES" w:eastAsia="es-ES"/>
              </w:rPr>
              <w:t>presentada</w:t>
            </w:r>
            <w:proofErr w:type="spellEnd"/>
            <w:r w:rsidRPr="00774BB6">
              <w:rPr>
                <w:snapToGrid w:val="0"/>
                <w:sz w:val="22"/>
                <w:lang w:val="eu-ES" w:eastAsia="es-ES"/>
              </w:rPr>
              <w:t xml:space="preserve"> </w:t>
            </w:r>
            <w:proofErr w:type="spellStart"/>
            <w:r w:rsidRPr="00774BB6">
              <w:rPr>
                <w:snapToGrid w:val="0"/>
                <w:sz w:val="22"/>
                <w:lang w:val="eu-ES" w:eastAsia="es-ES"/>
              </w:rPr>
              <w:t>por</w:t>
            </w:r>
            <w:proofErr w:type="spellEnd"/>
            <w:r w:rsidRPr="00774BB6">
              <w:rPr>
                <w:snapToGrid w:val="0"/>
                <w:sz w:val="22"/>
                <w:lang w:val="eu-ES" w:eastAsia="es-ES"/>
              </w:rPr>
              <w:t xml:space="preserve"> </w:t>
            </w:r>
            <w:r w:rsidR="00E772F4" w:rsidRPr="00E772F4">
              <w:rPr>
                <w:snapToGrid w:val="0"/>
                <w:sz w:val="22"/>
                <w:highlight w:val="black"/>
                <w:lang w:val="eu-ES" w:eastAsia="es-ES"/>
              </w:rPr>
              <w:t>XXXXX</w:t>
            </w:r>
            <w:r w:rsidRPr="00774BB6">
              <w:rPr>
                <w:snapToGrid w:val="0"/>
                <w:sz w:val="22"/>
                <w:lang w:val="eu-ES" w:eastAsia="es-ES"/>
              </w:rPr>
              <w:t xml:space="preserve"> </w:t>
            </w:r>
            <w:proofErr w:type="spellStart"/>
            <w:r w:rsidRPr="00774BB6">
              <w:rPr>
                <w:snapToGrid w:val="0"/>
                <w:sz w:val="22"/>
                <w:lang w:val="eu-ES" w:eastAsia="es-ES"/>
              </w:rPr>
              <w:t>por</w:t>
            </w:r>
            <w:proofErr w:type="spellEnd"/>
            <w:r w:rsidRPr="00774BB6">
              <w:rPr>
                <w:snapToGrid w:val="0"/>
                <w:sz w:val="22"/>
                <w:lang w:val="eu-ES" w:eastAsia="es-ES"/>
              </w:rPr>
              <w:t xml:space="preserve"> no </w:t>
            </w:r>
            <w:proofErr w:type="spellStart"/>
            <w:r w:rsidRPr="00774BB6">
              <w:rPr>
                <w:snapToGrid w:val="0"/>
                <w:sz w:val="22"/>
                <w:lang w:val="eu-ES" w:eastAsia="es-ES"/>
              </w:rPr>
              <w:t>obrar</w:t>
            </w:r>
            <w:proofErr w:type="spellEnd"/>
            <w:r w:rsidRPr="00774BB6">
              <w:rPr>
                <w:snapToGrid w:val="0"/>
                <w:sz w:val="22"/>
                <w:lang w:val="eu-ES" w:eastAsia="es-ES"/>
              </w:rPr>
              <w:t xml:space="preserve"> en poder de esta Dirección la documentación requerida.</w:t>
            </w:r>
          </w:p>
          <w:p w14:paraId="07412EE3" w14:textId="77777777" w:rsidR="00AD28E7" w:rsidRDefault="000A3C0E" w:rsidP="00003467">
            <w:pPr>
              <w:pStyle w:val="Normal0"/>
              <w:spacing w:after="240"/>
              <w:ind w:right="142" w:firstLine="1"/>
              <w:jc w:val="both"/>
              <w:rPr>
                <w:snapToGrid w:val="0"/>
                <w:sz w:val="22"/>
                <w:lang w:val="eu-ES" w:eastAsia="es-ES"/>
              </w:rPr>
            </w:pPr>
            <w:r w:rsidRPr="00774BB6">
              <w:rPr>
                <w:b/>
                <w:bCs/>
                <w:snapToGrid w:val="0"/>
                <w:sz w:val="22"/>
                <w:lang w:val="eu-ES" w:eastAsia="es-ES"/>
              </w:rPr>
              <w:t>Tercero.</w:t>
            </w:r>
            <w:r>
              <w:rPr>
                <w:snapToGrid w:val="0"/>
                <w:sz w:val="22"/>
                <w:lang w:val="eu-ES" w:eastAsia="es-ES"/>
              </w:rPr>
              <w:t xml:space="preserve"> </w:t>
            </w:r>
            <w:r w:rsidRPr="00774BB6">
              <w:rPr>
                <w:snapToGrid w:val="0"/>
                <w:sz w:val="22"/>
                <w:lang w:val="eu-ES" w:eastAsia="es-ES"/>
              </w:rPr>
              <w:t>Notificar la Resolución a la interesada, haciendo constar expresamente que la misma se dicta por delegación, considerándose como dictada por el órgano delegante.</w:t>
            </w:r>
          </w:p>
          <w:p w14:paraId="6AB07309" w14:textId="77777777" w:rsidR="00AD28E7" w:rsidRPr="008E439C" w:rsidRDefault="000A3C0E" w:rsidP="00003467">
            <w:pPr>
              <w:pStyle w:val="Normal0"/>
              <w:ind w:right="142"/>
              <w:jc w:val="both"/>
              <w:rPr>
                <w:b/>
                <w:snapToGrid w:val="0"/>
                <w:color w:val="FF0000"/>
                <w:sz w:val="22"/>
                <w:lang w:val="eu-ES" w:eastAsia="es-ES"/>
              </w:rPr>
            </w:pPr>
            <w:r>
              <w:rPr>
                <w:b/>
                <w:snapToGrid w:val="0"/>
                <w:sz w:val="22"/>
                <w:lang w:val="eu-ES" w:eastAsia="es-ES"/>
              </w:rPr>
              <w:t>Cuarto</w:t>
            </w:r>
            <w:r w:rsidRPr="008B496C">
              <w:rPr>
                <w:b/>
                <w:snapToGrid w:val="0"/>
                <w:sz w:val="22"/>
                <w:lang w:val="eu-ES" w:eastAsia="es-ES"/>
              </w:rPr>
              <w:t>.</w:t>
            </w:r>
            <w:r>
              <w:rPr>
                <w:snapToGrid w:val="0"/>
                <w:sz w:val="22"/>
                <w:lang w:val="eu-ES" w:eastAsia="es-ES"/>
              </w:rPr>
              <w:t xml:space="preserve"> </w:t>
            </w:r>
            <w:r w:rsidRPr="00AF586E">
              <w:rPr>
                <w:snapToGrid w:val="0"/>
                <w:sz w:val="22"/>
                <w:lang w:val="eu-ES" w:eastAsia="es-ES"/>
              </w:rPr>
              <w:t xml:space="preserve">Contra la presente Resolución, que agota la vía administrativa, podrá interponerse, a partir del día siguiente a la recepción de la presente notificación, recurso contencioso-administrativo, en el plazo de dos meses, ante el Juzgado de lo Contencioso-Administrativo de Vitoria-Gasteiz, de acuerdo con lo previsto en los artículos 8 y 46.1 de la Ley 29/1998, de 13 de julio, reguladora de la Jurisdicción Contencioso Administrativa; o, con carácter potestativo y previo a su impugnación en vía contencioso-administrativa, reclamación, en el plazo de un mes desde el día siguiente a la presente notificación, ante el Consejo Foral de Transparencia.  </w:t>
            </w:r>
          </w:p>
        </w:tc>
      </w:tr>
      <w:tr w:rsidR="00CF492C" w14:paraId="65086BAD" w14:textId="77777777" w:rsidTr="0053630E">
        <w:trPr>
          <w:gridAfter w:val="2"/>
          <w:wAfter w:w="4110" w:type="dxa"/>
          <w:trHeight w:val="2110"/>
        </w:trPr>
        <w:tc>
          <w:tcPr>
            <w:tcW w:w="568" w:type="dxa"/>
          </w:tcPr>
          <w:p w14:paraId="6208ECA9" w14:textId="77777777" w:rsidR="00AD28E7" w:rsidRPr="00A24E42" w:rsidRDefault="00AD28E7" w:rsidP="00003467">
            <w:pPr>
              <w:pStyle w:val="Normal0"/>
              <w:jc w:val="both"/>
              <w:rPr>
                <w:sz w:val="22"/>
                <w:lang w:eastAsia="es-ES"/>
              </w:rPr>
            </w:pPr>
          </w:p>
        </w:tc>
        <w:tc>
          <w:tcPr>
            <w:tcW w:w="4394" w:type="dxa"/>
          </w:tcPr>
          <w:p w14:paraId="0B6BF719" w14:textId="77777777" w:rsidR="00AD28E7" w:rsidRDefault="00AD28E7" w:rsidP="00003467">
            <w:pPr>
              <w:pStyle w:val="Normal0"/>
              <w:jc w:val="both"/>
              <w:rPr>
                <w:noProof/>
                <w:sz w:val="22"/>
                <w:lang w:eastAsia="es-ES"/>
              </w:rPr>
            </w:pPr>
          </w:p>
          <w:p w14:paraId="59667EC1" w14:textId="77777777" w:rsidR="00AD28E7" w:rsidRDefault="000A3C0E" w:rsidP="00003467">
            <w:pPr>
              <w:pStyle w:val="Normal0"/>
              <w:jc w:val="both"/>
              <w:rPr>
                <w:noProof/>
                <w:sz w:val="22"/>
                <w:lang w:eastAsia="es-ES"/>
              </w:rPr>
            </w:pPr>
            <w:r w:rsidRPr="00A24E42">
              <w:rPr>
                <w:noProof/>
                <w:sz w:val="22"/>
                <w:lang w:eastAsia="es-ES"/>
              </w:rPr>
              <w:t>Vitoria-Gasteiz.</w:t>
            </w:r>
          </w:p>
          <w:p w14:paraId="3E80D712" w14:textId="77777777" w:rsidR="00AD28E7" w:rsidRDefault="00AD28E7" w:rsidP="00003467">
            <w:pPr>
              <w:pStyle w:val="Normal0"/>
              <w:jc w:val="both"/>
              <w:rPr>
                <w:sz w:val="22"/>
                <w:lang w:eastAsia="es-ES"/>
              </w:rPr>
            </w:pPr>
          </w:p>
          <w:p w14:paraId="5A1C5E05" w14:textId="77777777" w:rsidR="0053630E" w:rsidRDefault="0053630E" w:rsidP="00003467">
            <w:pPr>
              <w:pStyle w:val="Normal0"/>
              <w:jc w:val="both"/>
              <w:rPr>
                <w:sz w:val="22"/>
                <w:lang w:eastAsia="es-ES"/>
              </w:rPr>
            </w:pPr>
          </w:p>
          <w:p w14:paraId="49FC44BC" w14:textId="77777777" w:rsidR="0053630E" w:rsidRDefault="0053630E" w:rsidP="00003467">
            <w:pPr>
              <w:pStyle w:val="Normal0"/>
              <w:jc w:val="both"/>
              <w:rPr>
                <w:sz w:val="22"/>
                <w:lang w:eastAsia="es-ES"/>
              </w:rPr>
            </w:pPr>
          </w:p>
          <w:p w14:paraId="4411E086" w14:textId="77777777" w:rsidR="0053630E" w:rsidRPr="0041598C" w:rsidRDefault="0053630E" w:rsidP="0053630E">
            <w:pPr>
              <w:pStyle w:val="Normal0"/>
              <w:autoSpaceDE w:val="0"/>
              <w:autoSpaceDN w:val="0"/>
              <w:adjustRightInd w:val="0"/>
              <w:spacing w:line="276" w:lineRule="auto"/>
              <w:rPr>
                <w:rFonts w:asciiTheme="minorHAnsi" w:eastAsiaTheme="minorHAnsi" w:hAnsiTheme="minorHAnsi" w:cstheme="minorBidi"/>
                <w:b/>
                <w:bCs/>
                <w:sz w:val="22"/>
                <w:szCs w:val="22"/>
              </w:rPr>
            </w:pPr>
            <w:r w:rsidRPr="0041598C">
              <w:rPr>
                <w:rFonts w:asciiTheme="minorHAnsi" w:eastAsiaTheme="minorHAnsi" w:hAnsiTheme="minorHAnsi" w:cstheme="minorBidi"/>
                <w:b/>
                <w:bCs/>
                <w:sz w:val="22"/>
                <w:szCs w:val="22"/>
              </w:rPr>
              <w:t xml:space="preserve">Koldo Mikel Ruilope González </w:t>
            </w:r>
          </w:p>
          <w:p w14:paraId="7CDF564F" w14:textId="77777777" w:rsidR="0053630E" w:rsidRDefault="0053630E" w:rsidP="0053630E">
            <w:pPr>
              <w:pStyle w:val="Normal0"/>
              <w:tabs>
                <w:tab w:val="right" w:pos="8789"/>
              </w:tabs>
              <w:spacing w:line="240" w:lineRule="exact"/>
              <w:jc w:val="both"/>
              <w:rPr>
                <w:noProof/>
                <w:sz w:val="22"/>
                <w:lang w:eastAsia="es-ES"/>
              </w:rPr>
            </w:pPr>
            <w:r>
              <w:rPr>
                <w:noProof/>
                <w:sz w:val="22"/>
                <w:lang w:eastAsia="es-ES"/>
              </w:rPr>
              <w:t>Funtzio Publikoko zuzendaria</w:t>
            </w:r>
          </w:p>
          <w:p w14:paraId="20B5674E" w14:textId="1EFF088A" w:rsidR="0053630E" w:rsidRDefault="0053630E" w:rsidP="0053630E">
            <w:pPr>
              <w:pStyle w:val="Normal0"/>
              <w:jc w:val="both"/>
              <w:rPr>
                <w:sz w:val="22"/>
                <w:lang w:eastAsia="es-ES"/>
              </w:rPr>
            </w:pPr>
            <w:r>
              <w:rPr>
                <w:noProof/>
                <w:sz w:val="22"/>
                <w:lang w:eastAsia="es-ES"/>
              </w:rPr>
              <w:t>Director de Función Pública</w:t>
            </w:r>
          </w:p>
          <w:p w14:paraId="069A4E95" w14:textId="77777777" w:rsidR="0053630E" w:rsidRDefault="0053630E" w:rsidP="00003467">
            <w:pPr>
              <w:pStyle w:val="Normal0"/>
              <w:jc w:val="both"/>
              <w:rPr>
                <w:sz w:val="22"/>
                <w:lang w:eastAsia="es-ES"/>
              </w:rPr>
            </w:pPr>
          </w:p>
          <w:p w14:paraId="44394B3E" w14:textId="77777777" w:rsidR="0053630E" w:rsidRPr="00A24E42" w:rsidRDefault="0053630E" w:rsidP="00003467">
            <w:pPr>
              <w:pStyle w:val="Normal0"/>
              <w:jc w:val="both"/>
              <w:rPr>
                <w:sz w:val="22"/>
                <w:lang w:eastAsia="es-ES"/>
              </w:rPr>
            </w:pPr>
          </w:p>
        </w:tc>
      </w:tr>
      <w:bookmarkEnd w:id="0"/>
    </w:tbl>
    <w:p w14:paraId="2B27548E" w14:textId="77777777" w:rsidR="00AD28E7" w:rsidRDefault="00AD28E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AD28E7"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6A32" w14:textId="77777777" w:rsidR="00C70F0A" w:rsidRDefault="00C70F0A">
      <w:r>
        <w:separator/>
      </w:r>
    </w:p>
  </w:endnote>
  <w:endnote w:type="continuationSeparator" w:id="0">
    <w:p w14:paraId="686F95BF" w14:textId="77777777" w:rsidR="00C70F0A" w:rsidRDefault="00C7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CF492C" w14:paraId="08381460" w14:textId="77777777" w:rsidTr="00E47DB3">
      <w:trPr>
        <w:trHeight w:val="567"/>
      </w:trPr>
      <w:tc>
        <w:tcPr>
          <w:tcW w:w="9921" w:type="dxa"/>
        </w:tcPr>
        <w:p w14:paraId="0C648B13" w14:textId="77777777" w:rsidR="00AD28E7" w:rsidRPr="00E47DB3" w:rsidRDefault="000A3C0E"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4</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4</w:t>
          </w:r>
          <w:r w:rsidRPr="00E47DB3">
            <w:rPr>
              <w:rFonts w:ascii="Arial" w:hAnsi="Arial" w:cs="Arial"/>
              <w:color w:val="808080"/>
              <w:sz w:val="16"/>
            </w:rPr>
            <w:fldChar w:fldCharType="end"/>
          </w:r>
        </w:p>
      </w:tc>
    </w:tr>
  </w:tbl>
  <w:p w14:paraId="6A724A64" w14:textId="77777777" w:rsidR="00AD28E7" w:rsidRDefault="00AD28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BDFA" w14:textId="7EE9AD53" w:rsidR="00AD28E7" w:rsidRPr="0013291F" w:rsidRDefault="00AD28E7" w:rsidP="00BE3C89">
    <w:pPr>
      <w:pBdr>
        <w:bottom w:val="single" w:sz="4" w:space="1" w:color="auto"/>
      </w:pBdr>
      <w:spacing w:line="180" w:lineRule="exact"/>
      <w:rPr>
        <w:sz w:val="22"/>
      </w:rPr>
    </w:pP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CF492C" w14:paraId="30F1E0BB" w14:textId="77777777" w:rsidTr="005C6341">
      <w:trPr>
        <w:trHeight w:val="433"/>
      </w:trPr>
      <w:tc>
        <w:tcPr>
          <w:tcW w:w="4323" w:type="dxa"/>
        </w:tcPr>
        <w:p w14:paraId="797FDD8B" w14:textId="77777777" w:rsidR="0053630E" w:rsidRPr="00021811" w:rsidRDefault="0053630E" w:rsidP="0053630E">
          <w:pPr>
            <w:autoSpaceDE w:val="0"/>
            <w:autoSpaceDN w:val="0"/>
            <w:adjustRightInd w:val="0"/>
            <w:rPr>
              <w:rFonts w:ascii="Arial" w:eastAsiaTheme="minorHAnsi" w:hAnsi="Arial" w:cs="Arial"/>
              <w:b/>
              <w:bCs/>
              <w:sz w:val="16"/>
              <w:szCs w:val="16"/>
              <w:lang w:val="es-ES" w:eastAsia="en-US"/>
            </w:rPr>
          </w:pPr>
          <w:r w:rsidRPr="00021811">
            <w:rPr>
              <w:rFonts w:ascii="Arial" w:eastAsiaTheme="minorHAnsi" w:hAnsi="Arial" w:cs="Arial"/>
              <w:b/>
              <w:bCs/>
              <w:sz w:val="16"/>
              <w:szCs w:val="16"/>
              <w:lang w:val="es-ES" w:eastAsia="en-US"/>
            </w:rPr>
            <w:t>Enplegu, Merkataritza, Turismo eta Foru Administrazioaren Saila</w:t>
          </w:r>
        </w:p>
        <w:p w14:paraId="39632139" w14:textId="77777777" w:rsidR="0053630E" w:rsidRPr="00021811" w:rsidRDefault="0053630E" w:rsidP="0053630E">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Departamento de Empleo, Comercio, Turismo y</w:t>
          </w:r>
        </w:p>
        <w:p w14:paraId="2AFE47C6" w14:textId="77777777" w:rsidR="0053630E" w:rsidRPr="00021811" w:rsidRDefault="0053630E" w:rsidP="0053630E">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Administración Foral</w:t>
          </w:r>
        </w:p>
        <w:p w14:paraId="75A5A7D0" w14:textId="0CE99EDB" w:rsidR="00AD28E7" w:rsidRPr="0013291F" w:rsidRDefault="00AD28E7" w:rsidP="005C6341">
          <w:pPr>
            <w:pStyle w:val="Textoindependiente"/>
            <w:spacing w:after="113" w:line="220" w:lineRule="exact"/>
            <w:ind w:left="11"/>
            <w:jc w:val="left"/>
            <w:rPr>
              <w:rFonts w:cs="Arial"/>
              <w:sz w:val="16"/>
              <w:szCs w:val="16"/>
            </w:rPr>
          </w:pPr>
        </w:p>
      </w:tc>
      <w:tc>
        <w:tcPr>
          <w:tcW w:w="3118" w:type="dxa"/>
        </w:tcPr>
        <w:p w14:paraId="3FBC9249" w14:textId="77777777" w:rsidR="0053630E" w:rsidRPr="00021811" w:rsidRDefault="0053630E" w:rsidP="0053630E">
          <w:pPr>
            <w:pStyle w:val="Textoindependiente"/>
            <w:spacing w:before="20" w:after="70" w:line="200" w:lineRule="exact"/>
            <w:ind w:left="40"/>
            <w:jc w:val="left"/>
            <w:rPr>
              <w:rFonts w:cs="Arial"/>
              <w:sz w:val="16"/>
              <w:szCs w:val="16"/>
            </w:rPr>
          </w:pPr>
          <w:r w:rsidRPr="00021811">
            <w:rPr>
              <w:rFonts w:cs="Arial"/>
              <w:sz w:val="16"/>
              <w:szCs w:val="16"/>
            </w:rPr>
            <w:t>Funtzio Publikoko Zuzendaritza</w:t>
          </w:r>
        </w:p>
        <w:p w14:paraId="49FC1117" w14:textId="4044BF3B" w:rsidR="00AD28E7" w:rsidRPr="0013291F" w:rsidRDefault="0053630E" w:rsidP="0053630E">
          <w:pPr>
            <w:pStyle w:val="Textoindependiente"/>
            <w:spacing w:before="20" w:after="70" w:line="200" w:lineRule="exact"/>
            <w:ind w:left="40"/>
            <w:jc w:val="left"/>
            <w:rPr>
              <w:rFonts w:cs="Arial"/>
              <w:sz w:val="16"/>
              <w:szCs w:val="16"/>
            </w:rPr>
          </w:pPr>
          <w:r w:rsidRPr="00021811">
            <w:rPr>
              <w:rFonts w:cs="Arial"/>
              <w:sz w:val="16"/>
              <w:szCs w:val="16"/>
            </w:rPr>
            <w:t>Dirección de Función Pública</w:t>
          </w:r>
        </w:p>
      </w:tc>
      <w:tc>
        <w:tcPr>
          <w:tcW w:w="2268" w:type="dxa"/>
        </w:tcPr>
        <w:p w14:paraId="66288D93" w14:textId="77777777" w:rsidR="00AD28E7" w:rsidRPr="0013291F" w:rsidRDefault="000A3C0E"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3CCC21A9" w14:textId="77777777" w:rsidR="00AD28E7" w:rsidRPr="0013291F" w:rsidRDefault="000A3C0E"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7E342163" w14:textId="77777777" w:rsidR="00AD28E7" w:rsidRPr="0013291F" w:rsidRDefault="000A3C0E"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Fax: 945 18 19 47</w:t>
          </w:r>
        </w:p>
      </w:tc>
    </w:tr>
  </w:tbl>
  <w:p w14:paraId="4A4732E2" w14:textId="77777777" w:rsidR="00AD28E7" w:rsidRPr="00BE3C89" w:rsidRDefault="00AD28E7"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F48C" w14:textId="77777777" w:rsidR="00C70F0A" w:rsidRDefault="00C70F0A">
      <w:r>
        <w:separator/>
      </w:r>
    </w:p>
  </w:footnote>
  <w:footnote w:type="continuationSeparator" w:id="0">
    <w:p w14:paraId="2502143D" w14:textId="77777777" w:rsidR="00C70F0A" w:rsidRDefault="00C7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CF492C" w14:paraId="0202B10D" w14:textId="77777777" w:rsidTr="001A0E0E">
      <w:trPr>
        <w:cantSplit/>
        <w:trHeight w:hRule="exact" w:val="567"/>
      </w:trPr>
      <w:tc>
        <w:tcPr>
          <w:tcW w:w="4536" w:type="dxa"/>
          <w:vAlign w:val="center"/>
        </w:tcPr>
        <w:p w14:paraId="4F666C01" w14:textId="77777777" w:rsidR="00AD28E7" w:rsidRDefault="00AD28E7" w:rsidP="0078412B">
          <w:pPr>
            <w:pStyle w:val="Encabezado"/>
          </w:pPr>
        </w:p>
      </w:tc>
      <w:tc>
        <w:tcPr>
          <w:tcW w:w="851" w:type="dxa"/>
          <w:vMerge w:val="restart"/>
          <w:vAlign w:val="center"/>
        </w:tcPr>
        <w:p w14:paraId="274A3CA7" w14:textId="77777777" w:rsidR="00AD28E7" w:rsidRDefault="000A3C0E" w:rsidP="0078412B">
          <w:pPr>
            <w:pStyle w:val="Encabezado"/>
            <w:jc w:val="center"/>
          </w:pPr>
          <w:r>
            <w:rPr>
              <w:noProof/>
              <w:lang w:val="es-ES"/>
            </w:rPr>
            <w:drawing>
              <wp:inline distT="0" distB="0" distL="0" distR="0" wp14:anchorId="14504798" wp14:editId="66D755E1">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6605A7C9" w14:textId="77777777" w:rsidR="00AD28E7" w:rsidRDefault="00AD28E7" w:rsidP="0078412B">
          <w:pPr>
            <w:pStyle w:val="Encabezado"/>
          </w:pPr>
        </w:p>
      </w:tc>
    </w:tr>
    <w:tr w:rsidR="00CF492C" w14:paraId="6FF0228B" w14:textId="77777777" w:rsidTr="001A0E0E">
      <w:trPr>
        <w:cantSplit/>
        <w:trHeight w:hRule="exact" w:val="567"/>
      </w:trPr>
      <w:tc>
        <w:tcPr>
          <w:tcW w:w="4536" w:type="dxa"/>
          <w:vAlign w:val="center"/>
        </w:tcPr>
        <w:p w14:paraId="3C4EE9D5" w14:textId="77777777" w:rsidR="00AD28E7" w:rsidRDefault="00AD28E7" w:rsidP="0078412B">
          <w:pPr>
            <w:pStyle w:val="Encabezado"/>
          </w:pPr>
        </w:p>
      </w:tc>
      <w:tc>
        <w:tcPr>
          <w:tcW w:w="851" w:type="dxa"/>
          <w:vMerge/>
          <w:vAlign w:val="center"/>
        </w:tcPr>
        <w:p w14:paraId="3A6D6D5E" w14:textId="77777777" w:rsidR="00AD28E7" w:rsidRDefault="00AD28E7" w:rsidP="0078412B">
          <w:pPr>
            <w:pStyle w:val="Encabezado"/>
            <w:jc w:val="center"/>
          </w:pPr>
        </w:p>
      </w:tc>
      <w:tc>
        <w:tcPr>
          <w:tcW w:w="4536" w:type="dxa"/>
          <w:vAlign w:val="center"/>
        </w:tcPr>
        <w:p w14:paraId="13098997" w14:textId="77777777" w:rsidR="00AD28E7" w:rsidRDefault="00AD28E7" w:rsidP="0078412B">
          <w:pPr>
            <w:pStyle w:val="Encabezado"/>
          </w:pPr>
        </w:p>
      </w:tc>
    </w:tr>
  </w:tbl>
  <w:p w14:paraId="6A6A33A4" w14:textId="77777777" w:rsidR="00AD28E7" w:rsidRPr="0013766D" w:rsidRDefault="00AD28E7">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CF492C" w14:paraId="69AA0740" w14:textId="77777777" w:rsidTr="001F2BE9">
      <w:trPr>
        <w:trHeight w:val="2041"/>
      </w:trPr>
      <w:tc>
        <w:tcPr>
          <w:tcW w:w="3969" w:type="dxa"/>
        </w:tcPr>
        <w:p w14:paraId="40E1D4D4" w14:textId="77777777" w:rsidR="00AD28E7" w:rsidRPr="007F2571" w:rsidRDefault="000A3C0E"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6E067366" wp14:editId="08860805">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32AE942B" w14:textId="77777777" w:rsidR="00AD28E7" w:rsidRDefault="00AD28E7" w:rsidP="00470015">
          <w:pPr>
            <w:pStyle w:val="Piedepgina"/>
            <w:rPr>
              <w:rFonts w:ascii="Arial" w:hAnsi="Arial" w:cs="Arial"/>
              <w:b/>
              <w:bCs/>
              <w:color w:val="808080" w:themeColor="background1" w:themeShade="80"/>
              <w:sz w:val="12"/>
              <w:szCs w:val="12"/>
              <w:lang w:val="es-ES"/>
            </w:rPr>
          </w:pPr>
        </w:p>
        <w:p w14:paraId="6E771693" w14:textId="77777777" w:rsidR="00AD28E7" w:rsidRPr="000B6392" w:rsidRDefault="00AD28E7" w:rsidP="00470015">
          <w:pPr>
            <w:pStyle w:val="Encabezado"/>
            <w:rPr>
              <w:rFonts w:ascii="Arial" w:hAnsi="Arial" w:cs="Arial"/>
              <w:b/>
              <w:color w:val="808080" w:themeColor="background1" w:themeShade="80"/>
              <w:sz w:val="16"/>
              <w:szCs w:val="16"/>
            </w:rPr>
          </w:pPr>
        </w:p>
      </w:tc>
    </w:tr>
  </w:tbl>
  <w:p w14:paraId="3AE51A36" w14:textId="77777777" w:rsidR="00AD28E7" w:rsidRPr="0013766D" w:rsidRDefault="00AD28E7"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614139073">
    <w:abstractNumId w:val="0"/>
  </w:num>
  <w:num w:numId="2" w16cid:durableId="1286498546">
    <w:abstractNumId w:val="2"/>
  </w:num>
  <w:num w:numId="3" w16cid:durableId="2068141037">
    <w:abstractNumId w:val="1"/>
  </w:num>
  <w:num w:numId="4" w16cid:durableId="1364287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2C"/>
    <w:rsid w:val="000A3C0E"/>
    <w:rsid w:val="00161CBF"/>
    <w:rsid w:val="0021509F"/>
    <w:rsid w:val="0053630E"/>
    <w:rsid w:val="00AD28E7"/>
    <w:rsid w:val="00C37BA9"/>
    <w:rsid w:val="00C70F0A"/>
    <w:rsid w:val="00CF492C"/>
    <w:rsid w:val="00E772F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76A98"/>
  <w15:docId w15:val="{93CC1970-615C-44E5-A8BE-20CBE67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link w:val="TextoindependienteCar"/>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lang w:eastAsia="en-US"/>
    </w:rPr>
  </w:style>
  <w:style w:type="character" w:customStyle="1" w:styleId="TextoindependienteCar">
    <w:name w:val="Texto independiente Car"/>
    <w:basedOn w:val="Fuentedeprrafopredeter"/>
    <w:link w:val="Textoindependiente"/>
    <w:semiHidden/>
    <w:rsid w:val="0053630E"/>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3</TotalTime>
  <Pages>3</Pages>
  <Words>1276</Words>
  <Characters>7067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2026-03-16T12:06:00Z</dcterms:created>
  <dcterms:modified xsi:type="dcterms:W3CDTF">2026-03-30T08:42:00Z</dcterms:modified>
</cp:coreProperties>
</file>