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60AE3" w14:textId="77777777" w:rsidR="00853BDD" w:rsidRDefault="00C210AC">
      <w:pPr>
        <w:spacing w:after="17"/>
        <w:ind w:left="10" w:hanging="10"/>
      </w:pPr>
      <w:r>
        <w:rPr>
          <w:noProof/>
        </w:rPr>
        <w:drawing>
          <wp:anchor distT="0" distB="0" distL="114300" distR="114300" simplePos="0" relativeHeight="251658240" behindDoc="0" locked="0" layoutInCell="1" allowOverlap="0" wp14:anchorId="104FA6F8" wp14:editId="5AC5347C">
            <wp:simplePos x="0" y="0"/>
            <wp:positionH relativeFrom="column">
              <wp:posOffset>-291642</wp:posOffset>
            </wp:positionH>
            <wp:positionV relativeFrom="paragraph">
              <wp:posOffset>-38705</wp:posOffset>
            </wp:positionV>
            <wp:extent cx="2105025" cy="711835"/>
            <wp:effectExtent l="0" t="0" r="0" b="0"/>
            <wp:wrapSquare wrapText="bothSides"/>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7"/>
                    <a:stretch>
                      <a:fillRect/>
                    </a:stretch>
                  </pic:blipFill>
                  <pic:spPr>
                    <a:xfrm>
                      <a:off x="0" y="0"/>
                      <a:ext cx="2105025" cy="711835"/>
                    </a:xfrm>
                    <a:prstGeom prst="rect">
                      <a:avLst/>
                    </a:prstGeom>
                  </pic:spPr>
                </pic:pic>
              </a:graphicData>
            </a:graphic>
          </wp:anchor>
        </w:drawing>
      </w:r>
      <w:r>
        <w:rPr>
          <w:rFonts w:ascii="Arial" w:eastAsia="Arial" w:hAnsi="Arial" w:cs="Arial"/>
          <w:b/>
          <w:sz w:val="18"/>
        </w:rPr>
        <w:t xml:space="preserve">Berdintasun, Euskara eta Gobernantza </w:t>
      </w:r>
    </w:p>
    <w:p w14:paraId="745C5E22" w14:textId="77777777" w:rsidR="00853BDD" w:rsidRDefault="00C210AC" w:rsidP="00447CBA">
      <w:pPr>
        <w:spacing w:after="55"/>
        <w:ind w:left="1967" w:right="-1338" w:hanging="10"/>
      </w:pPr>
      <w:r>
        <w:rPr>
          <w:rFonts w:ascii="Arial" w:eastAsia="Arial" w:hAnsi="Arial" w:cs="Arial"/>
          <w:b/>
          <w:sz w:val="18"/>
        </w:rPr>
        <w:t xml:space="preserve">Saila </w:t>
      </w:r>
    </w:p>
    <w:p w14:paraId="16943CFC" w14:textId="77777777" w:rsidR="00853BDD" w:rsidRDefault="00C210AC" w:rsidP="00447CBA">
      <w:pPr>
        <w:spacing w:after="17"/>
        <w:ind w:left="10" w:hanging="10"/>
      </w:pPr>
      <w:r>
        <w:rPr>
          <w:rFonts w:ascii="Arial" w:eastAsia="Arial" w:hAnsi="Arial" w:cs="Arial"/>
          <w:b/>
          <w:sz w:val="18"/>
        </w:rPr>
        <w:t xml:space="preserve">Departamento de Igualdad, </w:t>
      </w:r>
      <w:proofErr w:type="gramStart"/>
      <w:r>
        <w:rPr>
          <w:rFonts w:ascii="Arial" w:eastAsia="Arial" w:hAnsi="Arial" w:cs="Arial"/>
          <w:b/>
          <w:sz w:val="18"/>
        </w:rPr>
        <w:t>Euskera</w:t>
      </w:r>
      <w:proofErr w:type="gramEnd"/>
      <w:r>
        <w:rPr>
          <w:rFonts w:ascii="Arial" w:eastAsia="Arial" w:hAnsi="Arial" w:cs="Arial"/>
          <w:b/>
          <w:sz w:val="18"/>
        </w:rPr>
        <w:t xml:space="preserve"> y </w:t>
      </w:r>
    </w:p>
    <w:p w14:paraId="4FF4421F" w14:textId="77777777" w:rsidR="00853BDD" w:rsidRDefault="00C210AC" w:rsidP="00447CBA">
      <w:pPr>
        <w:spacing w:after="0"/>
        <w:ind w:left="1967" w:right="-1957" w:hanging="10"/>
      </w:pPr>
      <w:r>
        <w:rPr>
          <w:rFonts w:ascii="Arial" w:eastAsia="Arial" w:hAnsi="Arial" w:cs="Arial"/>
          <w:b/>
          <w:sz w:val="18"/>
        </w:rPr>
        <w:t xml:space="preserve">Gobernanza </w:t>
      </w:r>
    </w:p>
    <w:p w14:paraId="68999067" w14:textId="77777777" w:rsidR="00853BDD" w:rsidRDefault="00C210AC">
      <w:pPr>
        <w:spacing w:after="110"/>
        <w:ind w:left="2857"/>
      </w:pPr>
      <w:r>
        <w:rPr>
          <w:rFonts w:ascii="Arial" w:eastAsia="Arial" w:hAnsi="Arial" w:cs="Arial"/>
          <w:sz w:val="16"/>
        </w:rPr>
        <w:t xml:space="preserve"> </w:t>
      </w:r>
    </w:p>
    <w:p w14:paraId="6645A3E5" w14:textId="77777777" w:rsidR="00853BDD" w:rsidRDefault="00C210AC">
      <w:pPr>
        <w:spacing w:after="534"/>
        <w:ind w:left="2923"/>
        <w:jc w:val="center"/>
      </w:pPr>
      <w:r>
        <w:rPr>
          <w:rFonts w:ascii="Arial" w:eastAsia="Arial" w:hAnsi="Arial" w:cs="Arial"/>
          <w:sz w:val="18"/>
        </w:rPr>
        <w:t xml:space="preserve"> </w:t>
      </w:r>
    </w:p>
    <w:p w14:paraId="18AD7849" w14:textId="77777777" w:rsidR="00853BDD" w:rsidRDefault="00C210AC">
      <w:pPr>
        <w:spacing w:after="0"/>
        <w:ind w:left="859"/>
      </w:pPr>
      <w:r>
        <w:rPr>
          <w:rFonts w:ascii="Arial" w:eastAsia="Arial" w:hAnsi="Arial" w:cs="Arial"/>
          <w:sz w:val="26"/>
        </w:rPr>
        <w:t>76/2026, de 2 de julio</w:t>
      </w:r>
    </w:p>
    <w:p w14:paraId="51EC582B" w14:textId="77777777" w:rsidR="00853BDD" w:rsidRDefault="00C210AC">
      <w:pPr>
        <w:spacing w:after="53"/>
        <w:ind w:left="444"/>
      </w:pPr>
      <w:r>
        <w:rPr>
          <w:noProof/>
        </w:rPr>
        <mc:AlternateContent>
          <mc:Choice Requires="wpg">
            <w:drawing>
              <wp:inline distT="0" distB="0" distL="0" distR="0" wp14:anchorId="5A7B6252" wp14:editId="4A77C57F">
                <wp:extent cx="5772277" cy="6096"/>
                <wp:effectExtent l="0" t="0" r="0" b="0"/>
                <wp:docPr id="3694" name="Group 3694"/>
                <wp:cNvGraphicFramePr/>
                <a:graphic xmlns:a="http://schemas.openxmlformats.org/drawingml/2006/main">
                  <a:graphicData uri="http://schemas.microsoft.com/office/word/2010/wordprocessingGroup">
                    <wpg:wgp>
                      <wpg:cNvGrpSpPr/>
                      <wpg:grpSpPr>
                        <a:xfrm>
                          <a:off x="0" y="0"/>
                          <a:ext cx="5772277" cy="6096"/>
                          <a:chOff x="0" y="0"/>
                          <a:chExt cx="5772277" cy="6096"/>
                        </a:xfrm>
                      </wpg:grpSpPr>
                      <wps:wsp>
                        <wps:cNvPr id="4540" name="Shape 4540"/>
                        <wps:cNvSpPr/>
                        <wps:spPr>
                          <a:xfrm>
                            <a:off x="0" y="0"/>
                            <a:ext cx="5772277" cy="9144"/>
                          </a:xfrm>
                          <a:custGeom>
                            <a:avLst/>
                            <a:gdLst/>
                            <a:ahLst/>
                            <a:cxnLst/>
                            <a:rect l="0" t="0" r="0" b="0"/>
                            <a:pathLst>
                              <a:path w="5772277" h="9144">
                                <a:moveTo>
                                  <a:pt x="0" y="0"/>
                                </a:moveTo>
                                <a:lnTo>
                                  <a:pt x="5772277" y="0"/>
                                </a:lnTo>
                                <a:lnTo>
                                  <a:pt x="577227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694" style="width:454.51pt;height:0.47998pt;mso-position-horizontal-relative:char;mso-position-vertical-relative:line" coordsize="57722,60">
                <v:shape id="Shape 4541" style="position:absolute;width:57722;height:91;left:0;top:0;" coordsize="5772277,9144" path="m0,0l5772277,0l5772277,9144l0,9144l0,0">
                  <v:stroke weight="0pt" endcap="flat" joinstyle="miter" miterlimit="10" on="false" color="#000000" opacity="0"/>
                  <v:fill on="true" color="#000000"/>
                </v:shape>
              </v:group>
            </w:pict>
          </mc:Fallback>
        </mc:AlternateContent>
      </w:r>
    </w:p>
    <w:p w14:paraId="72FF46AE" w14:textId="77777777" w:rsidR="00853BDD" w:rsidRDefault="00C210AC">
      <w:pPr>
        <w:spacing w:after="297"/>
        <w:ind w:left="473"/>
      </w:pPr>
      <w:r>
        <w:rPr>
          <w:rFonts w:ascii="Arial" w:eastAsia="Arial" w:hAnsi="Arial" w:cs="Arial"/>
          <w:sz w:val="16"/>
        </w:rPr>
        <w:t xml:space="preserve"> </w:t>
      </w:r>
    </w:p>
    <w:p w14:paraId="464771FA" w14:textId="77777777" w:rsidR="00853BDD" w:rsidRDefault="00C210AC">
      <w:pPr>
        <w:spacing w:after="436"/>
        <w:ind w:left="461"/>
      </w:pPr>
      <w:r>
        <w:rPr>
          <w:rFonts w:ascii="Times New Roman" w:eastAsia="Times New Roman" w:hAnsi="Times New Roman" w:cs="Times New Roman"/>
          <w:b/>
          <w:sz w:val="24"/>
        </w:rPr>
        <w:t xml:space="preserve">ORDEN FORAL </w:t>
      </w:r>
    </w:p>
    <w:p w14:paraId="3DEC6BE5" w14:textId="77777777" w:rsidR="00853BDD" w:rsidRDefault="00C210AC">
      <w:pPr>
        <w:spacing w:after="0" w:line="248" w:lineRule="auto"/>
        <w:ind w:left="456" w:hanging="10"/>
        <w:jc w:val="both"/>
      </w:pPr>
      <w:r>
        <w:rPr>
          <w:rFonts w:ascii="Times New Roman" w:eastAsia="Times New Roman" w:hAnsi="Times New Roman" w:cs="Times New Roman"/>
        </w:rPr>
        <w:t xml:space="preserve">Departamento de Igualdad, </w:t>
      </w:r>
      <w:proofErr w:type="gramStart"/>
      <w:r>
        <w:rPr>
          <w:rFonts w:ascii="Times New Roman" w:eastAsia="Times New Roman" w:hAnsi="Times New Roman" w:cs="Times New Roman"/>
        </w:rPr>
        <w:t>Euskera</w:t>
      </w:r>
      <w:proofErr w:type="gramEnd"/>
      <w:r>
        <w:rPr>
          <w:rFonts w:ascii="Times New Roman" w:eastAsia="Times New Roman" w:hAnsi="Times New Roman" w:cs="Times New Roman"/>
        </w:rPr>
        <w:t xml:space="preserve"> y Gobernanza </w:t>
      </w:r>
    </w:p>
    <w:p w14:paraId="31F4157F" w14:textId="77777777" w:rsidR="00853BDD" w:rsidRDefault="00C210AC">
      <w:pPr>
        <w:spacing w:after="347" w:line="248" w:lineRule="auto"/>
        <w:ind w:left="456" w:right="4089" w:hanging="10"/>
        <w:jc w:val="both"/>
      </w:pPr>
      <w:r>
        <w:rPr>
          <w:rFonts w:ascii="Times New Roman" w:eastAsia="Times New Roman" w:hAnsi="Times New Roman" w:cs="Times New Roman"/>
        </w:rPr>
        <w:t xml:space="preserve">Servicio de Secretaría Técnica y Atención Ciudadana </w:t>
      </w:r>
      <w:proofErr w:type="spellStart"/>
      <w:r>
        <w:rPr>
          <w:rFonts w:ascii="Times New Roman" w:eastAsia="Times New Roman" w:hAnsi="Times New Roman" w:cs="Times New Roman"/>
        </w:rPr>
        <w:t>Nº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Expte</w:t>
      </w:r>
      <w:proofErr w:type="spellEnd"/>
      <w:r>
        <w:rPr>
          <w:rFonts w:ascii="Times New Roman" w:eastAsia="Times New Roman" w:hAnsi="Times New Roman" w:cs="Times New Roman"/>
        </w:rPr>
        <w:t xml:space="preserve">: INFOPU 2026/39 </w:t>
      </w:r>
    </w:p>
    <w:p w14:paraId="7BE972CA" w14:textId="3326A670" w:rsidR="00853BDD" w:rsidRDefault="00C210AC">
      <w:pPr>
        <w:spacing w:after="226" w:line="249" w:lineRule="auto"/>
        <w:ind w:left="456" w:hanging="10"/>
        <w:jc w:val="both"/>
      </w:pPr>
      <w:r>
        <w:rPr>
          <w:rFonts w:ascii="Times New Roman" w:eastAsia="Times New Roman" w:hAnsi="Times New Roman" w:cs="Times New Roman"/>
          <w:b/>
        </w:rPr>
        <w:t xml:space="preserve">Estimar la solicitud de acceso a la información pública presentada por </w:t>
      </w:r>
      <w:r w:rsidR="00447CBA" w:rsidRPr="00A43603">
        <w:rPr>
          <w:b/>
          <w:sz w:val="24"/>
          <w:highlight w:val="black"/>
        </w:rPr>
        <w:t>XXXXX</w:t>
      </w:r>
      <w:r w:rsidR="00447CBA">
        <w:rPr>
          <w:rFonts w:ascii="Times New Roman" w:eastAsia="Times New Roman" w:hAnsi="Times New Roman" w:cs="Times New Roman"/>
          <w:b/>
        </w:rPr>
        <w:t xml:space="preserve"> </w:t>
      </w:r>
      <w:r>
        <w:rPr>
          <w:rFonts w:ascii="Times New Roman" w:eastAsia="Times New Roman" w:hAnsi="Times New Roman" w:cs="Times New Roman"/>
          <w:b/>
        </w:rPr>
        <w:t xml:space="preserve">relativa a las indemnizaciones por razón del servicio en </w:t>
      </w:r>
      <w:proofErr w:type="gramStart"/>
      <w:r>
        <w:rPr>
          <w:rFonts w:ascii="Times New Roman" w:eastAsia="Times New Roman" w:hAnsi="Times New Roman" w:cs="Times New Roman"/>
          <w:b/>
        </w:rPr>
        <w:t>el  Organismo</w:t>
      </w:r>
      <w:proofErr w:type="gramEnd"/>
      <w:r>
        <w:rPr>
          <w:rFonts w:ascii="Times New Roman" w:eastAsia="Times New Roman" w:hAnsi="Times New Roman" w:cs="Times New Roman"/>
          <w:b/>
        </w:rPr>
        <w:t xml:space="preserve"> Autónomo Arabako Foru Suhiltzaileak-Bomberos Forales de Álava.  </w:t>
      </w:r>
    </w:p>
    <w:p w14:paraId="45E59E6D" w14:textId="0BFA7729" w:rsidR="00853BDD" w:rsidRDefault="00C210AC">
      <w:pPr>
        <w:spacing w:after="0" w:line="248" w:lineRule="auto"/>
        <w:ind w:left="456" w:hanging="10"/>
        <w:jc w:val="both"/>
      </w:pPr>
      <w:r>
        <w:rPr>
          <w:rFonts w:ascii="Times New Roman" w:eastAsia="Times New Roman" w:hAnsi="Times New Roman" w:cs="Times New Roman"/>
        </w:rPr>
        <w:t xml:space="preserve">Con fecha 9 </w:t>
      </w:r>
      <w:r>
        <w:rPr>
          <w:rFonts w:ascii="Times New Roman" w:eastAsia="Times New Roman" w:hAnsi="Times New Roman" w:cs="Times New Roman"/>
        </w:rPr>
        <w:t xml:space="preserve">de mayo de 2026 ha tenido entrada en el Registro Electrónico Común de la Diputación Foral de Álava una solicitud presentada por </w:t>
      </w:r>
      <w:r w:rsidR="00447CBA" w:rsidRPr="00A43603">
        <w:rPr>
          <w:b/>
          <w:sz w:val="24"/>
          <w:highlight w:val="black"/>
        </w:rPr>
        <w:t>XXXXX</w:t>
      </w:r>
      <w:r w:rsidR="00447CBA">
        <w:rPr>
          <w:rFonts w:ascii="Times New Roman" w:eastAsia="Times New Roman" w:hAnsi="Times New Roman" w:cs="Times New Roman"/>
        </w:rPr>
        <w:t xml:space="preserve"> </w:t>
      </w:r>
      <w:r>
        <w:rPr>
          <w:rFonts w:ascii="Times New Roman" w:eastAsia="Times New Roman" w:hAnsi="Times New Roman" w:cs="Times New Roman"/>
        </w:rPr>
        <w:t xml:space="preserve">con DNI  </w:t>
      </w:r>
      <w:r w:rsidRPr="00447CBA">
        <w:rPr>
          <w:rFonts w:ascii="Times New Roman" w:eastAsia="Times New Roman" w:hAnsi="Times New Roman" w:cs="Times New Roman"/>
          <w:highlight w:val="black"/>
        </w:rPr>
        <w:t>44683260X</w:t>
      </w:r>
      <w:r>
        <w:rPr>
          <w:rFonts w:ascii="Times New Roman" w:eastAsia="Times New Roman" w:hAnsi="Times New Roman" w:cs="Times New Roman"/>
        </w:rPr>
        <w:t xml:space="preserve"> y con el número de registro de entrada </w:t>
      </w:r>
      <w:r w:rsidR="00447CBA" w:rsidRPr="00A43603">
        <w:rPr>
          <w:b/>
          <w:sz w:val="24"/>
          <w:highlight w:val="black"/>
        </w:rPr>
        <w:t>XXXXX</w:t>
      </w:r>
      <w:r>
        <w:rPr>
          <w:rFonts w:ascii="Times New Roman" w:eastAsia="Times New Roman" w:hAnsi="Times New Roman" w:cs="Times New Roman"/>
        </w:rPr>
        <w:t xml:space="preserve">. </w:t>
      </w:r>
    </w:p>
    <w:p w14:paraId="14FB9CEF" w14:textId="77777777" w:rsidR="00853BDD" w:rsidRDefault="00C210AC">
      <w:pPr>
        <w:spacing w:after="0"/>
        <w:ind w:left="461"/>
      </w:pPr>
      <w:r>
        <w:rPr>
          <w:rFonts w:ascii="Times New Roman" w:eastAsia="Times New Roman" w:hAnsi="Times New Roman" w:cs="Times New Roman"/>
        </w:rPr>
        <w:t xml:space="preserve"> </w:t>
      </w:r>
    </w:p>
    <w:p w14:paraId="13C02E6E" w14:textId="1A37056F" w:rsidR="00853BDD" w:rsidRDefault="00C210AC">
      <w:pPr>
        <w:spacing w:after="166" w:line="248" w:lineRule="auto"/>
        <w:ind w:left="456" w:hanging="10"/>
        <w:jc w:val="both"/>
      </w:pPr>
      <w:r>
        <w:rPr>
          <w:rFonts w:ascii="Times New Roman" w:eastAsia="Times New Roman" w:hAnsi="Times New Roman" w:cs="Times New Roman"/>
        </w:rPr>
        <w:t xml:space="preserve">La solicitud ha sido presentada a través del trámite electrónico habilitado para las reclamaciones ante el Consejo Foral de Transparencia. No obstante, no consta la existencia de una solicitud previa de acceso a información pública ni de una reclamación anterior formulada a nombre de la persona solicitante. Por este motivo, y atendiendo a su contenido se considera que debe tramitarse como </w:t>
      </w:r>
      <w:r>
        <w:rPr>
          <w:rFonts w:ascii="Times New Roman" w:eastAsia="Times New Roman" w:hAnsi="Times New Roman" w:cs="Times New Roman"/>
        </w:rPr>
        <w:t xml:space="preserve">una petición de acceso a la información pública, al amparo de la Norma Foral 1/2017, de 8 de febrero, de transparencia, participación ciudadana y buen gobierno.  </w:t>
      </w:r>
    </w:p>
    <w:p w14:paraId="4EC1EEE1" w14:textId="77777777" w:rsidR="00853BDD" w:rsidRDefault="00C210AC">
      <w:pPr>
        <w:spacing w:after="0" w:line="248" w:lineRule="auto"/>
        <w:ind w:left="456" w:hanging="10"/>
        <w:jc w:val="both"/>
      </w:pPr>
      <w:r>
        <w:rPr>
          <w:rFonts w:ascii="Times New Roman" w:eastAsia="Times New Roman" w:hAnsi="Times New Roman" w:cs="Times New Roman"/>
          <w:i/>
        </w:rPr>
        <w:t xml:space="preserve">La solicitud se concreta en la petición de la siguiente información: </w:t>
      </w:r>
    </w:p>
    <w:p w14:paraId="00F5FB12" w14:textId="77777777" w:rsidR="00853BDD" w:rsidRDefault="00C210AC">
      <w:pPr>
        <w:spacing w:after="0" w:line="248" w:lineRule="auto"/>
        <w:ind w:left="456" w:hanging="10"/>
        <w:jc w:val="both"/>
      </w:pPr>
      <w:r>
        <w:rPr>
          <w:rFonts w:ascii="Times New Roman" w:eastAsia="Times New Roman" w:hAnsi="Times New Roman" w:cs="Times New Roman"/>
          <w:i/>
        </w:rPr>
        <w:t xml:space="preserve">“(…) aplicación actual del derecho de los funcionarios del Organismo Autónomo de Bomberas y </w:t>
      </w:r>
      <w:r>
        <w:rPr>
          <w:rFonts w:ascii="Times New Roman" w:eastAsia="Times New Roman" w:hAnsi="Times New Roman" w:cs="Times New Roman"/>
          <w:i/>
        </w:rPr>
        <w:t xml:space="preserve">Bomberos de Álava, en adelante OABFA, en materia de indemnizaciones por razón del servicio, y, especialmente, de las relacionadas con las compensaciones horarias y los gastos generados por los conceptos de desplazamientos y dietas, ya sea dentro o fuera del territorio de la provincia de Álava. Además de otros que se pudieran contemplar tales como alojamientos, kilometrajes y demás conceptos </w:t>
      </w:r>
      <w:r>
        <w:rPr>
          <w:rFonts w:ascii="Times New Roman" w:eastAsia="Times New Roman" w:hAnsi="Times New Roman" w:cs="Times New Roman"/>
          <w:i/>
        </w:rPr>
        <w:t xml:space="preserve">análogos que pudieran ser susceptibles de indemnización, en función de la naturaleza de las actividades desarrolladas.  </w:t>
      </w:r>
    </w:p>
    <w:p w14:paraId="77AD8008" w14:textId="77777777" w:rsidR="00853BDD" w:rsidRDefault="00C210AC">
      <w:pPr>
        <w:spacing w:after="0" w:line="248" w:lineRule="auto"/>
        <w:ind w:left="456" w:hanging="10"/>
        <w:jc w:val="both"/>
      </w:pPr>
      <w:r>
        <w:rPr>
          <w:rFonts w:ascii="Times New Roman" w:eastAsia="Times New Roman" w:hAnsi="Times New Roman" w:cs="Times New Roman"/>
          <w:i/>
        </w:rPr>
        <w:t xml:space="preserve">Asimismo, se pide, que la información solicitada contenga los datos precisos sobre los requisitos generales para su establecimiento, concesión, cuantías actuales y su última actualización. Así como la resolución, norma o acuerdo en la que se basa el OABFA para su regulación, establecimiento, su cuantificación y actualización.” </w:t>
      </w:r>
    </w:p>
    <w:p w14:paraId="5615B056" w14:textId="77777777" w:rsidR="00853BDD" w:rsidRDefault="00C210AC">
      <w:pPr>
        <w:spacing w:after="0"/>
        <w:ind w:left="461"/>
      </w:pPr>
      <w:r>
        <w:rPr>
          <w:rFonts w:ascii="Times New Roman" w:eastAsia="Times New Roman" w:hAnsi="Times New Roman" w:cs="Times New Roman"/>
        </w:rPr>
        <w:t xml:space="preserve"> </w:t>
      </w:r>
    </w:p>
    <w:p w14:paraId="191ABB2C" w14:textId="77777777" w:rsidR="00853BDD" w:rsidRDefault="00C210AC">
      <w:pPr>
        <w:spacing w:after="0" w:line="248" w:lineRule="auto"/>
        <w:ind w:left="456" w:hanging="10"/>
        <w:jc w:val="both"/>
      </w:pPr>
      <w:r>
        <w:rPr>
          <w:rFonts w:ascii="Times New Roman" w:eastAsia="Times New Roman" w:hAnsi="Times New Roman" w:cs="Times New Roman"/>
        </w:rPr>
        <w:t xml:space="preserve">En la solicitud de información pública recibida, no concurre ninguno de los supuestos de límites del derecho de acceso a la información pública previstos en la normativa de transparencia, en particular, el caso de existencia de datos de carácter personal.  </w:t>
      </w:r>
    </w:p>
    <w:p w14:paraId="318B37FD" w14:textId="77777777" w:rsidR="00853BDD" w:rsidRDefault="00C210AC">
      <w:pPr>
        <w:spacing w:after="0"/>
        <w:ind w:left="461"/>
      </w:pPr>
      <w:r>
        <w:rPr>
          <w:rFonts w:ascii="Times New Roman" w:eastAsia="Times New Roman" w:hAnsi="Times New Roman" w:cs="Times New Roman"/>
        </w:rPr>
        <w:t xml:space="preserve"> </w:t>
      </w:r>
    </w:p>
    <w:p w14:paraId="44EFB6CF" w14:textId="77777777" w:rsidR="00853BDD" w:rsidRDefault="00C210AC">
      <w:pPr>
        <w:spacing w:after="0" w:line="248" w:lineRule="auto"/>
        <w:ind w:left="456" w:hanging="10"/>
        <w:jc w:val="both"/>
      </w:pPr>
      <w:r>
        <w:rPr>
          <w:rFonts w:ascii="Times New Roman" w:eastAsia="Times New Roman" w:hAnsi="Times New Roman" w:cs="Times New Roman"/>
        </w:rPr>
        <w:t xml:space="preserve">No concurre tampoco ninguno de los casos de causas de inadmisión previstos en la referida normativa.  Por lo que procede estimar la solicitud y reconocer el derecho al acceso.  </w:t>
      </w:r>
    </w:p>
    <w:p w14:paraId="3B44EB22" w14:textId="77777777" w:rsidR="00853BDD" w:rsidRDefault="00C210AC">
      <w:pPr>
        <w:spacing w:after="0"/>
        <w:ind w:left="461"/>
      </w:pPr>
      <w:r>
        <w:rPr>
          <w:rFonts w:ascii="Times New Roman" w:eastAsia="Times New Roman" w:hAnsi="Times New Roman" w:cs="Times New Roman"/>
        </w:rPr>
        <w:t xml:space="preserve"> </w:t>
      </w:r>
    </w:p>
    <w:p w14:paraId="5DFD3936" w14:textId="77777777" w:rsidR="00853BDD" w:rsidRDefault="00C210AC">
      <w:pPr>
        <w:spacing w:after="693" w:line="248" w:lineRule="auto"/>
        <w:ind w:left="456" w:hanging="10"/>
        <w:jc w:val="both"/>
      </w:pPr>
      <w:r>
        <w:rPr>
          <w:rFonts w:ascii="Times New Roman" w:eastAsia="Times New Roman" w:hAnsi="Times New Roman" w:cs="Times New Roman"/>
        </w:rPr>
        <w:t xml:space="preserve">En cuanto a la materialización del acceso a la información pública, de acuerdo con lo establecido en el artículo 36.1 de la Norma Foral 1/2017, de transparencia, participación ciudadana y buen gobierno del sector público del Territorio Histórico de Álava, en la notificación de la presente Orden Foral se adjuntará la documentación solicitada.  </w:t>
      </w:r>
    </w:p>
    <w:p w14:paraId="5688BFDB" w14:textId="77777777" w:rsidR="00853BDD" w:rsidRDefault="00C210AC">
      <w:pPr>
        <w:spacing w:after="0"/>
        <w:ind w:left="461"/>
      </w:pPr>
      <w:r>
        <w:rPr>
          <w:rFonts w:ascii="Times New Roman" w:eastAsia="Times New Roman" w:hAnsi="Times New Roman" w:cs="Times New Roman"/>
          <w:sz w:val="20"/>
        </w:rPr>
        <w:lastRenderedPageBreak/>
        <w:t xml:space="preserve"> </w:t>
      </w:r>
    </w:p>
    <w:p w14:paraId="57351C55" w14:textId="77777777" w:rsidR="00853BDD" w:rsidRDefault="00C210AC">
      <w:pPr>
        <w:spacing w:after="6"/>
        <w:ind w:left="530" w:right="-69"/>
      </w:pPr>
      <w:r>
        <w:rPr>
          <w:noProof/>
        </w:rPr>
        <mc:AlternateContent>
          <mc:Choice Requires="wpg">
            <w:drawing>
              <wp:inline distT="0" distB="0" distL="0" distR="0" wp14:anchorId="08A99D30" wp14:editId="6DFFFB9F">
                <wp:extent cx="5763083" cy="465384"/>
                <wp:effectExtent l="0" t="0" r="0" b="0"/>
                <wp:docPr id="3597" name="Group 3597"/>
                <wp:cNvGraphicFramePr/>
                <a:graphic xmlns:a="http://schemas.openxmlformats.org/drawingml/2006/main">
                  <a:graphicData uri="http://schemas.microsoft.com/office/word/2010/wordprocessingGroup">
                    <wpg:wgp>
                      <wpg:cNvGrpSpPr/>
                      <wpg:grpSpPr>
                        <a:xfrm>
                          <a:off x="0" y="0"/>
                          <a:ext cx="5763083" cy="465384"/>
                          <a:chOff x="0" y="0"/>
                          <a:chExt cx="5763083" cy="465384"/>
                        </a:xfrm>
                      </wpg:grpSpPr>
                      <wps:wsp>
                        <wps:cNvPr id="176" name="Rectangle 176"/>
                        <wps:cNvSpPr/>
                        <wps:spPr>
                          <a:xfrm>
                            <a:off x="44196" y="30278"/>
                            <a:ext cx="42059" cy="153038"/>
                          </a:xfrm>
                          <a:prstGeom prst="rect">
                            <a:avLst/>
                          </a:prstGeom>
                          <a:ln>
                            <a:noFill/>
                          </a:ln>
                        </wps:spPr>
                        <wps:txbx>
                          <w:txbxContent>
                            <w:p w14:paraId="7132D8ED" w14:textId="77777777" w:rsidR="00853BDD" w:rsidRDefault="00C210AC">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177" name="Rectangle 177"/>
                        <wps:cNvSpPr/>
                        <wps:spPr>
                          <a:xfrm>
                            <a:off x="3100400" y="350318"/>
                            <a:ext cx="42058" cy="153038"/>
                          </a:xfrm>
                          <a:prstGeom prst="rect">
                            <a:avLst/>
                          </a:prstGeom>
                          <a:ln>
                            <a:noFill/>
                          </a:ln>
                        </wps:spPr>
                        <wps:txbx>
                          <w:txbxContent>
                            <w:p w14:paraId="423821C5" w14:textId="77777777" w:rsidR="00853BDD" w:rsidRDefault="00C210AC">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178" name="Rectangle 178"/>
                        <wps:cNvSpPr/>
                        <wps:spPr>
                          <a:xfrm>
                            <a:off x="5717490" y="30278"/>
                            <a:ext cx="42058" cy="153038"/>
                          </a:xfrm>
                          <a:prstGeom prst="rect">
                            <a:avLst/>
                          </a:prstGeom>
                          <a:ln>
                            <a:noFill/>
                          </a:ln>
                        </wps:spPr>
                        <wps:txbx>
                          <w:txbxContent>
                            <w:p w14:paraId="525A2452" w14:textId="77777777" w:rsidR="00853BDD" w:rsidRDefault="00C210AC">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179" name="Rectangle 179"/>
                        <wps:cNvSpPr/>
                        <wps:spPr>
                          <a:xfrm>
                            <a:off x="44196" y="251258"/>
                            <a:ext cx="42059" cy="153038"/>
                          </a:xfrm>
                          <a:prstGeom prst="rect">
                            <a:avLst/>
                          </a:prstGeom>
                          <a:ln>
                            <a:noFill/>
                          </a:ln>
                        </wps:spPr>
                        <wps:txbx>
                          <w:txbxContent>
                            <w:p w14:paraId="423FD13A" w14:textId="77777777" w:rsidR="00853BDD" w:rsidRDefault="00C210AC">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180" name="Rectangle 180"/>
                        <wps:cNvSpPr/>
                        <wps:spPr>
                          <a:xfrm>
                            <a:off x="3357956" y="251258"/>
                            <a:ext cx="42058" cy="153038"/>
                          </a:xfrm>
                          <a:prstGeom prst="rect">
                            <a:avLst/>
                          </a:prstGeom>
                          <a:ln>
                            <a:noFill/>
                          </a:ln>
                        </wps:spPr>
                        <wps:txbx>
                          <w:txbxContent>
                            <w:p w14:paraId="33AAC58B" w14:textId="77777777" w:rsidR="00853BDD" w:rsidRDefault="00C210AC">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4544" name="Shape 4544"/>
                        <wps:cNvSpPr/>
                        <wps:spPr>
                          <a:xfrm>
                            <a:off x="0" y="213995"/>
                            <a:ext cx="2449322" cy="9144"/>
                          </a:xfrm>
                          <a:custGeom>
                            <a:avLst/>
                            <a:gdLst/>
                            <a:ahLst/>
                            <a:cxnLst/>
                            <a:rect l="0" t="0" r="0" b="0"/>
                            <a:pathLst>
                              <a:path w="2449322" h="9144">
                                <a:moveTo>
                                  <a:pt x="0" y="0"/>
                                </a:moveTo>
                                <a:lnTo>
                                  <a:pt x="2449322" y="0"/>
                                </a:lnTo>
                                <a:lnTo>
                                  <a:pt x="244932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45" name="Shape 4545"/>
                        <wps:cNvSpPr/>
                        <wps:spPr>
                          <a:xfrm>
                            <a:off x="3313761" y="213995"/>
                            <a:ext cx="2449322" cy="9144"/>
                          </a:xfrm>
                          <a:custGeom>
                            <a:avLst/>
                            <a:gdLst/>
                            <a:ahLst/>
                            <a:cxnLst/>
                            <a:rect l="0" t="0" r="0" b="0"/>
                            <a:pathLst>
                              <a:path w="2449322" h="9144">
                                <a:moveTo>
                                  <a:pt x="0" y="0"/>
                                </a:moveTo>
                                <a:lnTo>
                                  <a:pt x="2449322" y="0"/>
                                </a:lnTo>
                                <a:lnTo>
                                  <a:pt x="244932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189" name="Picture 189"/>
                          <pic:cNvPicPr/>
                        </pic:nvPicPr>
                        <pic:blipFill>
                          <a:blip r:embed="rId8"/>
                          <a:stretch>
                            <a:fillRect/>
                          </a:stretch>
                        </pic:blipFill>
                        <pic:spPr>
                          <a:xfrm>
                            <a:off x="2661234" y="0"/>
                            <a:ext cx="428625" cy="428625"/>
                          </a:xfrm>
                          <a:prstGeom prst="rect">
                            <a:avLst/>
                          </a:prstGeom>
                        </pic:spPr>
                      </pic:pic>
                    </wpg:wgp>
                  </a:graphicData>
                </a:graphic>
              </wp:inline>
            </w:drawing>
          </mc:Choice>
          <mc:Fallback xmlns:a="http://schemas.openxmlformats.org/drawingml/2006/main">
            <w:pict>
              <v:group id="Group 3597" style="width:453.786pt;height:36.6444pt;mso-position-horizontal-relative:char;mso-position-vertical-relative:line" coordsize="57630,4653">
                <v:rect id="Rectangle 176" style="position:absolute;width:420;height:1530;left:441;top:302;" filled="f" stroked="f">
                  <v:textbox inset="0,0,0,0">
                    <w:txbxContent>
                      <w:p>
                        <w:pPr>
                          <w:spacing w:before="0" w:after="160" w:line="259" w:lineRule="auto"/>
                        </w:pPr>
                        <w:r>
                          <w:rPr>
                            <w:rFonts w:cs="Times New Roman" w:hAnsi="Times New Roman" w:eastAsia="Times New Roman" w:ascii="Times New Roman"/>
                            <w:sz w:val="20"/>
                          </w:rPr>
                          <w:t xml:space="preserve"> </w:t>
                        </w:r>
                      </w:p>
                    </w:txbxContent>
                  </v:textbox>
                </v:rect>
                <v:rect id="Rectangle 177" style="position:absolute;width:420;height:1530;left:31004;top:3503;" filled="f" stroked="f">
                  <v:textbox inset="0,0,0,0">
                    <w:txbxContent>
                      <w:p>
                        <w:pPr>
                          <w:spacing w:before="0" w:after="160" w:line="259" w:lineRule="auto"/>
                        </w:pPr>
                        <w:r>
                          <w:rPr>
                            <w:rFonts w:cs="Times New Roman" w:hAnsi="Times New Roman" w:eastAsia="Times New Roman" w:ascii="Times New Roman"/>
                            <w:sz w:val="20"/>
                          </w:rPr>
                          <w:t xml:space="preserve"> </w:t>
                        </w:r>
                      </w:p>
                    </w:txbxContent>
                  </v:textbox>
                </v:rect>
                <v:rect id="Rectangle 178" style="position:absolute;width:420;height:1530;left:57174;top:302;" filled="f" stroked="f">
                  <v:textbox inset="0,0,0,0">
                    <w:txbxContent>
                      <w:p>
                        <w:pPr>
                          <w:spacing w:before="0" w:after="160" w:line="259" w:lineRule="auto"/>
                        </w:pPr>
                        <w:r>
                          <w:rPr>
                            <w:rFonts w:cs="Times New Roman" w:hAnsi="Times New Roman" w:eastAsia="Times New Roman" w:ascii="Times New Roman"/>
                            <w:sz w:val="20"/>
                          </w:rPr>
                          <w:t xml:space="preserve"> </w:t>
                        </w:r>
                      </w:p>
                    </w:txbxContent>
                  </v:textbox>
                </v:rect>
                <v:rect id="Rectangle 179" style="position:absolute;width:420;height:1530;left:441;top:2512;" filled="f" stroked="f">
                  <v:textbox inset="0,0,0,0">
                    <w:txbxContent>
                      <w:p>
                        <w:pPr>
                          <w:spacing w:before="0" w:after="160" w:line="259" w:lineRule="auto"/>
                        </w:pPr>
                        <w:r>
                          <w:rPr>
                            <w:rFonts w:cs="Times New Roman" w:hAnsi="Times New Roman" w:eastAsia="Times New Roman" w:ascii="Times New Roman"/>
                            <w:sz w:val="20"/>
                          </w:rPr>
                          <w:t xml:space="preserve"> </w:t>
                        </w:r>
                      </w:p>
                    </w:txbxContent>
                  </v:textbox>
                </v:rect>
                <v:rect id="Rectangle 180" style="position:absolute;width:420;height:1530;left:33579;top:2512;" filled="f" stroked="f">
                  <v:textbox inset="0,0,0,0">
                    <w:txbxContent>
                      <w:p>
                        <w:pPr>
                          <w:spacing w:before="0" w:after="160" w:line="259" w:lineRule="auto"/>
                        </w:pPr>
                        <w:r>
                          <w:rPr>
                            <w:rFonts w:cs="Times New Roman" w:hAnsi="Times New Roman" w:eastAsia="Times New Roman" w:ascii="Times New Roman"/>
                            <w:sz w:val="20"/>
                          </w:rPr>
                          <w:t xml:space="preserve"> </w:t>
                        </w:r>
                      </w:p>
                    </w:txbxContent>
                  </v:textbox>
                </v:rect>
                <v:shape id="Shape 4546" style="position:absolute;width:24493;height:91;left:0;top:2139;" coordsize="2449322,9144" path="m0,0l2449322,0l2449322,9144l0,9144l0,0">
                  <v:stroke weight="0pt" endcap="flat" joinstyle="miter" miterlimit="10" on="false" color="#000000" opacity="0"/>
                  <v:fill on="true" color="#000000"/>
                </v:shape>
                <v:shape id="Shape 4547" style="position:absolute;width:24493;height:91;left:33137;top:2139;" coordsize="2449322,9144" path="m0,0l2449322,0l2449322,9144l0,9144l0,0">
                  <v:stroke weight="0pt" endcap="flat" joinstyle="miter" miterlimit="10" on="false" color="#000000" opacity="0"/>
                  <v:fill on="true" color="#000000"/>
                </v:shape>
                <v:shape id="Picture 189" style="position:absolute;width:4286;height:4286;left:26612;top:0;" filled="f">
                  <v:imagedata r:id="rId9"/>
                </v:shape>
              </v:group>
            </w:pict>
          </mc:Fallback>
        </mc:AlternateContent>
      </w:r>
    </w:p>
    <w:p w14:paraId="2B8CD8AC" w14:textId="77777777" w:rsidR="00853BDD" w:rsidRDefault="00C210AC">
      <w:pPr>
        <w:spacing w:after="462"/>
        <w:ind w:left="461"/>
      </w:pPr>
      <w:r>
        <w:rPr>
          <w:rFonts w:ascii="Times New Roman" w:eastAsia="Times New Roman" w:hAnsi="Times New Roman" w:cs="Times New Roman"/>
          <w:sz w:val="20"/>
        </w:rPr>
        <w:t xml:space="preserve"> </w:t>
      </w:r>
    </w:p>
    <w:p w14:paraId="5561189F" w14:textId="77777777" w:rsidR="00853BDD" w:rsidRDefault="00C210AC">
      <w:pPr>
        <w:spacing w:after="0"/>
        <w:ind w:left="461"/>
      </w:pPr>
      <w:r>
        <w:rPr>
          <w:rFonts w:ascii="Times New Roman" w:eastAsia="Times New Roman" w:hAnsi="Times New Roman" w:cs="Times New Roman"/>
        </w:rPr>
        <w:t xml:space="preserve"> </w:t>
      </w:r>
    </w:p>
    <w:p w14:paraId="08FA7950" w14:textId="77777777" w:rsidR="00853BDD" w:rsidRDefault="00C210AC">
      <w:pPr>
        <w:spacing w:after="0" w:line="248" w:lineRule="auto"/>
        <w:ind w:left="456" w:hanging="10"/>
        <w:jc w:val="both"/>
      </w:pPr>
      <w:r>
        <w:rPr>
          <w:rFonts w:ascii="Times New Roman" w:eastAsia="Times New Roman" w:hAnsi="Times New Roman" w:cs="Times New Roman"/>
        </w:rPr>
        <w:t xml:space="preserve">En virtud de lo dispuesto en el artículo 35.1 de la Norma Foral 1/2017, de 8 febrero, de transparencia, participación ciudadana y buen gobierno del sector público del Territorio Histórico de Álava, y haciendo uso de las facultades que como Diputado me competen, </w:t>
      </w:r>
    </w:p>
    <w:p w14:paraId="0C0C949C" w14:textId="77777777" w:rsidR="00853BDD" w:rsidRDefault="00C210AC">
      <w:pPr>
        <w:spacing w:after="0"/>
        <w:ind w:left="461"/>
      </w:pPr>
      <w:r>
        <w:rPr>
          <w:rFonts w:ascii="Times New Roman" w:eastAsia="Times New Roman" w:hAnsi="Times New Roman" w:cs="Times New Roman"/>
        </w:rPr>
        <w:t xml:space="preserve"> </w:t>
      </w:r>
    </w:p>
    <w:p w14:paraId="59ADCE08" w14:textId="77777777" w:rsidR="00853BDD" w:rsidRDefault="00C210AC">
      <w:pPr>
        <w:spacing w:after="0"/>
        <w:ind w:left="461"/>
      </w:pPr>
      <w:r>
        <w:rPr>
          <w:rFonts w:ascii="Times New Roman" w:eastAsia="Times New Roman" w:hAnsi="Times New Roman" w:cs="Times New Roman"/>
        </w:rPr>
        <w:t xml:space="preserve"> </w:t>
      </w:r>
    </w:p>
    <w:p w14:paraId="7BC5ECEF" w14:textId="77777777" w:rsidR="00853BDD" w:rsidRDefault="00C210AC">
      <w:pPr>
        <w:spacing w:after="218"/>
        <w:ind w:left="461"/>
      </w:pPr>
      <w:r>
        <w:rPr>
          <w:rFonts w:ascii="Times New Roman" w:eastAsia="Times New Roman" w:hAnsi="Times New Roman" w:cs="Times New Roman"/>
        </w:rPr>
        <w:t xml:space="preserve"> </w:t>
      </w:r>
    </w:p>
    <w:p w14:paraId="731F7978" w14:textId="77777777" w:rsidR="00853BDD" w:rsidRDefault="00C210AC">
      <w:pPr>
        <w:pStyle w:val="Ttulo1"/>
        <w:spacing w:after="456" w:line="259" w:lineRule="auto"/>
        <w:ind w:left="457" w:right="0"/>
      </w:pPr>
      <w:r>
        <w:t xml:space="preserve">DISPONGO </w:t>
      </w:r>
    </w:p>
    <w:p w14:paraId="1983D91F" w14:textId="3F708FC2" w:rsidR="00853BDD" w:rsidRDefault="00C210AC">
      <w:pPr>
        <w:spacing w:after="230" w:line="248" w:lineRule="auto"/>
        <w:ind w:left="456" w:hanging="10"/>
        <w:jc w:val="both"/>
      </w:pPr>
      <w:r>
        <w:rPr>
          <w:rFonts w:ascii="Times New Roman" w:eastAsia="Times New Roman" w:hAnsi="Times New Roman" w:cs="Times New Roman"/>
          <w:b/>
        </w:rPr>
        <w:t>Primero</w:t>
      </w:r>
      <w:r>
        <w:rPr>
          <w:rFonts w:ascii="Times New Roman" w:eastAsia="Times New Roman" w:hAnsi="Times New Roman" w:cs="Times New Roman"/>
        </w:rPr>
        <w:t xml:space="preserve">. Estimar la solicitud de acceso a la información pública de </w:t>
      </w:r>
      <w:r w:rsidR="00447CBA" w:rsidRPr="00A43603">
        <w:rPr>
          <w:b/>
          <w:sz w:val="24"/>
          <w:highlight w:val="black"/>
        </w:rPr>
        <w:t>XXXXX</w:t>
      </w:r>
      <w:r w:rsidR="00447CBA">
        <w:rPr>
          <w:rFonts w:ascii="Times New Roman" w:eastAsia="Times New Roman" w:hAnsi="Times New Roman" w:cs="Times New Roman"/>
        </w:rPr>
        <w:t xml:space="preserve"> </w:t>
      </w:r>
      <w:r>
        <w:rPr>
          <w:rFonts w:ascii="Times New Roman" w:eastAsia="Times New Roman" w:hAnsi="Times New Roman" w:cs="Times New Roman"/>
        </w:rPr>
        <w:t xml:space="preserve">que ha tenido entrada en el Registro Electrónico Común de la Diputación Foral de Álava el 9 de mayo de 2026 </w:t>
      </w:r>
      <w:r>
        <w:rPr>
          <w:rFonts w:ascii="Times New Roman" w:eastAsia="Times New Roman" w:hAnsi="Times New Roman" w:cs="Times New Roman"/>
        </w:rPr>
        <w:t xml:space="preserve">y adjuntar como anexo a esta resolución el documento con la información solicitada.  </w:t>
      </w:r>
    </w:p>
    <w:p w14:paraId="722D3CB8" w14:textId="77777777" w:rsidR="00853BDD" w:rsidRDefault="00C210AC">
      <w:pPr>
        <w:spacing w:after="232" w:line="248" w:lineRule="auto"/>
        <w:ind w:left="456" w:hanging="10"/>
        <w:jc w:val="both"/>
      </w:pPr>
      <w:r>
        <w:rPr>
          <w:rFonts w:ascii="Times New Roman" w:eastAsia="Times New Roman" w:hAnsi="Times New Roman" w:cs="Times New Roman"/>
          <w:b/>
        </w:rPr>
        <w:t>Segundo.</w:t>
      </w:r>
      <w:r>
        <w:rPr>
          <w:rFonts w:ascii="Times New Roman" w:eastAsia="Times New Roman" w:hAnsi="Times New Roman" w:cs="Times New Roman"/>
        </w:rPr>
        <w:t xml:space="preserve"> Contra la presente resolución, que pone fin a la vía administrativa, podrá interponer recurso contencioso-administrativo ante los juzgados de lo contencioso-administrativo de Vitoria-</w:t>
      </w:r>
      <w:r>
        <w:rPr>
          <w:rFonts w:ascii="Times New Roman" w:eastAsia="Times New Roman" w:hAnsi="Times New Roman" w:cs="Times New Roman"/>
        </w:rPr>
        <w:t xml:space="preserve">Gasteiz en el plazo de dos meses o, previa y potestativamente, reclamación ante el Consejo foral de Transparencia y Buen Gobierno en el plazo de un mes; en ambos casos, el plazo se contará desde el día siguiente al de la notificación de la presente resolución. </w:t>
      </w:r>
    </w:p>
    <w:p w14:paraId="4C7F6377" w14:textId="77777777" w:rsidR="00853BDD" w:rsidRDefault="00C210AC">
      <w:pPr>
        <w:spacing w:after="254" w:line="248" w:lineRule="auto"/>
        <w:ind w:left="456" w:hanging="10"/>
        <w:jc w:val="both"/>
      </w:pPr>
      <w:r>
        <w:rPr>
          <w:rFonts w:ascii="Times New Roman" w:eastAsia="Times New Roman" w:hAnsi="Times New Roman" w:cs="Times New Roman"/>
        </w:rPr>
        <w:t xml:space="preserve">Vitoria-Gasteiz </w:t>
      </w:r>
    </w:p>
    <w:p w14:paraId="4E17B98D" w14:textId="77777777" w:rsidR="00853BDD" w:rsidRDefault="00C210AC">
      <w:pPr>
        <w:spacing w:after="15"/>
        <w:ind w:left="530"/>
      </w:pPr>
      <w:r>
        <w:rPr>
          <w:rFonts w:ascii="Times New Roman" w:eastAsia="Times New Roman" w:hAnsi="Times New Roman" w:cs="Times New Roman"/>
          <w:b/>
        </w:rPr>
        <w:t xml:space="preserve"> </w:t>
      </w:r>
      <w:r>
        <w:rPr>
          <w:rFonts w:ascii="Times New Roman" w:eastAsia="Times New Roman" w:hAnsi="Times New Roman" w:cs="Times New Roman"/>
          <w:b/>
        </w:rPr>
        <w:tab/>
        <w:t xml:space="preserve"> </w:t>
      </w:r>
    </w:p>
    <w:p w14:paraId="7F363095" w14:textId="77777777" w:rsidR="00853BDD" w:rsidRDefault="00C210AC">
      <w:pPr>
        <w:spacing w:after="12"/>
        <w:ind w:left="530"/>
      </w:pPr>
      <w:r>
        <w:rPr>
          <w:rFonts w:ascii="Times New Roman" w:eastAsia="Times New Roman" w:hAnsi="Times New Roman" w:cs="Times New Roman"/>
          <w:b/>
        </w:rPr>
        <w:t xml:space="preserve"> </w:t>
      </w:r>
      <w:r>
        <w:rPr>
          <w:rFonts w:ascii="Times New Roman" w:eastAsia="Times New Roman" w:hAnsi="Times New Roman" w:cs="Times New Roman"/>
          <w:b/>
        </w:rPr>
        <w:tab/>
        <w:t xml:space="preserve"> </w:t>
      </w:r>
    </w:p>
    <w:p w14:paraId="5CF2C694" w14:textId="77777777" w:rsidR="00853BDD" w:rsidRDefault="00C210AC">
      <w:pPr>
        <w:spacing w:after="13"/>
        <w:ind w:left="530"/>
      </w:pPr>
      <w:r>
        <w:rPr>
          <w:rFonts w:ascii="Times New Roman" w:eastAsia="Times New Roman" w:hAnsi="Times New Roman" w:cs="Times New Roman"/>
          <w:b/>
        </w:rPr>
        <w:t xml:space="preserve"> </w:t>
      </w:r>
      <w:r>
        <w:rPr>
          <w:rFonts w:ascii="Times New Roman" w:eastAsia="Times New Roman" w:hAnsi="Times New Roman" w:cs="Times New Roman"/>
          <w:b/>
        </w:rPr>
        <w:tab/>
        <w:t xml:space="preserve"> </w:t>
      </w:r>
    </w:p>
    <w:p w14:paraId="68B8FEBE" w14:textId="77777777" w:rsidR="00853BDD" w:rsidRDefault="00C210AC">
      <w:pPr>
        <w:spacing w:after="15"/>
        <w:ind w:left="530"/>
      </w:pPr>
      <w:r>
        <w:rPr>
          <w:rFonts w:ascii="Times New Roman" w:eastAsia="Times New Roman" w:hAnsi="Times New Roman" w:cs="Times New Roman"/>
          <w:b/>
        </w:rPr>
        <w:t xml:space="preserve"> </w:t>
      </w:r>
      <w:r>
        <w:rPr>
          <w:rFonts w:ascii="Times New Roman" w:eastAsia="Times New Roman" w:hAnsi="Times New Roman" w:cs="Times New Roman"/>
          <w:b/>
        </w:rPr>
        <w:tab/>
        <w:t xml:space="preserve"> </w:t>
      </w:r>
    </w:p>
    <w:p w14:paraId="1C11BD35" w14:textId="77777777" w:rsidR="00853BDD" w:rsidRDefault="00C210AC">
      <w:pPr>
        <w:tabs>
          <w:tab w:val="center" w:pos="1631"/>
          <w:tab w:val="center" w:pos="7076"/>
        </w:tabs>
        <w:spacing w:after="18" w:line="249" w:lineRule="auto"/>
      </w:pPr>
      <w:r>
        <w:tab/>
      </w:r>
      <w:r>
        <w:rPr>
          <w:rFonts w:ascii="Times New Roman" w:eastAsia="Times New Roman" w:hAnsi="Times New Roman" w:cs="Times New Roman"/>
          <w:b/>
        </w:rPr>
        <w:t xml:space="preserve">Iñaki Gurtubai </w:t>
      </w:r>
      <w:proofErr w:type="gramStart"/>
      <w:r>
        <w:rPr>
          <w:rFonts w:ascii="Times New Roman" w:eastAsia="Times New Roman" w:hAnsi="Times New Roman" w:cs="Times New Roman"/>
          <w:b/>
        </w:rPr>
        <w:t xml:space="preserve">Artetxe </w:t>
      </w:r>
      <w:r>
        <w:rPr>
          <w:rFonts w:ascii="Times New Roman" w:eastAsia="Times New Roman" w:hAnsi="Times New Roman" w:cs="Times New Roman"/>
        </w:rPr>
        <w:t xml:space="preserve"> </w:t>
      </w:r>
      <w:r>
        <w:rPr>
          <w:rFonts w:ascii="Times New Roman" w:eastAsia="Times New Roman" w:hAnsi="Times New Roman" w:cs="Times New Roman"/>
        </w:rPr>
        <w:tab/>
      </w:r>
      <w:proofErr w:type="gramEnd"/>
      <w:r>
        <w:rPr>
          <w:rFonts w:ascii="Times New Roman" w:eastAsia="Times New Roman" w:hAnsi="Times New Roman" w:cs="Times New Roman"/>
          <w:b/>
        </w:rPr>
        <w:t xml:space="preserve">Joseba Koldo Pérez de Heredia Arbígano </w:t>
      </w:r>
      <w:r>
        <w:rPr>
          <w:rFonts w:ascii="Times New Roman" w:eastAsia="Times New Roman" w:hAnsi="Times New Roman" w:cs="Times New Roman"/>
        </w:rPr>
        <w:t xml:space="preserve"> </w:t>
      </w:r>
    </w:p>
    <w:p w14:paraId="6F94493B" w14:textId="77777777" w:rsidR="00853BDD" w:rsidRDefault="00C210AC">
      <w:pPr>
        <w:tabs>
          <w:tab w:val="center" w:pos="2697"/>
          <w:tab w:val="center" w:pos="7128"/>
        </w:tabs>
        <w:spacing w:after="0" w:line="248" w:lineRule="auto"/>
      </w:pPr>
      <w:r>
        <w:tab/>
      </w:r>
      <w:r>
        <w:rPr>
          <w:rFonts w:ascii="Times New Roman" w:eastAsia="Times New Roman" w:hAnsi="Times New Roman" w:cs="Times New Roman"/>
        </w:rPr>
        <w:t xml:space="preserve">Berdintasun, Euskara eta </w:t>
      </w:r>
      <w:proofErr w:type="spellStart"/>
      <w:r>
        <w:rPr>
          <w:rFonts w:ascii="Times New Roman" w:eastAsia="Times New Roman" w:hAnsi="Times New Roman" w:cs="Times New Roman"/>
        </w:rPr>
        <w:t>Gobernantzaren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saileko</w:t>
      </w:r>
      <w:proofErr w:type="spellEnd"/>
      <w:r>
        <w:rPr>
          <w:rFonts w:ascii="Times New Roman" w:eastAsia="Times New Roman" w:hAnsi="Times New Roman" w:cs="Times New Roman"/>
        </w:rPr>
        <w:t xml:space="preserve"> </w:t>
      </w:r>
      <w:r>
        <w:rPr>
          <w:rFonts w:ascii="Times New Roman" w:eastAsia="Times New Roman" w:hAnsi="Times New Roman" w:cs="Times New Roman"/>
        </w:rPr>
        <w:tab/>
      </w:r>
      <w:proofErr w:type="spellStart"/>
      <w:r>
        <w:rPr>
          <w:rFonts w:ascii="Times New Roman" w:eastAsia="Times New Roman" w:hAnsi="Times New Roman" w:cs="Times New Roman"/>
        </w:rPr>
        <w:t>Euskararen</w:t>
      </w:r>
      <w:proofErr w:type="spellEnd"/>
      <w:r>
        <w:rPr>
          <w:rFonts w:ascii="Times New Roman" w:eastAsia="Times New Roman" w:hAnsi="Times New Roman" w:cs="Times New Roman"/>
        </w:rPr>
        <w:t xml:space="preserve"> eta Gobernu </w:t>
      </w:r>
      <w:proofErr w:type="spellStart"/>
      <w:r>
        <w:rPr>
          <w:rFonts w:ascii="Times New Roman" w:eastAsia="Times New Roman" w:hAnsi="Times New Roman" w:cs="Times New Roman"/>
        </w:rPr>
        <w:t>Irekiaren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zuzendaria</w:t>
      </w:r>
      <w:proofErr w:type="spellEnd"/>
      <w:r>
        <w:rPr>
          <w:rFonts w:ascii="Times New Roman" w:eastAsia="Times New Roman" w:hAnsi="Times New Roman" w:cs="Times New Roman"/>
        </w:rPr>
        <w:t xml:space="preserve">  </w:t>
      </w:r>
    </w:p>
    <w:p w14:paraId="26CA585E" w14:textId="77777777" w:rsidR="00853BDD" w:rsidRDefault="00C210AC">
      <w:pPr>
        <w:tabs>
          <w:tab w:val="center" w:pos="1201"/>
          <w:tab w:val="center" w:pos="6906"/>
        </w:tabs>
        <w:spacing w:after="0" w:line="248" w:lineRule="auto"/>
      </w:pPr>
      <w:r>
        <w:tab/>
      </w:r>
      <w:r>
        <w:rPr>
          <w:rFonts w:ascii="Times New Roman" w:eastAsia="Times New Roman" w:hAnsi="Times New Roman" w:cs="Times New Roman"/>
        </w:rPr>
        <w:t xml:space="preserve">Foru </w:t>
      </w:r>
      <w:proofErr w:type="spellStart"/>
      <w:proofErr w:type="gramStart"/>
      <w:r>
        <w:rPr>
          <w:rFonts w:ascii="Times New Roman" w:eastAsia="Times New Roman" w:hAnsi="Times New Roman" w:cs="Times New Roman"/>
        </w:rPr>
        <w:t>Diputatua</w:t>
      </w:r>
      <w:proofErr w:type="spellEnd"/>
      <w:r>
        <w:rPr>
          <w:rFonts w:ascii="Times New Roman" w:eastAsia="Times New Roman" w:hAnsi="Times New Roman" w:cs="Times New Roman"/>
        </w:rPr>
        <w:t xml:space="preserve">  </w:t>
      </w:r>
      <w:r>
        <w:rPr>
          <w:rFonts w:ascii="Times New Roman" w:eastAsia="Times New Roman" w:hAnsi="Times New Roman" w:cs="Times New Roman"/>
        </w:rPr>
        <w:tab/>
      </w:r>
      <w:r>
        <w:rPr>
          <w:rFonts w:ascii="Times New Roman" w:eastAsia="Times New Roman" w:hAnsi="Times New Roman" w:cs="Times New Roman"/>
        </w:rPr>
        <w:t>Director</w:t>
      </w:r>
      <w:proofErr w:type="gramEnd"/>
      <w:r>
        <w:rPr>
          <w:rFonts w:ascii="Times New Roman" w:eastAsia="Times New Roman" w:hAnsi="Times New Roman" w:cs="Times New Roman"/>
        </w:rPr>
        <w:t xml:space="preserve"> de </w:t>
      </w:r>
      <w:proofErr w:type="gramStart"/>
      <w:r>
        <w:rPr>
          <w:rFonts w:ascii="Times New Roman" w:eastAsia="Times New Roman" w:hAnsi="Times New Roman" w:cs="Times New Roman"/>
        </w:rPr>
        <w:t>Euskera</w:t>
      </w:r>
      <w:proofErr w:type="gramEnd"/>
      <w:r>
        <w:rPr>
          <w:rFonts w:ascii="Times New Roman" w:eastAsia="Times New Roman" w:hAnsi="Times New Roman" w:cs="Times New Roman"/>
        </w:rPr>
        <w:t xml:space="preserve"> y Gobierno Abierto  </w:t>
      </w:r>
    </w:p>
    <w:p w14:paraId="3BACD269" w14:textId="77777777" w:rsidR="00853BDD" w:rsidRDefault="00C210AC">
      <w:pPr>
        <w:spacing w:after="0" w:line="248" w:lineRule="auto"/>
        <w:ind w:left="456" w:right="4475" w:hanging="10"/>
        <w:jc w:val="both"/>
      </w:pPr>
      <w:r>
        <w:rPr>
          <w:rFonts w:ascii="Times New Roman" w:eastAsia="Times New Roman" w:hAnsi="Times New Roman" w:cs="Times New Roman"/>
        </w:rPr>
        <w:t xml:space="preserve">Diputado Foral de Igualdad, </w:t>
      </w:r>
      <w:proofErr w:type="gramStart"/>
      <w:r>
        <w:rPr>
          <w:rFonts w:ascii="Times New Roman" w:eastAsia="Times New Roman" w:hAnsi="Times New Roman" w:cs="Times New Roman"/>
        </w:rPr>
        <w:t>Euskera</w:t>
      </w:r>
      <w:proofErr w:type="gramEnd"/>
      <w:r>
        <w:rPr>
          <w:rFonts w:ascii="Times New Roman" w:eastAsia="Times New Roman" w:hAnsi="Times New Roman" w:cs="Times New Roman"/>
        </w:rPr>
        <w:t xml:space="preserve"> y Gobernanza  </w:t>
      </w:r>
    </w:p>
    <w:p w14:paraId="7010CBD3" w14:textId="77777777" w:rsidR="00853BDD" w:rsidRDefault="00C210AC">
      <w:pPr>
        <w:spacing w:after="98"/>
        <w:ind w:left="461"/>
      </w:pPr>
      <w:r>
        <w:rPr>
          <w:rFonts w:ascii="Times New Roman" w:eastAsia="Times New Roman" w:hAnsi="Times New Roman" w:cs="Times New Roman"/>
        </w:rPr>
        <w:t xml:space="preserve"> </w:t>
      </w:r>
    </w:p>
    <w:p w14:paraId="4F685B02" w14:textId="77777777" w:rsidR="00853BDD" w:rsidRDefault="00C210AC">
      <w:pPr>
        <w:spacing w:after="4899"/>
        <w:ind w:left="461"/>
      </w:pPr>
      <w:r>
        <w:rPr>
          <w:rFonts w:ascii="Times New Roman" w:eastAsia="Times New Roman" w:hAnsi="Times New Roman" w:cs="Times New Roman"/>
        </w:rPr>
        <w:t xml:space="preserve"> </w:t>
      </w:r>
    </w:p>
    <w:p w14:paraId="71783138" w14:textId="77777777" w:rsidR="00853BDD" w:rsidRDefault="00C210AC">
      <w:pPr>
        <w:spacing w:after="0"/>
        <w:ind w:right="1"/>
        <w:jc w:val="right"/>
      </w:pPr>
      <w:r>
        <w:rPr>
          <w:rFonts w:ascii="Times New Roman" w:eastAsia="Times New Roman" w:hAnsi="Times New Roman" w:cs="Times New Roman"/>
          <w:sz w:val="20"/>
        </w:rPr>
        <w:lastRenderedPageBreak/>
        <w:t xml:space="preserve">2/2 </w:t>
      </w:r>
    </w:p>
    <w:p w14:paraId="2B0514DA" w14:textId="77777777" w:rsidR="00853BDD" w:rsidRDefault="00C210AC">
      <w:pPr>
        <w:spacing w:after="0"/>
        <w:ind w:left="461"/>
      </w:pPr>
      <w:r>
        <w:rPr>
          <w:rFonts w:ascii="Times New Roman" w:eastAsia="Times New Roman" w:hAnsi="Times New Roman" w:cs="Times New Roman"/>
          <w:sz w:val="20"/>
        </w:rPr>
        <w:t xml:space="preserve"> </w:t>
      </w:r>
    </w:p>
    <w:p w14:paraId="7CFDAB0F" w14:textId="77777777" w:rsidR="00853BDD" w:rsidRDefault="00C210AC">
      <w:pPr>
        <w:spacing w:after="0"/>
        <w:ind w:right="1341"/>
      </w:pPr>
      <w:r>
        <w:rPr>
          <w:noProof/>
        </w:rPr>
        <w:drawing>
          <wp:anchor distT="0" distB="0" distL="114300" distR="114300" simplePos="0" relativeHeight="251660288" behindDoc="0" locked="0" layoutInCell="1" allowOverlap="0" wp14:anchorId="10650404" wp14:editId="0E57CDAC">
            <wp:simplePos x="0" y="0"/>
            <wp:positionH relativeFrom="column">
              <wp:posOffset>4232097</wp:posOffset>
            </wp:positionH>
            <wp:positionV relativeFrom="paragraph">
              <wp:posOffset>-42417</wp:posOffset>
            </wp:positionV>
            <wp:extent cx="972185" cy="972185"/>
            <wp:effectExtent l="0" t="0" r="0" b="0"/>
            <wp:wrapSquare wrapText="bothSides"/>
            <wp:docPr id="286" name="Picture 286"/>
            <wp:cNvGraphicFramePr/>
            <a:graphic xmlns:a="http://schemas.openxmlformats.org/drawingml/2006/main">
              <a:graphicData uri="http://schemas.openxmlformats.org/drawingml/2006/picture">
                <pic:pic xmlns:pic="http://schemas.openxmlformats.org/drawingml/2006/picture">
                  <pic:nvPicPr>
                    <pic:cNvPr id="286" name="Picture 286"/>
                    <pic:cNvPicPr/>
                  </pic:nvPicPr>
                  <pic:blipFill>
                    <a:blip r:embed="rId10"/>
                    <a:stretch>
                      <a:fillRect/>
                    </a:stretch>
                  </pic:blipFill>
                  <pic:spPr>
                    <a:xfrm>
                      <a:off x="0" y="0"/>
                      <a:ext cx="972185" cy="972185"/>
                    </a:xfrm>
                    <a:prstGeom prst="rect">
                      <a:avLst/>
                    </a:prstGeom>
                  </pic:spPr>
                </pic:pic>
              </a:graphicData>
            </a:graphic>
          </wp:anchor>
        </w:drawing>
      </w:r>
      <w:r>
        <w:t xml:space="preserve"> </w:t>
      </w:r>
    </w:p>
    <w:p w14:paraId="2A9863AC" w14:textId="77777777" w:rsidR="00853BDD" w:rsidRDefault="00C210AC">
      <w:pPr>
        <w:spacing w:after="0"/>
        <w:ind w:right="1341"/>
      </w:pPr>
      <w:r>
        <w:rPr>
          <w:noProof/>
        </w:rPr>
        <w:drawing>
          <wp:inline distT="0" distB="0" distL="0" distR="0" wp14:anchorId="5979E625" wp14:editId="347F0F28">
            <wp:extent cx="1924685" cy="603250"/>
            <wp:effectExtent l="0" t="0" r="0" b="0"/>
            <wp:docPr id="282" name="Picture 282"/>
            <wp:cNvGraphicFramePr/>
            <a:graphic xmlns:a="http://schemas.openxmlformats.org/drawingml/2006/main">
              <a:graphicData uri="http://schemas.openxmlformats.org/drawingml/2006/picture">
                <pic:pic xmlns:pic="http://schemas.openxmlformats.org/drawingml/2006/picture">
                  <pic:nvPicPr>
                    <pic:cNvPr id="282" name="Picture 282"/>
                    <pic:cNvPicPr/>
                  </pic:nvPicPr>
                  <pic:blipFill>
                    <a:blip r:embed="rId11"/>
                    <a:stretch>
                      <a:fillRect/>
                    </a:stretch>
                  </pic:blipFill>
                  <pic:spPr>
                    <a:xfrm>
                      <a:off x="0" y="0"/>
                      <a:ext cx="1924685" cy="603250"/>
                    </a:xfrm>
                    <a:prstGeom prst="rect">
                      <a:avLst/>
                    </a:prstGeom>
                  </pic:spPr>
                </pic:pic>
              </a:graphicData>
            </a:graphic>
          </wp:inline>
        </w:drawing>
      </w:r>
      <w:r>
        <w:t xml:space="preserve"> </w:t>
      </w:r>
    </w:p>
    <w:p w14:paraId="333495D3" w14:textId="77777777" w:rsidR="00853BDD" w:rsidRDefault="00C210AC">
      <w:pPr>
        <w:spacing w:after="0"/>
      </w:pPr>
      <w:r>
        <w:t xml:space="preserve">  </w:t>
      </w:r>
    </w:p>
    <w:p w14:paraId="03649F6A" w14:textId="77777777" w:rsidR="00853BDD" w:rsidRDefault="00C210AC">
      <w:pPr>
        <w:spacing w:after="0"/>
        <w:ind w:left="744"/>
      </w:pPr>
      <w:r>
        <w:rPr>
          <w:rFonts w:ascii="Times New Roman" w:eastAsia="Times New Roman" w:hAnsi="Times New Roman" w:cs="Times New Roman"/>
          <w:sz w:val="20"/>
        </w:rPr>
        <w:t xml:space="preserve"> </w:t>
      </w:r>
    </w:p>
    <w:p w14:paraId="46445E3A" w14:textId="77777777" w:rsidR="00853BDD" w:rsidRDefault="00C210AC">
      <w:pPr>
        <w:spacing w:after="96"/>
        <w:ind w:left="744"/>
      </w:pPr>
      <w:r>
        <w:rPr>
          <w:rFonts w:ascii="Times New Roman" w:eastAsia="Times New Roman" w:hAnsi="Times New Roman" w:cs="Times New Roman"/>
          <w:b/>
        </w:rPr>
        <w:t xml:space="preserve"> </w:t>
      </w:r>
    </w:p>
    <w:p w14:paraId="47DFC42A" w14:textId="77777777" w:rsidR="00853BDD" w:rsidRDefault="00C210AC">
      <w:pPr>
        <w:spacing w:after="217"/>
        <w:ind w:left="739" w:hanging="10"/>
      </w:pPr>
      <w:proofErr w:type="spellStart"/>
      <w:r>
        <w:rPr>
          <w:rFonts w:ascii="Times New Roman" w:eastAsia="Times New Roman" w:hAnsi="Times New Roman" w:cs="Times New Roman"/>
          <w:b/>
        </w:rPr>
        <w:t>Exp</w:t>
      </w:r>
      <w:proofErr w:type="spellEnd"/>
      <w:r>
        <w:rPr>
          <w:rFonts w:ascii="Times New Roman" w:eastAsia="Times New Roman" w:hAnsi="Times New Roman" w:cs="Times New Roman"/>
          <w:b/>
        </w:rPr>
        <w:t xml:space="preserve">. 39-2026 </w:t>
      </w:r>
    </w:p>
    <w:p w14:paraId="6E756B14" w14:textId="77777777" w:rsidR="00853BDD" w:rsidRDefault="00C210AC">
      <w:pPr>
        <w:spacing w:after="217"/>
        <w:ind w:left="739" w:hanging="10"/>
      </w:pPr>
      <w:r>
        <w:rPr>
          <w:rFonts w:ascii="Times New Roman" w:eastAsia="Times New Roman" w:hAnsi="Times New Roman" w:cs="Times New Roman"/>
          <w:b/>
        </w:rPr>
        <w:t>Asunto</w:t>
      </w:r>
      <w:r>
        <w:rPr>
          <w:rFonts w:ascii="Times New Roman" w:eastAsia="Times New Roman" w:hAnsi="Times New Roman" w:cs="Times New Roman"/>
        </w:rPr>
        <w:t xml:space="preserve">: </w:t>
      </w:r>
      <w:r>
        <w:rPr>
          <w:rFonts w:ascii="Times New Roman" w:eastAsia="Times New Roman" w:hAnsi="Times New Roman" w:cs="Times New Roman"/>
          <w:b/>
        </w:rPr>
        <w:t xml:space="preserve">Información pública sobre indemnizaciones por razón de servicio.  </w:t>
      </w:r>
    </w:p>
    <w:p w14:paraId="2999C6B8" w14:textId="77777777" w:rsidR="00853BDD" w:rsidRDefault="00C210AC">
      <w:pPr>
        <w:spacing w:after="111" w:line="248" w:lineRule="auto"/>
        <w:ind w:left="739" w:right="279" w:hanging="10"/>
        <w:jc w:val="both"/>
      </w:pPr>
      <w:r>
        <w:rPr>
          <w:rFonts w:ascii="Times New Roman" w:eastAsia="Times New Roman" w:hAnsi="Times New Roman" w:cs="Times New Roman"/>
        </w:rPr>
        <w:t xml:space="preserve">En respuesta a su solicitud, se remite el siguiente informe relativo a las indemnizaciones por razón de servicio en el Organismo Autónomo Arabako Foru Suhiltzaileak-Bomberas y Bomberos Forales de Álava (Servicio de Prevención, Extinción de Incendios y Salvamento- SPEIS).  </w:t>
      </w:r>
    </w:p>
    <w:p w14:paraId="0B693C6A" w14:textId="77777777" w:rsidR="00853BDD" w:rsidRDefault="00C210AC">
      <w:pPr>
        <w:spacing w:after="216"/>
        <w:ind w:left="744"/>
      </w:pPr>
      <w:r>
        <w:rPr>
          <w:rFonts w:ascii="Times New Roman" w:eastAsia="Times New Roman" w:hAnsi="Times New Roman" w:cs="Times New Roman"/>
        </w:rPr>
        <w:t xml:space="preserve"> </w:t>
      </w:r>
    </w:p>
    <w:p w14:paraId="5F3F717E" w14:textId="77777777" w:rsidR="00853BDD" w:rsidRDefault="00C210AC">
      <w:pPr>
        <w:spacing w:after="230" w:line="248" w:lineRule="auto"/>
        <w:ind w:left="739" w:right="279" w:hanging="10"/>
        <w:jc w:val="both"/>
      </w:pPr>
      <w:r>
        <w:rPr>
          <w:rFonts w:ascii="Times New Roman" w:eastAsia="Times New Roman" w:hAnsi="Times New Roman" w:cs="Times New Roman"/>
        </w:rPr>
        <w:t xml:space="preserve">Las indemnizaciones por razón de servicio en el OABA están reguladas en:  </w:t>
      </w:r>
    </w:p>
    <w:p w14:paraId="1FF1D773" w14:textId="77777777" w:rsidR="00853BDD" w:rsidRDefault="00C210AC">
      <w:pPr>
        <w:spacing w:after="230" w:line="248" w:lineRule="auto"/>
        <w:ind w:left="739" w:right="279" w:hanging="10"/>
        <w:jc w:val="both"/>
      </w:pPr>
      <w:r>
        <w:rPr>
          <w:rFonts w:ascii="Times New Roman" w:eastAsia="Times New Roman" w:hAnsi="Times New Roman" w:cs="Times New Roman"/>
        </w:rPr>
        <w:t xml:space="preserve">El artículo 124 de la Ley 11/2022, de 1 de diciembre, de Empleo Público Vasco regula las indemnizaciones por razón de servicio del personal empleado público de las administraciones públicas vascas.  </w:t>
      </w:r>
    </w:p>
    <w:p w14:paraId="1BE3271A" w14:textId="77777777" w:rsidR="00853BDD" w:rsidRDefault="00C210AC">
      <w:pPr>
        <w:spacing w:after="230" w:line="248" w:lineRule="auto"/>
        <w:ind w:left="739" w:right="279" w:hanging="10"/>
        <w:jc w:val="both"/>
      </w:pPr>
      <w:r>
        <w:rPr>
          <w:rFonts w:ascii="Times New Roman" w:eastAsia="Times New Roman" w:hAnsi="Times New Roman" w:cs="Times New Roman"/>
        </w:rPr>
        <w:t xml:space="preserve">Se estable que se tendrá derecho a percibir la indemnización que corresponda en los siguientes supuestos:  </w:t>
      </w:r>
    </w:p>
    <w:p w14:paraId="745FDF7E" w14:textId="5E43E874" w:rsidR="00853BDD" w:rsidRDefault="00C210AC">
      <w:pPr>
        <w:numPr>
          <w:ilvl w:val="0"/>
          <w:numId w:val="1"/>
        </w:numPr>
        <w:spacing w:after="230" w:line="248" w:lineRule="auto"/>
        <w:ind w:right="279" w:hanging="348"/>
        <w:jc w:val="both"/>
      </w:pPr>
      <w:r>
        <w:rPr>
          <w:rFonts w:ascii="Times New Roman" w:eastAsia="Times New Roman" w:hAnsi="Times New Roman" w:cs="Times New Roman"/>
        </w:rPr>
        <w:t xml:space="preserve">Las modificaciones del centro de trabajo que conlleven cambio de localidad, siempre que de dicha circunstancia se derive un perjuicio económico. No procederá la indemnización si la modificación del centro de trabajo tiene su origen en la aplicación de una sanción disciplinaria. </w:t>
      </w:r>
    </w:p>
    <w:p w14:paraId="1D0DD6D1" w14:textId="77777777" w:rsidR="00853BDD" w:rsidRDefault="00C210AC">
      <w:pPr>
        <w:numPr>
          <w:ilvl w:val="0"/>
          <w:numId w:val="1"/>
        </w:numPr>
        <w:spacing w:after="230" w:line="248" w:lineRule="auto"/>
        <w:ind w:right="279" w:hanging="348"/>
        <w:jc w:val="both"/>
      </w:pPr>
      <w:r>
        <w:rPr>
          <w:rFonts w:ascii="Times New Roman" w:eastAsia="Times New Roman" w:hAnsi="Times New Roman" w:cs="Times New Roman"/>
        </w:rPr>
        <w:t xml:space="preserve">Los desplazamientos por razón de servicio. </w:t>
      </w:r>
    </w:p>
    <w:p w14:paraId="36F6D516" w14:textId="77777777" w:rsidR="00853BDD" w:rsidRDefault="00C210AC">
      <w:pPr>
        <w:numPr>
          <w:ilvl w:val="0"/>
          <w:numId w:val="1"/>
        </w:numPr>
        <w:spacing w:after="230" w:line="248" w:lineRule="auto"/>
        <w:ind w:right="279" w:hanging="348"/>
        <w:jc w:val="both"/>
      </w:pPr>
      <w:r>
        <w:rPr>
          <w:rFonts w:ascii="Times New Roman" w:eastAsia="Times New Roman" w:hAnsi="Times New Roman" w:cs="Times New Roman"/>
        </w:rPr>
        <w:t xml:space="preserve">La asistencia a cursos de formación o perfeccionamiento, cuando así se autorice por parte del órgano competente. </w:t>
      </w:r>
    </w:p>
    <w:p w14:paraId="36597992" w14:textId="77777777" w:rsidR="00853BDD" w:rsidRDefault="00C210AC">
      <w:pPr>
        <w:numPr>
          <w:ilvl w:val="0"/>
          <w:numId w:val="1"/>
        </w:numPr>
        <w:spacing w:after="230" w:line="248" w:lineRule="auto"/>
        <w:ind w:right="279" w:hanging="348"/>
        <w:jc w:val="both"/>
      </w:pPr>
      <w:r>
        <w:rPr>
          <w:rFonts w:ascii="Times New Roman" w:eastAsia="Times New Roman" w:hAnsi="Times New Roman" w:cs="Times New Roman"/>
        </w:rPr>
        <w:t xml:space="preserve">La concurrencia a reuniones de órganos colegiados de la Administración y de consejos de administración de </w:t>
      </w:r>
      <w:proofErr w:type="gramStart"/>
      <w:r>
        <w:rPr>
          <w:rFonts w:ascii="Times New Roman" w:eastAsia="Times New Roman" w:hAnsi="Times New Roman" w:cs="Times New Roman"/>
        </w:rPr>
        <w:t>sociedades públicas y entes públicos</w:t>
      </w:r>
      <w:proofErr w:type="gramEnd"/>
      <w:r>
        <w:rPr>
          <w:rFonts w:ascii="Times New Roman" w:eastAsia="Times New Roman" w:hAnsi="Times New Roman" w:cs="Times New Roman"/>
        </w:rPr>
        <w:t xml:space="preserve"> de derecho privado, la participación en tribunales encargados de juzgar procesos selectivos o de provisión de personal o pruebas cuya superación sea necesaria para el ejercicio de profesiones o la realización de actividades, y la colaboración, con carácter no permanente ni habitual, en actividades formativas de la Administración. </w:t>
      </w:r>
    </w:p>
    <w:p w14:paraId="2199A1F2" w14:textId="77777777" w:rsidR="00853BDD" w:rsidRDefault="00C210AC">
      <w:pPr>
        <w:numPr>
          <w:ilvl w:val="0"/>
          <w:numId w:val="1"/>
        </w:numPr>
        <w:spacing w:after="230" w:line="248" w:lineRule="auto"/>
        <w:ind w:right="279" w:hanging="348"/>
        <w:jc w:val="both"/>
      </w:pPr>
      <w:r>
        <w:rPr>
          <w:rFonts w:ascii="Times New Roman" w:eastAsia="Times New Roman" w:hAnsi="Times New Roman" w:cs="Times New Roman"/>
        </w:rPr>
        <w:t xml:space="preserve">Las tareas de asesoramiento a los tribunales encargados de juzgar procesos selectivos o de provisión de personal, o las tareas de colaboración con dichos tribunales en tareas de vigilancia o auxilio material. </w:t>
      </w:r>
    </w:p>
    <w:p w14:paraId="1DE67478" w14:textId="77777777" w:rsidR="00853BDD" w:rsidRDefault="00C210AC">
      <w:pPr>
        <w:numPr>
          <w:ilvl w:val="0"/>
          <w:numId w:val="1"/>
        </w:numPr>
        <w:spacing w:after="230" w:line="248" w:lineRule="auto"/>
        <w:ind w:right="279" w:hanging="348"/>
        <w:jc w:val="both"/>
      </w:pPr>
      <w:r>
        <w:rPr>
          <w:rFonts w:ascii="Times New Roman" w:eastAsia="Times New Roman" w:hAnsi="Times New Roman" w:cs="Times New Roman"/>
        </w:rPr>
        <w:t xml:space="preserve">El destino en el extranjero. </w:t>
      </w:r>
    </w:p>
    <w:p w14:paraId="2D0ED1DF" w14:textId="77777777" w:rsidR="00853BDD" w:rsidRDefault="00C210AC">
      <w:pPr>
        <w:spacing w:after="214"/>
        <w:ind w:left="744"/>
      </w:pPr>
      <w:r>
        <w:rPr>
          <w:rFonts w:ascii="Times New Roman" w:eastAsia="Times New Roman" w:hAnsi="Times New Roman" w:cs="Times New Roman"/>
        </w:rPr>
        <w:t xml:space="preserve"> </w:t>
      </w:r>
    </w:p>
    <w:p w14:paraId="2C962D48" w14:textId="77777777" w:rsidR="00853BDD" w:rsidRDefault="00C210AC">
      <w:pPr>
        <w:spacing w:after="442" w:line="248" w:lineRule="auto"/>
        <w:ind w:left="739" w:right="279" w:hanging="10"/>
        <w:jc w:val="both"/>
      </w:pPr>
      <w:r>
        <w:rPr>
          <w:rFonts w:ascii="Times New Roman" w:eastAsia="Times New Roman" w:hAnsi="Times New Roman" w:cs="Times New Roman"/>
        </w:rPr>
        <w:t xml:space="preserve">Del mismo modo, en el punto segundo se establece que el derecho a las indemnizaciones se entenderá siempre a reserva de la </w:t>
      </w:r>
      <w:r>
        <w:rPr>
          <w:rFonts w:ascii="Times New Roman" w:eastAsia="Times New Roman" w:hAnsi="Times New Roman" w:cs="Times New Roman"/>
          <w:b/>
        </w:rPr>
        <w:t>efectiva realización del gasto</w:t>
      </w:r>
      <w:r>
        <w:rPr>
          <w:rFonts w:ascii="Times New Roman" w:eastAsia="Times New Roman" w:hAnsi="Times New Roman" w:cs="Times New Roman"/>
        </w:rPr>
        <w:t xml:space="preserve">, sin que pueda percibirse por el personal funcionario que ya se encuentre resarcido por los supuestos descritos en el apartado anterior por medio de cualquier otro concepto retributivo. Cuando el gasto estuviera resarcido </w:t>
      </w:r>
    </w:p>
    <w:p w14:paraId="1853F1C2" w14:textId="77777777" w:rsidR="00853BDD" w:rsidRDefault="00C210AC">
      <w:pPr>
        <w:spacing w:after="0"/>
        <w:ind w:left="744"/>
      </w:pPr>
      <w:r>
        <w:rPr>
          <w:rFonts w:ascii="Times New Roman" w:eastAsia="Times New Roman" w:hAnsi="Times New Roman" w:cs="Times New Roman"/>
        </w:rPr>
        <w:t xml:space="preserve"> </w:t>
      </w:r>
    </w:p>
    <w:p w14:paraId="676E67B5" w14:textId="77777777" w:rsidR="00853BDD" w:rsidRDefault="00C210AC">
      <w:pPr>
        <w:spacing w:after="0"/>
        <w:ind w:left="727"/>
      </w:pPr>
      <w:r>
        <w:rPr>
          <w:noProof/>
        </w:rPr>
        <mc:AlternateContent>
          <mc:Choice Requires="wpg">
            <w:drawing>
              <wp:inline distT="0" distB="0" distL="0" distR="0" wp14:anchorId="39F4C770" wp14:editId="7E93D9BE">
                <wp:extent cx="5429377" cy="6096"/>
                <wp:effectExtent l="0" t="0" r="0" b="0"/>
                <wp:docPr id="3887" name="Group 3887"/>
                <wp:cNvGraphicFramePr/>
                <a:graphic xmlns:a="http://schemas.openxmlformats.org/drawingml/2006/main">
                  <a:graphicData uri="http://schemas.microsoft.com/office/word/2010/wordprocessingGroup">
                    <wpg:wgp>
                      <wpg:cNvGrpSpPr/>
                      <wpg:grpSpPr>
                        <a:xfrm>
                          <a:off x="0" y="0"/>
                          <a:ext cx="5429377" cy="6096"/>
                          <a:chOff x="0" y="0"/>
                          <a:chExt cx="5429377" cy="6096"/>
                        </a:xfrm>
                      </wpg:grpSpPr>
                      <wps:wsp>
                        <wps:cNvPr id="4550" name="Shape 4550"/>
                        <wps:cNvSpPr/>
                        <wps:spPr>
                          <a:xfrm>
                            <a:off x="0" y="0"/>
                            <a:ext cx="5429377" cy="9144"/>
                          </a:xfrm>
                          <a:custGeom>
                            <a:avLst/>
                            <a:gdLst/>
                            <a:ahLst/>
                            <a:cxnLst/>
                            <a:rect l="0" t="0" r="0" b="0"/>
                            <a:pathLst>
                              <a:path w="5429377" h="9144">
                                <a:moveTo>
                                  <a:pt x="0" y="0"/>
                                </a:moveTo>
                                <a:lnTo>
                                  <a:pt x="5429377" y="0"/>
                                </a:lnTo>
                                <a:lnTo>
                                  <a:pt x="542937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887" style="width:427.51pt;height:0.47998pt;mso-position-horizontal-relative:char;mso-position-vertical-relative:line" coordsize="54293,60">
                <v:shape id="Shape 4551" style="position:absolute;width:54293;height:91;left:0;top:0;" coordsize="5429377,9144" path="m0,0l5429377,0l5429377,9144l0,9144l0,0">
                  <v:stroke weight="0pt" endcap="flat" joinstyle="miter" miterlimit="10" on="false" color="#000000" opacity="0"/>
                  <v:fill on="true" color="#000000"/>
                </v:shape>
              </v:group>
            </w:pict>
          </mc:Fallback>
        </mc:AlternateContent>
      </w:r>
      <w:r>
        <w:rPr>
          <w:rFonts w:ascii="Times New Roman" w:eastAsia="Times New Roman" w:hAnsi="Times New Roman" w:cs="Times New Roman"/>
        </w:rPr>
        <w:t xml:space="preserve"> </w:t>
      </w:r>
    </w:p>
    <w:p w14:paraId="118D687E" w14:textId="77777777" w:rsidR="00853BDD" w:rsidRDefault="00C210AC">
      <w:pPr>
        <w:spacing w:after="0"/>
        <w:ind w:left="756"/>
      </w:pPr>
      <w:r>
        <w:rPr>
          <w:rFonts w:ascii="Times New Roman" w:eastAsia="Times New Roman" w:hAnsi="Times New Roman" w:cs="Times New Roman"/>
        </w:rPr>
        <w:lastRenderedPageBreak/>
        <w:t xml:space="preserve"> </w:t>
      </w:r>
    </w:p>
    <w:p w14:paraId="78EE662A" w14:textId="77777777" w:rsidR="00853BDD" w:rsidRDefault="00C210AC">
      <w:pPr>
        <w:spacing w:after="162"/>
        <w:ind w:left="744"/>
      </w:pPr>
      <w:r>
        <w:rPr>
          <w:rFonts w:ascii="Arial" w:eastAsia="Arial" w:hAnsi="Arial" w:cs="Arial"/>
          <w:b/>
          <w:sz w:val="18"/>
        </w:rPr>
        <w:t xml:space="preserve"> </w:t>
      </w:r>
      <w:r>
        <w:rPr>
          <w:rFonts w:ascii="Arial" w:eastAsia="Arial" w:hAnsi="Arial" w:cs="Arial"/>
          <w:b/>
          <w:sz w:val="18"/>
        </w:rPr>
        <w:tab/>
      </w:r>
      <w:r>
        <w:rPr>
          <w:rFonts w:ascii="Arial" w:eastAsia="Arial" w:hAnsi="Arial" w:cs="Arial"/>
          <w:sz w:val="17"/>
        </w:rPr>
        <w:t xml:space="preserve"> </w:t>
      </w:r>
      <w:r>
        <w:rPr>
          <w:rFonts w:ascii="Arial" w:eastAsia="Arial" w:hAnsi="Arial" w:cs="Arial"/>
          <w:sz w:val="17"/>
        </w:rPr>
        <w:tab/>
      </w:r>
      <w:r>
        <w:rPr>
          <w:rFonts w:ascii="Times New Roman" w:eastAsia="Times New Roman" w:hAnsi="Times New Roman" w:cs="Times New Roman"/>
          <w:sz w:val="15"/>
        </w:rPr>
        <w:t xml:space="preserve"> </w:t>
      </w:r>
    </w:p>
    <w:p w14:paraId="6CD24288" w14:textId="77777777" w:rsidR="00853BDD" w:rsidRDefault="00C210AC">
      <w:pPr>
        <w:spacing w:after="0"/>
        <w:ind w:left="744"/>
      </w:pPr>
      <w:r>
        <w:rPr>
          <w:rFonts w:ascii="Times New Roman" w:eastAsia="Times New Roman" w:hAnsi="Times New Roman" w:cs="Times New Roman"/>
        </w:rPr>
        <w:t xml:space="preserve"> </w:t>
      </w:r>
    </w:p>
    <w:p w14:paraId="594F3D30" w14:textId="77777777" w:rsidR="00853BDD" w:rsidRDefault="00C210AC">
      <w:pPr>
        <w:spacing w:after="11"/>
        <w:ind w:left="744" w:right="-281"/>
      </w:pPr>
      <w:r>
        <w:rPr>
          <w:noProof/>
        </w:rPr>
        <mc:AlternateContent>
          <mc:Choice Requires="wpg">
            <w:drawing>
              <wp:inline distT="0" distB="0" distL="0" distR="0" wp14:anchorId="091547DC" wp14:editId="107283E3">
                <wp:extent cx="5761558" cy="458907"/>
                <wp:effectExtent l="0" t="0" r="0" b="0"/>
                <wp:docPr id="3819" name="Group 3819"/>
                <wp:cNvGraphicFramePr/>
                <a:graphic xmlns:a="http://schemas.openxmlformats.org/drawingml/2006/main">
                  <a:graphicData uri="http://schemas.microsoft.com/office/word/2010/wordprocessingGroup">
                    <wpg:wgp>
                      <wpg:cNvGrpSpPr/>
                      <wpg:grpSpPr>
                        <a:xfrm>
                          <a:off x="0" y="0"/>
                          <a:ext cx="5761558" cy="458907"/>
                          <a:chOff x="0" y="0"/>
                          <a:chExt cx="5761558" cy="458907"/>
                        </a:xfrm>
                      </wpg:grpSpPr>
                      <wps:wsp>
                        <wps:cNvPr id="416" name="Rectangle 416"/>
                        <wps:cNvSpPr/>
                        <wps:spPr>
                          <a:xfrm>
                            <a:off x="44145" y="29643"/>
                            <a:ext cx="42059" cy="153038"/>
                          </a:xfrm>
                          <a:prstGeom prst="rect">
                            <a:avLst/>
                          </a:prstGeom>
                          <a:ln>
                            <a:noFill/>
                          </a:ln>
                        </wps:spPr>
                        <wps:txbx>
                          <w:txbxContent>
                            <w:p w14:paraId="53B5146D" w14:textId="77777777" w:rsidR="00853BDD" w:rsidRDefault="00C210AC">
                              <w:r>
                                <w:rPr>
                                  <w:rFonts w:ascii="Times New Roman" w:eastAsia="Times New Roman" w:hAnsi="Times New Roman" w:cs="Times New Roman"/>
                                  <w:sz w:val="20"/>
                                </w:rPr>
                                <w:t xml:space="preserve"> </w:t>
                              </w:r>
                            </w:p>
                          </w:txbxContent>
                        </wps:txbx>
                        <wps:bodyPr horzOverflow="overflow" vert="horz" lIns="0" tIns="0" rIns="0" bIns="0" rtlCol="0">
                          <a:noAutofit/>
                        </wps:bodyPr>
                      </wps:wsp>
                      <pic:pic xmlns:pic="http://schemas.openxmlformats.org/drawingml/2006/picture">
                        <pic:nvPicPr>
                          <pic:cNvPr id="418" name="Picture 418"/>
                          <pic:cNvPicPr/>
                        </pic:nvPicPr>
                        <pic:blipFill>
                          <a:blip r:embed="rId12"/>
                          <a:stretch>
                            <a:fillRect/>
                          </a:stretch>
                        </pic:blipFill>
                        <pic:spPr>
                          <a:xfrm>
                            <a:off x="2664917" y="0"/>
                            <a:ext cx="431800" cy="431165"/>
                          </a:xfrm>
                          <a:prstGeom prst="rect">
                            <a:avLst/>
                          </a:prstGeom>
                        </pic:spPr>
                      </pic:pic>
                      <wps:wsp>
                        <wps:cNvPr id="419" name="Rectangle 419"/>
                        <wps:cNvSpPr/>
                        <wps:spPr>
                          <a:xfrm>
                            <a:off x="3097352" y="343841"/>
                            <a:ext cx="42058" cy="153038"/>
                          </a:xfrm>
                          <a:prstGeom prst="rect">
                            <a:avLst/>
                          </a:prstGeom>
                          <a:ln>
                            <a:noFill/>
                          </a:ln>
                        </wps:spPr>
                        <wps:txbx>
                          <w:txbxContent>
                            <w:p w14:paraId="20740C69" w14:textId="77777777" w:rsidR="00853BDD" w:rsidRDefault="00C210AC">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420" name="Rectangle 420"/>
                        <wps:cNvSpPr/>
                        <wps:spPr>
                          <a:xfrm>
                            <a:off x="3357956" y="29643"/>
                            <a:ext cx="42058" cy="153038"/>
                          </a:xfrm>
                          <a:prstGeom prst="rect">
                            <a:avLst/>
                          </a:prstGeom>
                          <a:ln>
                            <a:noFill/>
                          </a:ln>
                        </wps:spPr>
                        <wps:txbx>
                          <w:txbxContent>
                            <w:p w14:paraId="4C4ABDA3" w14:textId="77777777" w:rsidR="00853BDD" w:rsidRDefault="00C210AC">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421" name="Rectangle 421"/>
                        <wps:cNvSpPr/>
                        <wps:spPr>
                          <a:xfrm>
                            <a:off x="44145" y="250623"/>
                            <a:ext cx="42059" cy="153038"/>
                          </a:xfrm>
                          <a:prstGeom prst="rect">
                            <a:avLst/>
                          </a:prstGeom>
                          <a:ln>
                            <a:noFill/>
                          </a:ln>
                        </wps:spPr>
                        <wps:txbx>
                          <w:txbxContent>
                            <w:p w14:paraId="15FC6A8A" w14:textId="77777777" w:rsidR="00853BDD" w:rsidRDefault="00C210AC">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422" name="Rectangle 422"/>
                        <wps:cNvSpPr/>
                        <wps:spPr>
                          <a:xfrm>
                            <a:off x="3357956" y="250623"/>
                            <a:ext cx="42058" cy="153038"/>
                          </a:xfrm>
                          <a:prstGeom prst="rect">
                            <a:avLst/>
                          </a:prstGeom>
                          <a:ln>
                            <a:noFill/>
                          </a:ln>
                        </wps:spPr>
                        <wps:txbx>
                          <w:txbxContent>
                            <w:p w14:paraId="1EA5A323" w14:textId="77777777" w:rsidR="00853BDD" w:rsidRDefault="00C210AC">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4552" name="Shape 4552"/>
                        <wps:cNvSpPr/>
                        <wps:spPr>
                          <a:xfrm>
                            <a:off x="0" y="213360"/>
                            <a:ext cx="2449322" cy="9144"/>
                          </a:xfrm>
                          <a:custGeom>
                            <a:avLst/>
                            <a:gdLst/>
                            <a:ahLst/>
                            <a:cxnLst/>
                            <a:rect l="0" t="0" r="0" b="0"/>
                            <a:pathLst>
                              <a:path w="2449322" h="9144">
                                <a:moveTo>
                                  <a:pt x="0" y="0"/>
                                </a:moveTo>
                                <a:lnTo>
                                  <a:pt x="2449322" y="0"/>
                                </a:lnTo>
                                <a:lnTo>
                                  <a:pt x="244932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53" name="Shape 4553"/>
                        <wps:cNvSpPr/>
                        <wps:spPr>
                          <a:xfrm>
                            <a:off x="3313760" y="213360"/>
                            <a:ext cx="2447798" cy="9144"/>
                          </a:xfrm>
                          <a:custGeom>
                            <a:avLst/>
                            <a:gdLst/>
                            <a:ahLst/>
                            <a:cxnLst/>
                            <a:rect l="0" t="0" r="0" b="0"/>
                            <a:pathLst>
                              <a:path w="2447798" h="9144">
                                <a:moveTo>
                                  <a:pt x="0" y="0"/>
                                </a:moveTo>
                                <a:lnTo>
                                  <a:pt x="2447798" y="0"/>
                                </a:lnTo>
                                <a:lnTo>
                                  <a:pt x="244779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819" style="width:453.666pt;height:36.1344pt;mso-position-horizontal-relative:char;mso-position-vertical-relative:line" coordsize="57615,4589">
                <v:rect id="Rectangle 416" style="position:absolute;width:420;height:1530;left:441;top:296;" filled="f" stroked="f">
                  <v:textbox inset="0,0,0,0">
                    <w:txbxContent>
                      <w:p>
                        <w:pPr>
                          <w:spacing w:before="0" w:after="160" w:line="259" w:lineRule="auto"/>
                        </w:pPr>
                        <w:r>
                          <w:rPr>
                            <w:rFonts w:cs="Times New Roman" w:hAnsi="Times New Roman" w:eastAsia="Times New Roman" w:ascii="Times New Roman"/>
                            <w:sz w:val="20"/>
                          </w:rPr>
                          <w:t xml:space="preserve"> </w:t>
                        </w:r>
                      </w:p>
                    </w:txbxContent>
                  </v:textbox>
                </v:rect>
                <v:shape id="Picture 418" style="position:absolute;width:4318;height:4311;left:26649;top:0;" filled="f">
                  <v:imagedata r:id="rId13"/>
                </v:shape>
                <v:rect id="Rectangle 419" style="position:absolute;width:420;height:1530;left:30973;top:3438;" filled="f" stroked="f">
                  <v:textbox inset="0,0,0,0">
                    <w:txbxContent>
                      <w:p>
                        <w:pPr>
                          <w:spacing w:before="0" w:after="160" w:line="259" w:lineRule="auto"/>
                        </w:pPr>
                        <w:r>
                          <w:rPr>
                            <w:rFonts w:cs="Times New Roman" w:hAnsi="Times New Roman" w:eastAsia="Times New Roman" w:ascii="Times New Roman"/>
                            <w:sz w:val="20"/>
                          </w:rPr>
                          <w:t xml:space="preserve"> </w:t>
                        </w:r>
                      </w:p>
                    </w:txbxContent>
                  </v:textbox>
                </v:rect>
                <v:rect id="Rectangle 420" style="position:absolute;width:420;height:1530;left:33579;top:296;" filled="f" stroked="f">
                  <v:textbox inset="0,0,0,0">
                    <w:txbxContent>
                      <w:p>
                        <w:pPr>
                          <w:spacing w:before="0" w:after="160" w:line="259" w:lineRule="auto"/>
                        </w:pPr>
                        <w:r>
                          <w:rPr>
                            <w:rFonts w:cs="Times New Roman" w:hAnsi="Times New Roman" w:eastAsia="Times New Roman" w:ascii="Times New Roman"/>
                            <w:sz w:val="20"/>
                          </w:rPr>
                          <w:t xml:space="preserve"> </w:t>
                        </w:r>
                      </w:p>
                    </w:txbxContent>
                  </v:textbox>
                </v:rect>
                <v:rect id="Rectangle 421" style="position:absolute;width:420;height:1530;left:441;top:2506;" filled="f" stroked="f">
                  <v:textbox inset="0,0,0,0">
                    <w:txbxContent>
                      <w:p>
                        <w:pPr>
                          <w:spacing w:before="0" w:after="160" w:line="259" w:lineRule="auto"/>
                        </w:pPr>
                        <w:r>
                          <w:rPr>
                            <w:rFonts w:cs="Times New Roman" w:hAnsi="Times New Roman" w:eastAsia="Times New Roman" w:ascii="Times New Roman"/>
                            <w:sz w:val="20"/>
                          </w:rPr>
                          <w:t xml:space="preserve"> </w:t>
                        </w:r>
                      </w:p>
                    </w:txbxContent>
                  </v:textbox>
                </v:rect>
                <v:rect id="Rectangle 422" style="position:absolute;width:420;height:1530;left:33579;top:2506;" filled="f" stroked="f">
                  <v:textbox inset="0,0,0,0">
                    <w:txbxContent>
                      <w:p>
                        <w:pPr>
                          <w:spacing w:before="0" w:after="160" w:line="259" w:lineRule="auto"/>
                        </w:pPr>
                        <w:r>
                          <w:rPr>
                            <w:rFonts w:cs="Times New Roman" w:hAnsi="Times New Roman" w:eastAsia="Times New Roman" w:ascii="Times New Roman"/>
                            <w:sz w:val="20"/>
                          </w:rPr>
                          <w:t xml:space="preserve"> </w:t>
                        </w:r>
                      </w:p>
                    </w:txbxContent>
                  </v:textbox>
                </v:rect>
                <v:shape id="Shape 4554" style="position:absolute;width:24493;height:91;left:0;top:2133;" coordsize="2449322,9144" path="m0,0l2449322,0l2449322,9144l0,9144l0,0">
                  <v:stroke weight="0pt" endcap="flat" joinstyle="miter" miterlimit="10" on="false" color="#000000" opacity="0"/>
                  <v:fill on="true" color="#000000"/>
                </v:shape>
                <v:shape id="Shape 4555" style="position:absolute;width:24477;height:91;left:33137;top:2133;" coordsize="2447798,9144" path="m0,0l2447798,0l2447798,9144l0,9144l0,0">
                  <v:stroke weight="0pt" endcap="flat" joinstyle="miter" miterlimit="10" on="false" color="#000000" opacity="0"/>
                  <v:fill on="true" color="#000000"/>
                </v:shape>
              </v:group>
            </w:pict>
          </mc:Fallback>
        </mc:AlternateContent>
      </w:r>
    </w:p>
    <w:p w14:paraId="4FEB35ED" w14:textId="77777777" w:rsidR="00853BDD" w:rsidRDefault="00C210AC">
      <w:pPr>
        <w:spacing w:after="0"/>
        <w:ind w:left="744"/>
      </w:pPr>
      <w:r>
        <w:rPr>
          <w:rFonts w:ascii="Times New Roman" w:eastAsia="Times New Roman" w:hAnsi="Times New Roman" w:cs="Times New Roman"/>
          <w:sz w:val="20"/>
        </w:rPr>
        <w:t xml:space="preserve"> </w:t>
      </w:r>
    </w:p>
    <w:p w14:paraId="0D80969F" w14:textId="77777777" w:rsidR="00853BDD" w:rsidRDefault="00C210AC">
      <w:pPr>
        <w:spacing w:after="0"/>
        <w:ind w:left="744"/>
      </w:pPr>
      <w:r>
        <w:rPr>
          <w:rFonts w:ascii="Times New Roman" w:eastAsia="Times New Roman" w:hAnsi="Times New Roman" w:cs="Times New Roman"/>
          <w:sz w:val="20"/>
        </w:rPr>
        <w:t xml:space="preserve"> </w:t>
      </w:r>
    </w:p>
    <w:p w14:paraId="191F1D38" w14:textId="77777777" w:rsidR="00853BDD" w:rsidRDefault="00C210AC">
      <w:pPr>
        <w:spacing w:after="0"/>
        <w:ind w:left="744"/>
      </w:pPr>
      <w:r>
        <w:rPr>
          <w:rFonts w:ascii="Times New Roman" w:eastAsia="Times New Roman" w:hAnsi="Times New Roman" w:cs="Times New Roman"/>
          <w:sz w:val="20"/>
        </w:rPr>
        <w:t xml:space="preserve"> </w:t>
      </w:r>
    </w:p>
    <w:p w14:paraId="59B09D72" w14:textId="77777777" w:rsidR="00853BDD" w:rsidRDefault="00C210AC">
      <w:pPr>
        <w:spacing w:after="230" w:line="248" w:lineRule="auto"/>
        <w:ind w:left="739" w:right="279" w:hanging="10"/>
        <w:jc w:val="both"/>
      </w:pPr>
      <w:r>
        <w:rPr>
          <w:rFonts w:ascii="Times New Roman" w:eastAsia="Times New Roman" w:hAnsi="Times New Roman" w:cs="Times New Roman"/>
        </w:rPr>
        <w:t xml:space="preserve">por un importe inferior al que resulte de la disposición reglamentaria que se dicte en desarrollo de dicho artículo, se satisfará la diferencia correspondiente. </w:t>
      </w:r>
    </w:p>
    <w:p w14:paraId="67950FC7" w14:textId="77777777" w:rsidR="00853BDD" w:rsidRDefault="00C210AC">
      <w:pPr>
        <w:spacing w:after="230" w:line="248" w:lineRule="auto"/>
        <w:ind w:left="739" w:right="279" w:hanging="10"/>
        <w:jc w:val="both"/>
      </w:pPr>
      <w:r>
        <w:rPr>
          <w:rFonts w:ascii="Times New Roman" w:eastAsia="Times New Roman" w:hAnsi="Times New Roman" w:cs="Times New Roman"/>
        </w:rPr>
        <w:t xml:space="preserve">Por otro lado, las indemnizaciones por razón de servicio </w:t>
      </w:r>
      <w:r>
        <w:rPr>
          <w:rFonts w:ascii="Times New Roman" w:eastAsia="Times New Roman" w:hAnsi="Times New Roman" w:cs="Times New Roman"/>
        </w:rPr>
        <w:t xml:space="preserve">tienen la consideración de objeto de negociación colectiva en las mesas de negociación, </w:t>
      </w:r>
      <w:proofErr w:type="gramStart"/>
      <w:r>
        <w:rPr>
          <w:rFonts w:ascii="Times New Roman" w:eastAsia="Times New Roman" w:hAnsi="Times New Roman" w:cs="Times New Roman"/>
        </w:rPr>
        <w:t>y</w:t>
      </w:r>
      <w:proofErr w:type="gramEnd"/>
      <w:r>
        <w:rPr>
          <w:rFonts w:ascii="Times New Roman" w:eastAsia="Times New Roman" w:hAnsi="Times New Roman" w:cs="Times New Roman"/>
        </w:rPr>
        <w:t xml:space="preserve"> por lo tanto, en el caso del personal al servicio del Organismo Autónomo Arabako Foru Suhiltzaileak-Bomberas y Bomberos Forales de Álava se ha llevado a cabo dicha negociación con la representación social, siempre dentro de los límites impuestos por la normativa reguladora aplicable.  </w:t>
      </w:r>
    </w:p>
    <w:p w14:paraId="5C8B3EAD" w14:textId="77777777" w:rsidR="00853BDD" w:rsidRDefault="00C210AC">
      <w:pPr>
        <w:spacing w:after="230" w:line="248" w:lineRule="auto"/>
        <w:ind w:left="739" w:right="279" w:hanging="10"/>
        <w:jc w:val="both"/>
      </w:pPr>
      <w:r>
        <w:rPr>
          <w:rFonts w:ascii="Times New Roman" w:eastAsia="Times New Roman" w:hAnsi="Times New Roman" w:cs="Times New Roman"/>
        </w:rPr>
        <w:t xml:space="preserve">En cuanto a los importes a abonar, el Organismo Autónomo Arabako Foru SuhiltzaileakBomberas y Bomberos Forales de Álava </w:t>
      </w:r>
      <w:r>
        <w:rPr>
          <w:rFonts w:ascii="Times New Roman" w:eastAsia="Times New Roman" w:hAnsi="Times New Roman" w:cs="Times New Roman"/>
        </w:rPr>
        <w:t xml:space="preserve">aplica por analogía el importe máximo de la dieta por comida o cena que en cada momento esté fijada para el personal al servicio de la Diputación Foral de Álava y el Sector Público Foral, </w:t>
      </w:r>
      <w:r>
        <w:rPr>
          <w:rFonts w:ascii="Times New Roman" w:eastAsia="Times New Roman" w:hAnsi="Times New Roman" w:cs="Times New Roman"/>
          <w:b/>
        </w:rPr>
        <w:t>previa justificación de la realización del gasto</w:t>
      </w:r>
      <w:r>
        <w:rPr>
          <w:rFonts w:ascii="Times New Roman" w:eastAsia="Times New Roman" w:hAnsi="Times New Roman" w:cs="Times New Roman"/>
        </w:rPr>
        <w:t xml:space="preserve">, y tenidos en cuenta los límites establecidos en el Decreto 16/1993, de 2 de febrero, sobre indemnizaciones por razón del servicio, vigente en el momento de su aplicación.  </w:t>
      </w:r>
    </w:p>
    <w:p w14:paraId="64F05693" w14:textId="77777777" w:rsidR="00853BDD" w:rsidRDefault="00C210AC">
      <w:pPr>
        <w:spacing w:after="230" w:line="248" w:lineRule="auto"/>
        <w:ind w:left="739" w:right="279" w:hanging="10"/>
        <w:jc w:val="both"/>
      </w:pPr>
      <w:r>
        <w:rPr>
          <w:rFonts w:ascii="Times New Roman" w:eastAsia="Times New Roman" w:hAnsi="Times New Roman" w:cs="Times New Roman"/>
        </w:rPr>
        <w:t xml:space="preserve">A los efectos de fijar el importe de la dieta se considera de forma global, es decir un </w:t>
      </w:r>
      <w:r>
        <w:rPr>
          <w:rFonts w:ascii="Times New Roman" w:eastAsia="Times New Roman" w:hAnsi="Times New Roman" w:cs="Times New Roman"/>
        </w:rPr>
        <w:t xml:space="preserve">importe diario por comida y cena. </w:t>
      </w:r>
    </w:p>
    <w:p w14:paraId="73363C89" w14:textId="77777777" w:rsidR="00853BDD" w:rsidRDefault="00C210AC">
      <w:pPr>
        <w:spacing w:after="230" w:line="248" w:lineRule="auto"/>
        <w:ind w:left="739" w:right="279" w:hanging="10"/>
        <w:jc w:val="both"/>
      </w:pPr>
      <w:r>
        <w:rPr>
          <w:rFonts w:ascii="Times New Roman" w:eastAsia="Times New Roman" w:hAnsi="Times New Roman" w:cs="Times New Roman"/>
        </w:rPr>
        <w:t xml:space="preserve">Por último, las necesidades operativas del Organismo Autónomo Arabako Foru SuhiltzaileakBomberas y Bomberos Forales de Álava incluyen el eventual traslado de personal de guardia entre los diferentes parques para garantizar la mejor operatividad del servicio. Dicho cambio de centro de trabajo conlleva el traslado a una localidad diferente a la de destino, por lo que, previa negociación con la representación de </w:t>
      </w:r>
      <w:proofErr w:type="gramStart"/>
      <w:r>
        <w:rPr>
          <w:rFonts w:ascii="Times New Roman" w:eastAsia="Times New Roman" w:hAnsi="Times New Roman" w:cs="Times New Roman"/>
        </w:rPr>
        <w:t>personal,</w:t>
      </w:r>
      <w:proofErr w:type="gramEnd"/>
      <w:r>
        <w:rPr>
          <w:rFonts w:ascii="Times New Roman" w:eastAsia="Times New Roman" w:hAnsi="Times New Roman" w:cs="Times New Roman"/>
        </w:rPr>
        <w:t xml:space="preserve"> se entiende que de </w:t>
      </w:r>
      <w:r>
        <w:rPr>
          <w:rFonts w:ascii="Times New Roman" w:eastAsia="Times New Roman" w:hAnsi="Times New Roman" w:cs="Times New Roman"/>
        </w:rPr>
        <w:t xml:space="preserve">dicha modificación temporal del centro de trabajo puede derivarse un perjuicio económico, y, por lo tanto, ser objeto de compensación.  </w:t>
      </w:r>
    </w:p>
    <w:p w14:paraId="02BD4CA2" w14:textId="77777777" w:rsidR="00853BDD" w:rsidRDefault="00C210AC">
      <w:pPr>
        <w:spacing w:after="230" w:line="248" w:lineRule="auto"/>
        <w:ind w:left="739" w:right="279" w:hanging="10"/>
        <w:jc w:val="both"/>
      </w:pPr>
      <w:r>
        <w:rPr>
          <w:rFonts w:ascii="Times New Roman" w:eastAsia="Times New Roman" w:hAnsi="Times New Roman" w:cs="Times New Roman"/>
        </w:rPr>
        <w:t xml:space="preserve">Para facilitar el traslado del personal a su servicio entre los diferentes sedes o el desplazamiento a formaciones realizadas fuera de estas, el Organismo Autónomo Arabako Foru SuhiltzaileakBomberas y Bomberos Forales de Álava se ha dotado de una serie de vehículos ligeros (no operativos), que se encuentran a disposición del personal </w:t>
      </w:r>
      <w:r>
        <w:rPr>
          <w:rFonts w:ascii="Times New Roman" w:eastAsia="Times New Roman" w:hAnsi="Times New Roman" w:cs="Times New Roman"/>
        </w:rPr>
        <w:t xml:space="preserve">en cada uno de los parques del Territorio.  </w:t>
      </w:r>
    </w:p>
    <w:p w14:paraId="333195E1" w14:textId="77777777" w:rsidR="00853BDD" w:rsidRDefault="00C210AC">
      <w:pPr>
        <w:spacing w:after="0"/>
        <w:ind w:left="744"/>
      </w:pPr>
      <w:r>
        <w:rPr>
          <w:rFonts w:ascii="Times New Roman" w:eastAsia="Times New Roman" w:hAnsi="Times New Roman" w:cs="Times New Roman"/>
        </w:rPr>
        <w:t xml:space="preserve"> </w:t>
      </w:r>
    </w:p>
    <w:sectPr w:rsidR="00853BDD">
      <w:headerReference w:type="even" r:id="rId14"/>
      <w:headerReference w:type="first" r:id="rId15"/>
      <w:pgSz w:w="11906" w:h="16841"/>
      <w:pgMar w:top="851" w:right="1128" w:bottom="113" w:left="1241" w:header="129"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23395" w14:textId="77777777" w:rsidR="00C210AC" w:rsidRDefault="00C210AC">
      <w:pPr>
        <w:spacing w:after="0" w:line="240" w:lineRule="auto"/>
      </w:pPr>
      <w:r>
        <w:separator/>
      </w:r>
    </w:p>
  </w:endnote>
  <w:endnote w:type="continuationSeparator" w:id="0">
    <w:p w14:paraId="7134E88F" w14:textId="77777777" w:rsidR="00C210AC" w:rsidRDefault="00C210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2205D9" w14:textId="77777777" w:rsidR="00C210AC" w:rsidRDefault="00C210AC">
      <w:pPr>
        <w:spacing w:after="0" w:line="240" w:lineRule="auto"/>
      </w:pPr>
      <w:r>
        <w:separator/>
      </w:r>
    </w:p>
  </w:footnote>
  <w:footnote w:type="continuationSeparator" w:id="0">
    <w:p w14:paraId="3169BABC" w14:textId="77777777" w:rsidR="00C210AC" w:rsidRDefault="00C210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F920F" w14:textId="77777777" w:rsidR="00853BDD" w:rsidRDefault="00C210AC">
    <w:pPr>
      <w:spacing w:after="0"/>
      <w:ind w:right="-802"/>
      <w:jc w:val="right"/>
    </w:pPr>
    <w:proofErr w:type="spellStart"/>
    <w:r>
      <w:rPr>
        <w:rFonts w:ascii="Arial" w:eastAsia="Arial" w:hAnsi="Arial" w:cs="Arial"/>
        <w:sz w:val="10"/>
      </w:rPr>
      <w:t>Jakinaraz</w:t>
    </w:r>
    <w:proofErr w:type="spellEnd"/>
    <w:r>
      <w:rPr>
        <w:rFonts w:ascii="Arial" w:eastAsia="Arial" w:hAnsi="Arial" w:cs="Arial"/>
        <w:sz w:val="10"/>
      </w:rPr>
      <w:t xml:space="preserve">. </w:t>
    </w:r>
    <w:proofErr w:type="spellStart"/>
    <w:r>
      <w:rPr>
        <w:rFonts w:ascii="Arial" w:eastAsia="Arial" w:hAnsi="Arial" w:cs="Arial"/>
        <w:sz w:val="10"/>
      </w:rPr>
      <w:t>zkia</w:t>
    </w:r>
    <w:proofErr w:type="spellEnd"/>
    <w:r>
      <w:rPr>
        <w:rFonts w:ascii="Arial" w:eastAsia="Arial" w:hAnsi="Arial" w:cs="Arial"/>
        <w:sz w:val="10"/>
      </w:rPr>
      <w:t xml:space="preserve">. / </w:t>
    </w:r>
    <w:proofErr w:type="spellStart"/>
    <w:r>
      <w:rPr>
        <w:rFonts w:ascii="Arial" w:eastAsia="Arial" w:hAnsi="Arial" w:cs="Arial"/>
        <w:sz w:val="10"/>
      </w:rPr>
      <w:t>Num</w:t>
    </w:r>
    <w:proofErr w:type="spellEnd"/>
    <w:r>
      <w:rPr>
        <w:rFonts w:ascii="Arial" w:eastAsia="Arial" w:hAnsi="Arial" w:cs="Arial"/>
        <w:sz w:val="10"/>
      </w:rPr>
      <w:t>. Notif.: 20260315109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82971" w14:textId="77777777" w:rsidR="00853BDD" w:rsidRDefault="00C210AC">
    <w:pPr>
      <w:spacing w:after="0"/>
      <w:ind w:right="-802"/>
      <w:jc w:val="right"/>
    </w:pPr>
    <w:proofErr w:type="spellStart"/>
    <w:r>
      <w:rPr>
        <w:rFonts w:ascii="Arial" w:eastAsia="Arial" w:hAnsi="Arial" w:cs="Arial"/>
        <w:sz w:val="10"/>
      </w:rPr>
      <w:t>Jakinaraz</w:t>
    </w:r>
    <w:proofErr w:type="spellEnd"/>
    <w:r>
      <w:rPr>
        <w:rFonts w:ascii="Arial" w:eastAsia="Arial" w:hAnsi="Arial" w:cs="Arial"/>
        <w:sz w:val="10"/>
      </w:rPr>
      <w:t xml:space="preserve">. </w:t>
    </w:r>
    <w:proofErr w:type="spellStart"/>
    <w:r>
      <w:rPr>
        <w:rFonts w:ascii="Arial" w:eastAsia="Arial" w:hAnsi="Arial" w:cs="Arial"/>
        <w:sz w:val="10"/>
      </w:rPr>
      <w:t>zkia</w:t>
    </w:r>
    <w:proofErr w:type="spellEnd"/>
    <w:r>
      <w:rPr>
        <w:rFonts w:ascii="Arial" w:eastAsia="Arial" w:hAnsi="Arial" w:cs="Arial"/>
        <w:sz w:val="10"/>
      </w:rPr>
      <w:t xml:space="preserve">. / </w:t>
    </w:r>
    <w:proofErr w:type="spellStart"/>
    <w:r>
      <w:rPr>
        <w:rFonts w:ascii="Arial" w:eastAsia="Arial" w:hAnsi="Arial" w:cs="Arial"/>
        <w:sz w:val="10"/>
      </w:rPr>
      <w:t>Num</w:t>
    </w:r>
    <w:proofErr w:type="spellEnd"/>
    <w:r>
      <w:rPr>
        <w:rFonts w:ascii="Arial" w:eastAsia="Arial" w:hAnsi="Arial" w:cs="Arial"/>
        <w:sz w:val="10"/>
      </w:rPr>
      <w:t>. Notif.: 20260315109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6B79AF"/>
    <w:multiLevelType w:val="hybridMultilevel"/>
    <w:tmpl w:val="0F58211A"/>
    <w:lvl w:ilvl="0" w:tplc="4B0425A0">
      <w:start w:val="1"/>
      <w:numFmt w:val="lowerLetter"/>
      <w:lvlText w:val="%1)"/>
      <w:lvlJc w:val="left"/>
      <w:pPr>
        <w:ind w:left="14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7666D38">
      <w:start w:val="1"/>
      <w:numFmt w:val="lowerLetter"/>
      <w:lvlText w:val="%2"/>
      <w:lvlJc w:val="left"/>
      <w:pPr>
        <w:ind w:left="21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BB25188">
      <w:start w:val="1"/>
      <w:numFmt w:val="lowerRoman"/>
      <w:lvlText w:val="%3"/>
      <w:lvlJc w:val="left"/>
      <w:pPr>
        <w:ind w:left="29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E7A426C">
      <w:start w:val="1"/>
      <w:numFmt w:val="decimal"/>
      <w:lvlText w:val="%4"/>
      <w:lvlJc w:val="left"/>
      <w:pPr>
        <w:ind w:left="36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5A208C8">
      <w:start w:val="1"/>
      <w:numFmt w:val="lowerLetter"/>
      <w:lvlText w:val="%5"/>
      <w:lvlJc w:val="left"/>
      <w:pPr>
        <w:ind w:left="434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9F221A4">
      <w:start w:val="1"/>
      <w:numFmt w:val="lowerRoman"/>
      <w:lvlText w:val="%6"/>
      <w:lvlJc w:val="left"/>
      <w:pPr>
        <w:ind w:left="506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272EC50">
      <w:start w:val="1"/>
      <w:numFmt w:val="decimal"/>
      <w:lvlText w:val="%7"/>
      <w:lvlJc w:val="left"/>
      <w:pPr>
        <w:ind w:left="57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D987E18">
      <w:start w:val="1"/>
      <w:numFmt w:val="lowerLetter"/>
      <w:lvlText w:val="%8"/>
      <w:lvlJc w:val="left"/>
      <w:pPr>
        <w:ind w:left="65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E121FE2">
      <w:start w:val="1"/>
      <w:numFmt w:val="lowerRoman"/>
      <w:lvlText w:val="%9"/>
      <w:lvlJc w:val="left"/>
      <w:pPr>
        <w:ind w:left="72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16cid:durableId="12762501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3BDD"/>
    <w:rsid w:val="00447CBA"/>
    <w:rsid w:val="00585AE8"/>
    <w:rsid w:val="00853BDD"/>
    <w:rsid w:val="00C210A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CC7EF"/>
  <w15:docId w15:val="{FF52E967-6051-43E9-9460-8C4D0A398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Ttulo1">
    <w:name w:val="heading 1"/>
    <w:next w:val="Normal"/>
    <w:link w:val="Ttulo1Car"/>
    <w:uiPriority w:val="9"/>
    <w:qFormat/>
    <w:pPr>
      <w:keepNext/>
      <w:keepLines/>
      <w:spacing w:after="235" w:line="239" w:lineRule="auto"/>
      <w:ind w:left="461" w:right="2"/>
      <w:jc w:val="center"/>
      <w:outlineLvl w:val="0"/>
    </w:pPr>
    <w:rPr>
      <w:rFonts w:ascii="Times New Roman" w:eastAsia="Times New Roman" w:hAnsi="Times New Roman" w:cs="Times New Roman"/>
      <w:b/>
      <w:color w:val="000000"/>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Times New Roman" w:eastAsia="Times New Roman" w:hAnsi="Times New Roman" w:cs="Times New Roman"/>
      <w:b/>
      <w:color w:val="000000"/>
      <w:sz w:val="22"/>
    </w:rPr>
  </w:style>
  <w:style w:type="paragraph" w:styleId="Piedepgina">
    <w:name w:val="footer"/>
    <w:basedOn w:val="Normal"/>
    <w:link w:val="PiedepginaCar"/>
    <w:uiPriority w:val="99"/>
    <w:unhideWhenUsed/>
    <w:rsid w:val="00447CB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47CBA"/>
    <w:rPr>
      <w:rFonts w:ascii="Calibri" w:eastAsia="Calibri" w:hAnsi="Calibri" w:cs="Calibri"/>
      <w:color w:val="000000"/>
      <w:sz w:val="22"/>
    </w:rPr>
  </w:style>
  <w:style w:type="paragraph" w:styleId="Encabezado">
    <w:name w:val="header"/>
    <w:basedOn w:val="Normal"/>
    <w:link w:val="EncabezadoCar"/>
    <w:uiPriority w:val="99"/>
    <w:semiHidden/>
    <w:unhideWhenUsed/>
    <w:rsid w:val="00447CB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447CBA"/>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jp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1368</Words>
  <Characters>7529</Characters>
  <Application>Microsoft Office Word</Application>
  <DocSecurity>0</DocSecurity>
  <Lines>62</Lines>
  <Paragraphs>17</Paragraphs>
  <ScaleCrop>false</ScaleCrop>
  <Company/>
  <LinksUpToDate>false</LinksUpToDate>
  <CharactersWithSpaces>8880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de Orden Foral</dc:title>
  <dc:subject/>
  <dc:creator>Urien Salterain, Karoline</dc:creator>
  <cp:keywords/>
  <cp:lastModifiedBy>Urien Salterain, Karoline</cp:lastModifiedBy>
  <cp:revision>2</cp:revision>
  <dcterms:created xsi:type="dcterms:W3CDTF">2026-09-17T13:04:00Z</dcterms:created>
  <dcterms:modified xsi:type="dcterms:W3CDTF">2026-09-17T13:04:00Z</dcterms:modified>
</cp:coreProperties>
</file>