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4D4FB" w14:textId="77777777" w:rsidR="00D123B4" w:rsidRPr="00426B3C" w:rsidRDefault="00D123B4"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4E2D344A" w14:textId="77777777" w:rsidR="00D123B4" w:rsidRPr="00426B3C" w:rsidRDefault="00D123B4"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373BCDE7" w14:textId="77777777" w:rsidR="00D123B4" w:rsidRDefault="00D123B4">
      <w:pPr>
        <w:rPr>
          <w:u w:val="single"/>
        </w:rPr>
      </w:pPr>
    </w:p>
    <w:tbl>
      <w:tblPr>
        <w:tblW w:w="9072" w:type="dxa"/>
        <w:tblLayout w:type="fixed"/>
        <w:tblCellMar>
          <w:left w:w="0" w:type="dxa"/>
          <w:right w:w="0" w:type="dxa"/>
        </w:tblCellMar>
        <w:tblLook w:val="0000" w:firstRow="0" w:lastRow="0" w:firstColumn="0" w:lastColumn="0" w:noHBand="0" w:noVBand="0"/>
      </w:tblPr>
      <w:tblGrid>
        <w:gridCol w:w="568"/>
        <w:gridCol w:w="4394"/>
        <w:gridCol w:w="3969"/>
        <w:gridCol w:w="141"/>
      </w:tblGrid>
      <w:tr w:rsidR="00A150DD" w14:paraId="3B36DA3B" w14:textId="77777777" w:rsidTr="0011721E">
        <w:tc>
          <w:tcPr>
            <w:tcW w:w="568" w:type="dxa"/>
          </w:tcPr>
          <w:p w14:paraId="7FDA8313" w14:textId="77777777" w:rsidR="00D123B4" w:rsidRPr="00A24E42" w:rsidRDefault="00D123B4" w:rsidP="00003467">
            <w:pPr>
              <w:pStyle w:val="Normal0"/>
              <w:spacing w:before="240" w:after="480"/>
              <w:rPr>
                <w:sz w:val="24"/>
                <w:lang w:eastAsia="es-ES"/>
              </w:rPr>
            </w:pPr>
            <w:bookmarkStart w:id="0" w:name="RESOLUCION"/>
          </w:p>
        </w:tc>
        <w:tc>
          <w:tcPr>
            <w:tcW w:w="8504" w:type="dxa"/>
            <w:gridSpan w:val="3"/>
          </w:tcPr>
          <w:p w14:paraId="7CE368C2" w14:textId="77777777" w:rsidR="00D123B4" w:rsidRPr="00A24E42" w:rsidRDefault="00CA7974" w:rsidP="00003467">
            <w:pPr>
              <w:pStyle w:val="Normal0"/>
              <w:spacing w:before="240" w:after="480"/>
              <w:rPr>
                <w:sz w:val="24"/>
                <w:lang w:eastAsia="es-ES"/>
              </w:rPr>
            </w:pPr>
            <w:r w:rsidRPr="00630375">
              <w:rPr>
                <w:b/>
                <w:noProof/>
                <w:sz w:val="24"/>
                <w:lang w:eastAsia="es-ES"/>
              </w:rPr>
              <w:t>RESOLUCIÓN</w:t>
            </w:r>
          </w:p>
        </w:tc>
      </w:tr>
      <w:tr w:rsidR="00A150DD" w14:paraId="18FDF9AD" w14:textId="77777777" w:rsidTr="0011721E">
        <w:tc>
          <w:tcPr>
            <w:tcW w:w="568" w:type="dxa"/>
          </w:tcPr>
          <w:p w14:paraId="425ED7BC" w14:textId="77777777" w:rsidR="00D123B4" w:rsidRPr="00A24E42" w:rsidRDefault="00D123B4" w:rsidP="00003467">
            <w:pPr>
              <w:pStyle w:val="Normal0"/>
              <w:spacing w:after="360"/>
              <w:rPr>
                <w:sz w:val="22"/>
                <w:lang w:eastAsia="es-ES"/>
              </w:rPr>
            </w:pPr>
          </w:p>
        </w:tc>
        <w:tc>
          <w:tcPr>
            <w:tcW w:w="8504" w:type="dxa"/>
            <w:gridSpan w:val="3"/>
          </w:tcPr>
          <w:p w14:paraId="4B871A04" w14:textId="77777777" w:rsidR="00D123B4" w:rsidRPr="00A24E42" w:rsidRDefault="00CA7974" w:rsidP="00003467">
            <w:pPr>
              <w:pStyle w:val="Normal0"/>
              <w:spacing w:after="360"/>
              <w:rPr>
                <w:sz w:val="22"/>
                <w:lang w:eastAsia="es-ES"/>
              </w:rPr>
            </w:pPr>
            <w:r w:rsidRPr="00A24E42">
              <w:rPr>
                <w:noProof/>
                <w:sz w:val="22"/>
                <w:lang w:eastAsia="es-ES"/>
              </w:rPr>
              <w:t>Servicio de Secretaría Técnica de Función Pública</w:t>
            </w:r>
            <w:r w:rsidRPr="00A24E42">
              <w:rPr>
                <w:noProof/>
                <w:sz w:val="22"/>
                <w:lang w:eastAsia="es-ES"/>
              </w:rPr>
              <w:br/>
              <w:t>Nº expte.:</w:t>
            </w:r>
            <w:r w:rsidRPr="00A24E42">
              <w:rPr>
                <w:sz w:val="22"/>
                <w:lang w:eastAsia="es-ES"/>
              </w:rPr>
              <w:t xml:space="preserve"> </w:t>
            </w:r>
            <w:r>
              <w:rPr>
                <w:sz w:val="22"/>
                <w:lang w:eastAsia="es-ES"/>
              </w:rPr>
              <w:t>230/2026</w:t>
            </w:r>
          </w:p>
        </w:tc>
      </w:tr>
      <w:tr w:rsidR="00A150DD" w14:paraId="302B8538" w14:textId="77777777" w:rsidTr="005A637B">
        <w:trPr>
          <w:trHeight w:val="1948"/>
        </w:trPr>
        <w:tc>
          <w:tcPr>
            <w:tcW w:w="568" w:type="dxa"/>
          </w:tcPr>
          <w:p w14:paraId="62601CBD" w14:textId="77777777" w:rsidR="00D123B4" w:rsidRPr="00A24E42" w:rsidRDefault="00D123B4" w:rsidP="00003467">
            <w:pPr>
              <w:pStyle w:val="Normal0"/>
              <w:spacing w:after="360"/>
              <w:ind w:left="57" w:right="57"/>
              <w:rPr>
                <w:rFonts w:ascii="Arial" w:hAnsi="Arial"/>
                <w:b/>
                <w:sz w:val="22"/>
                <w:lang w:eastAsia="es-ES"/>
              </w:rPr>
            </w:pPr>
          </w:p>
        </w:tc>
        <w:tc>
          <w:tcPr>
            <w:tcW w:w="8504" w:type="dxa"/>
            <w:gridSpan w:val="3"/>
          </w:tcPr>
          <w:p w14:paraId="6357D314" w14:textId="38634DB2" w:rsidR="00D123B4" w:rsidRDefault="00CA7974" w:rsidP="00EE4578">
            <w:pPr>
              <w:pStyle w:val="BodyTextIndent0"/>
              <w:spacing w:before="120"/>
              <w:ind w:firstLine="0"/>
              <w:jc w:val="both"/>
              <w:rPr>
                <w:rFonts w:ascii="Times New Roman" w:hAnsi="Times New Roman"/>
                <w:b/>
                <w:noProof/>
                <w:snapToGrid w:val="0"/>
                <w:sz w:val="22"/>
                <w:lang w:val="eu-ES"/>
              </w:rPr>
            </w:pPr>
            <w:r w:rsidRPr="001420E8">
              <w:rPr>
                <w:rFonts w:ascii="Times New Roman" w:hAnsi="Times New Roman"/>
                <w:b/>
                <w:noProof/>
                <w:snapToGrid w:val="0"/>
                <w:sz w:val="22"/>
                <w:lang w:val="eu-ES"/>
              </w:rPr>
              <w:t xml:space="preserve">Inadmitir la solicitud de acceso a </w:t>
            </w:r>
            <w:r>
              <w:rPr>
                <w:rFonts w:ascii="Times New Roman" w:hAnsi="Times New Roman"/>
                <w:b/>
                <w:noProof/>
                <w:snapToGrid w:val="0"/>
                <w:sz w:val="22"/>
                <w:lang w:val="eu-ES"/>
              </w:rPr>
              <w:t xml:space="preserve">información </w:t>
            </w:r>
            <w:r w:rsidRPr="00130E53">
              <w:rPr>
                <w:rFonts w:ascii="Times New Roman" w:hAnsi="Times New Roman"/>
                <w:b/>
                <w:noProof/>
                <w:snapToGrid w:val="0"/>
                <w:sz w:val="22"/>
                <w:lang w:val="eu-ES"/>
              </w:rPr>
              <w:t xml:space="preserve">de </w:t>
            </w:r>
            <w:r w:rsidR="00F56C9B" w:rsidRPr="00F56C9B">
              <w:rPr>
                <w:rFonts w:ascii="Times New Roman" w:hAnsi="Times New Roman"/>
                <w:b/>
                <w:noProof/>
                <w:snapToGrid w:val="0"/>
                <w:sz w:val="22"/>
                <w:highlight w:val="black"/>
                <w:lang w:val="eu-ES"/>
              </w:rPr>
              <w:t>XXXXX</w:t>
            </w:r>
            <w:r w:rsidRPr="00894259">
              <w:rPr>
                <w:rFonts w:ascii="Times New Roman" w:hAnsi="Times New Roman"/>
                <w:b/>
                <w:noProof/>
                <w:snapToGrid w:val="0"/>
                <w:sz w:val="22"/>
                <w:lang w:val="eu-ES"/>
              </w:rPr>
              <w:t xml:space="preserve"> </w:t>
            </w:r>
            <w:r>
              <w:rPr>
                <w:rFonts w:ascii="Times New Roman" w:hAnsi="Times New Roman"/>
                <w:b/>
                <w:noProof/>
                <w:snapToGrid w:val="0"/>
                <w:sz w:val="22"/>
                <w:lang w:val="eu-ES"/>
              </w:rPr>
              <w:t xml:space="preserve">referida al </w:t>
            </w:r>
            <w:r w:rsidRPr="0063040C">
              <w:rPr>
                <w:rFonts w:ascii="Times New Roman" w:hAnsi="Times New Roman"/>
                <w:b/>
                <w:noProof/>
                <w:snapToGrid w:val="0"/>
                <w:sz w:val="22"/>
                <w:lang w:val="eu-ES"/>
              </w:rPr>
              <w:t>proceso selectivo de Ingeniero/a Técnico/a de Obras Públicas (2421)</w:t>
            </w:r>
          </w:p>
          <w:p w14:paraId="0E14D9DD" w14:textId="77777777" w:rsidR="005A637B" w:rsidRDefault="005A637B" w:rsidP="00EE4578">
            <w:pPr>
              <w:pStyle w:val="BodyTextIndent0"/>
              <w:spacing w:before="120"/>
              <w:ind w:firstLine="0"/>
              <w:jc w:val="both"/>
              <w:rPr>
                <w:rFonts w:ascii="Times New Roman" w:hAnsi="Times New Roman"/>
                <w:b/>
                <w:noProof/>
                <w:snapToGrid w:val="0"/>
                <w:sz w:val="22"/>
                <w:lang w:val="eu-ES"/>
              </w:rPr>
            </w:pPr>
          </w:p>
          <w:p w14:paraId="1EC52BA8" w14:textId="5079D0A4" w:rsidR="005A637B" w:rsidRDefault="005A637B" w:rsidP="005A637B">
            <w:pPr>
              <w:pStyle w:val="Prrafodelista"/>
              <w:numPr>
                <w:ilvl w:val="0"/>
                <w:numId w:val="5"/>
              </w:numPr>
              <w:spacing w:before="120" w:after="120" w:line="276" w:lineRule="auto"/>
              <w:ind w:left="0"/>
              <w:jc w:val="both"/>
              <w:rPr>
                <w:rFonts w:eastAsiaTheme="minorHAnsi" w:cstheme="minorBidi"/>
                <w:sz w:val="22"/>
                <w:szCs w:val="22"/>
              </w:rPr>
            </w:pPr>
            <w:r w:rsidRPr="00894259">
              <w:rPr>
                <w:rFonts w:eastAsiaTheme="minorHAnsi" w:cstheme="minorBidi"/>
                <w:sz w:val="22"/>
                <w:szCs w:val="22"/>
              </w:rPr>
              <w:t xml:space="preserve">En fecha </w:t>
            </w:r>
            <w:r>
              <w:rPr>
                <w:rFonts w:eastAsiaTheme="minorHAnsi" w:cstheme="minorBidi"/>
                <w:sz w:val="22"/>
                <w:szCs w:val="22"/>
              </w:rPr>
              <w:t>24</w:t>
            </w:r>
            <w:r w:rsidRPr="00894259">
              <w:rPr>
                <w:rFonts w:eastAsiaTheme="minorHAnsi" w:cstheme="minorBidi"/>
                <w:sz w:val="22"/>
                <w:szCs w:val="22"/>
              </w:rPr>
              <w:t xml:space="preserve"> de </w:t>
            </w:r>
            <w:r>
              <w:rPr>
                <w:rFonts w:eastAsiaTheme="minorHAnsi" w:cstheme="minorBidi"/>
                <w:sz w:val="22"/>
                <w:szCs w:val="22"/>
              </w:rPr>
              <w:t>abril</w:t>
            </w:r>
            <w:r w:rsidRPr="00894259">
              <w:rPr>
                <w:rFonts w:eastAsiaTheme="minorHAnsi" w:cstheme="minorBidi"/>
                <w:sz w:val="22"/>
                <w:szCs w:val="22"/>
              </w:rPr>
              <w:t xml:space="preserve"> de 2026 se solicita por parte de </w:t>
            </w:r>
            <w:r w:rsidR="00F56C9B" w:rsidRPr="00F56C9B">
              <w:rPr>
                <w:rFonts w:eastAsiaTheme="minorHAnsi" w:cstheme="minorBidi"/>
                <w:sz w:val="22"/>
                <w:szCs w:val="22"/>
                <w:highlight w:val="black"/>
              </w:rPr>
              <w:t>XXXXX</w:t>
            </w:r>
            <w:r w:rsidRPr="00894259">
              <w:rPr>
                <w:rFonts w:eastAsiaTheme="minorHAnsi" w:cstheme="minorBidi"/>
                <w:sz w:val="22"/>
                <w:szCs w:val="22"/>
              </w:rPr>
              <w:t xml:space="preserve"> «</w:t>
            </w:r>
            <w:r w:rsidRPr="008E34CC">
              <w:rPr>
                <w:rFonts w:eastAsiaTheme="minorHAnsi" w:cstheme="minorBidi"/>
                <w:sz w:val="22"/>
                <w:szCs w:val="22"/>
              </w:rPr>
              <w:t xml:space="preserve">Al presidente del Tribunal Calificador del proceso selectivo de Ingeniero/a Técnico/a de Obras Públicas (2421), </w:t>
            </w:r>
            <w:r w:rsidR="00F56C9B" w:rsidRPr="00F56C9B">
              <w:rPr>
                <w:rFonts w:eastAsiaTheme="minorHAnsi" w:cstheme="minorBidi"/>
                <w:sz w:val="22"/>
                <w:szCs w:val="22"/>
                <w:highlight w:val="black"/>
              </w:rPr>
              <w:t>XXXXX</w:t>
            </w:r>
            <w:r w:rsidRPr="008E34CC">
              <w:rPr>
                <w:rFonts w:eastAsiaTheme="minorHAnsi" w:cstheme="minorBidi"/>
                <w:sz w:val="22"/>
                <w:szCs w:val="22"/>
              </w:rPr>
              <w:t xml:space="preserve"> o a quien proceda, que ante el supuesto de concurrencia de excedencias voluntarias, informe sobre el criterio</w:t>
            </w:r>
            <w:r>
              <w:rPr>
                <w:rFonts w:eastAsiaTheme="minorHAnsi" w:cstheme="minorBidi"/>
                <w:sz w:val="22"/>
                <w:szCs w:val="22"/>
              </w:rPr>
              <w:t xml:space="preserve"> </w:t>
            </w:r>
            <w:r w:rsidRPr="008E34CC">
              <w:rPr>
                <w:rFonts w:eastAsiaTheme="minorHAnsi" w:cstheme="minorBidi"/>
                <w:sz w:val="22"/>
                <w:szCs w:val="22"/>
              </w:rPr>
              <w:t>que seguirá este Tribunal y si procederá a la aplicación de la Base 9.1.2 para efectuar los nombramientos adicionales necesarios</w:t>
            </w:r>
            <w:r>
              <w:rPr>
                <w:rFonts w:eastAsiaTheme="minorHAnsi" w:cstheme="minorBidi"/>
                <w:sz w:val="22"/>
                <w:szCs w:val="22"/>
              </w:rPr>
              <w:t xml:space="preserve"> </w:t>
            </w:r>
            <w:r w:rsidRPr="008E34CC">
              <w:rPr>
                <w:rFonts w:eastAsiaTheme="minorHAnsi" w:cstheme="minorBidi"/>
                <w:sz w:val="22"/>
                <w:szCs w:val="22"/>
              </w:rPr>
              <w:t>para la cobertura total de las plazas, cumpliendo así la provisión de plazas tal y como se estipula en la base 11.4.c.</w:t>
            </w:r>
            <w:r w:rsidRPr="00894259">
              <w:rPr>
                <w:rFonts w:eastAsiaTheme="minorHAnsi" w:cstheme="minorBidi"/>
                <w:sz w:val="22"/>
                <w:szCs w:val="22"/>
              </w:rPr>
              <w:t>».</w:t>
            </w:r>
          </w:p>
          <w:p w14:paraId="0D289743" w14:textId="77777777" w:rsidR="005A637B" w:rsidRDefault="005A637B" w:rsidP="005A637B">
            <w:pPr>
              <w:pStyle w:val="Prrafodelista"/>
              <w:numPr>
                <w:ilvl w:val="0"/>
                <w:numId w:val="5"/>
              </w:numPr>
              <w:spacing w:before="120" w:after="120" w:line="276" w:lineRule="auto"/>
              <w:ind w:left="0"/>
              <w:jc w:val="both"/>
              <w:rPr>
                <w:rFonts w:eastAsiaTheme="minorHAnsi" w:cstheme="minorBidi"/>
                <w:sz w:val="22"/>
                <w:szCs w:val="22"/>
              </w:rPr>
            </w:pPr>
          </w:p>
          <w:p w14:paraId="693FA6E6" w14:textId="77777777" w:rsidR="005A637B" w:rsidRDefault="005A637B" w:rsidP="005A637B">
            <w:pPr>
              <w:pStyle w:val="Prrafodelista"/>
              <w:numPr>
                <w:ilvl w:val="0"/>
                <w:numId w:val="5"/>
              </w:numPr>
              <w:spacing w:before="120" w:after="120" w:line="276" w:lineRule="auto"/>
              <w:ind w:left="0"/>
              <w:jc w:val="both"/>
              <w:rPr>
                <w:rFonts w:eastAsiaTheme="minorHAnsi" w:cstheme="minorBidi"/>
                <w:sz w:val="22"/>
                <w:szCs w:val="22"/>
              </w:rPr>
            </w:pPr>
            <w:r w:rsidRPr="00546F0D">
              <w:rPr>
                <w:rFonts w:eastAsiaTheme="minorHAnsi" w:cstheme="minorBidi"/>
                <w:sz w:val="22"/>
                <w:szCs w:val="22"/>
              </w:rPr>
              <w:t>El solicitante identifica en su solicitud de información</w:t>
            </w:r>
            <w:r>
              <w:rPr>
                <w:rFonts w:eastAsiaTheme="minorHAnsi" w:cstheme="minorBidi"/>
                <w:sz w:val="22"/>
                <w:szCs w:val="22"/>
              </w:rPr>
              <w:t xml:space="preserve"> d</w:t>
            </w:r>
            <w:r w:rsidRPr="00546F0D">
              <w:rPr>
                <w:rFonts w:eastAsiaTheme="minorHAnsi" w:cstheme="minorBidi"/>
                <w:sz w:val="22"/>
                <w:szCs w:val="22"/>
              </w:rPr>
              <w:t>el proceso selectivo para el ingreso como funcionario/a de carrera en la escala de administración especial, subescala técnica, clase técnico/a medio/a, ingeniero/a técnico/a de obras públicas, subgrupo de clasificación A2, de la Diputación Foral de Álava</w:t>
            </w:r>
            <w:r>
              <w:rPr>
                <w:rFonts w:eastAsiaTheme="minorHAnsi" w:cstheme="minorBidi"/>
                <w:sz w:val="22"/>
                <w:szCs w:val="22"/>
              </w:rPr>
              <w:t>.</w:t>
            </w:r>
          </w:p>
          <w:p w14:paraId="49F2C349" w14:textId="77777777" w:rsidR="005A637B" w:rsidRDefault="005A637B" w:rsidP="005A637B">
            <w:pPr>
              <w:pStyle w:val="Prrafodelista"/>
              <w:numPr>
                <w:ilvl w:val="0"/>
                <w:numId w:val="5"/>
              </w:numPr>
              <w:spacing w:before="120" w:after="120" w:line="276" w:lineRule="auto"/>
              <w:ind w:left="0"/>
              <w:jc w:val="both"/>
              <w:rPr>
                <w:rFonts w:eastAsiaTheme="minorHAnsi" w:cstheme="minorBidi"/>
                <w:sz w:val="22"/>
                <w:szCs w:val="22"/>
              </w:rPr>
            </w:pPr>
          </w:p>
          <w:p w14:paraId="013A996C" w14:textId="77777777" w:rsidR="005A637B" w:rsidRDefault="005A637B" w:rsidP="005A637B">
            <w:pPr>
              <w:pStyle w:val="Prrafodelista"/>
              <w:numPr>
                <w:ilvl w:val="0"/>
                <w:numId w:val="5"/>
              </w:numPr>
              <w:spacing w:before="120" w:after="120" w:line="276" w:lineRule="auto"/>
              <w:ind w:left="0"/>
              <w:jc w:val="both"/>
              <w:rPr>
                <w:rFonts w:eastAsiaTheme="minorHAnsi" w:cstheme="minorBidi"/>
                <w:sz w:val="22"/>
                <w:szCs w:val="22"/>
              </w:rPr>
            </w:pPr>
            <w:r w:rsidRPr="00AE5F8C">
              <w:rPr>
                <w:rFonts w:eastAsiaTheme="minorHAnsi" w:cstheme="minorBidi"/>
                <w:sz w:val="22"/>
                <w:szCs w:val="22"/>
              </w:rPr>
              <w:t>El solicitante no pide acceso a documentos concretos, sino información interpretativa sobre el criterio del tribunal en caso de excedencias.</w:t>
            </w:r>
          </w:p>
          <w:p w14:paraId="1C7A51B4" w14:textId="77777777" w:rsidR="005A637B" w:rsidRPr="00F56C9B" w:rsidRDefault="005A637B" w:rsidP="00F56C9B">
            <w:pPr>
              <w:pStyle w:val="Prrafodelista"/>
              <w:numPr>
                <w:ilvl w:val="0"/>
                <w:numId w:val="5"/>
              </w:numPr>
              <w:spacing w:before="120" w:after="120" w:line="276" w:lineRule="auto"/>
              <w:ind w:left="0"/>
              <w:jc w:val="both"/>
              <w:rPr>
                <w:rFonts w:eastAsiaTheme="minorHAnsi" w:cstheme="minorBidi"/>
                <w:sz w:val="22"/>
                <w:szCs w:val="22"/>
              </w:rPr>
            </w:pPr>
          </w:p>
          <w:p w14:paraId="1C3B7606" w14:textId="0A4F8071" w:rsidR="005A637B" w:rsidRPr="00EE4578" w:rsidRDefault="005A637B" w:rsidP="005A637B">
            <w:pPr>
              <w:pStyle w:val="Prrafodelista"/>
              <w:numPr>
                <w:ilvl w:val="0"/>
                <w:numId w:val="5"/>
              </w:numPr>
              <w:spacing w:before="120" w:after="120" w:line="276" w:lineRule="auto"/>
              <w:ind w:left="0"/>
              <w:jc w:val="both"/>
              <w:rPr>
                <w:b/>
                <w:snapToGrid w:val="0"/>
              </w:rPr>
            </w:pPr>
            <w:r w:rsidRPr="003A166B">
              <w:rPr>
                <w:rFonts w:eastAsiaTheme="minorHAnsi" w:cstheme="minorBidi"/>
                <w:sz w:val="22"/>
                <w:szCs w:val="22"/>
              </w:rPr>
              <w:t>El proceso selectivo se encuentra actualmente en tramitación y no ha finalizado, al hallarse todavía dentro de las actuaciones propias de selección del personal y antes de la completa culminación de las fases previstas en las bases generales y específicas de la convocatoria, que comprenden, en su caso, acreditación de los requisitos generales de participación -base general 12-, el nombramiento y la posterior toma de posesión de las personas seleccionadas-base general 13-.</w:t>
            </w:r>
          </w:p>
        </w:tc>
      </w:tr>
      <w:tr w:rsidR="00A150DD" w14:paraId="4BC82CE5" w14:textId="77777777" w:rsidTr="009D601F">
        <w:trPr>
          <w:trHeight w:val="5810"/>
        </w:trPr>
        <w:tc>
          <w:tcPr>
            <w:tcW w:w="568" w:type="dxa"/>
          </w:tcPr>
          <w:p w14:paraId="10A2824C" w14:textId="77777777" w:rsidR="00D123B4" w:rsidRPr="00A24E42" w:rsidRDefault="00D123B4" w:rsidP="00003467">
            <w:pPr>
              <w:pStyle w:val="Normal0"/>
              <w:spacing w:after="240"/>
              <w:ind w:left="57" w:right="57"/>
              <w:jc w:val="both"/>
              <w:rPr>
                <w:rFonts w:ascii="Arial" w:hAnsi="Arial"/>
                <w:lang w:val="eu-ES" w:eastAsia="es-ES"/>
              </w:rPr>
            </w:pPr>
          </w:p>
        </w:tc>
        <w:tc>
          <w:tcPr>
            <w:tcW w:w="8504" w:type="dxa"/>
            <w:gridSpan w:val="3"/>
          </w:tcPr>
          <w:p w14:paraId="270313C2" w14:textId="77777777" w:rsidR="00D123B4" w:rsidRPr="008E34CC" w:rsidRDefault="00D123B4" w:rsidP="008E34CC">
            <w:pPr>
              <w:pStyle w:val="Prrafodelista"/>
              <w:numPr>
                <w:ilvl w:val="0"/>
                <w:numId w:val="5"/>
              </w:numPr>
              <w:spacing w:before="120" w:after="120" w:line="276" w:lineRule="auto"/>
              <w:ind w:left="0"/>
              <w:jc w:val="both"/>
              <w:rPr>
                <w:rFonts w:eastAsiaTheme="minorHAnsi" w:cstheme="minorBidi"/>
                <w:sz w:val="22"/>
                <w:szCs w:val="22"/>
              </w:rPr>
            </w:pPr>
          </w:p>
          <w:p w14:paraId="3C19C4DB" w14:textId="77777777" w:rsidR="00D123B4" w:rsidRPr="008E34CC" w:rsidRDefault="00CA7974" w:rsidP="008E34CC">
            <w:pPr>
              <w:pStyle w:val="Prrafodelista"/>
              <w:numPr>
                <w:ilvl w:val="0"/>
                <w:numId w:val="5"/>
              </w:numPr>
              <w:spacing w:before="120" w:after="120" w:line="276" w:lineRule="auto"/>
              <w:ind w:left="0"/>
              <w:jc w:val="both"/>
              <w:rPr>
                <w:rFonts w:eastAsiaTheme="minorHAnsi" w:cstheme="minorBidi"/>
                <w:sz w:val="22"/>
                <w:szCs w:val="22"/>
              </w:rPr>
            </w:pPr>
            <w:r w:rsidRPr="0036542A">
              <w:rPr>
                <w:rFonts w:eastAsiaTheme="minorHAnsi" w:cstheme="minorBidi"/>
                <w:sz w:val="22"/>
                <w:szCs w:val="22"/>
              </w:rPr>
              <w:t>La solicitud se formula como acceso a información pública al amparo del artículo 30 de la Norma Foral 1/2017, de 8 de febrero, de transparencia, participación ciudadana y buen gobierno del sector público del Territorio Histórico de Álava</w:t>
            </w:r>
            <w:r>
              <w:rPr>
                <w:rFonts w:eastAsiaTheme="minorHAnsi" w:cstheme="minorBidi"/>
                <w:sz w:val="22"/>
                <w:szCs w:val="22"/>
              </w:rPr>
              <w:t xml:space="preserve"> -en adelante, «NF 1/2017»-</w:t>
            </w:r>
            <w:r w:rsidRPr="0036542A">
              <w:rPr>
                <w:rFonts w:eastAsiaTheme="minorHAnsi" w:cstheme="minorBidi"/>
                <w:sz w:val="22"/>
                <w:szCs w:val="22"/>
              </w:rPr>
              <w:t xml:space="preserve">, y del artículo 12 de la Ley 19/2013, de 9 de diciembre, de transparencia, acceso a la información pública y buen gobierno -en adelante, «LTAIBG»-. </w:t>
            </w:r>
          </w:p>
          <w:p w14:paraId="43A1D50F" w14:textId="77777777" w:rsidR="00D123B4" w:rsidRPr="008E34CC" w:rsidRDefault="00D123B4" w:rsidP="008E34CC">
            <w:pPr>
              <w:pStyle w:val="Prrafodelista"/>
              <w:numPr>
                <w:ilvl w:val="0"/>
                <w:numId w:val="5"/>
              </w:numPr>
              <w:spacing w:before="120" w:after="120" w:line="276" w:lineRule="auto"/>
              <w:ind w:left="0"/>
              <w:jc w:val="both"/>
              <w:rPr>
                <w:rFonts w:eastAsiaTheme="minorHAnsi" w:cstheme="minorBidi"/>
                <w:sz w:val="22"/>
                <w:szCs w:val="22"/>
              </w:rPr>
            </w:pPr>
          </w:p>
          <w:p w14:paraId="32776F93" w14:textId="77777777" w:rsidR="00D123B4" w:rsidRPr="00097A74" w:rsidRDefault="00CA7974" w:rsidP="008E34CC">
            <w:pPr>
              <w:pStyle w:val="Prrafodelista"/>
              <w:numPr>
                <w:ilvl w:val="0"/>
                <w:numId w:val="5"/>
              </w:numPr>
              <w:spacing w:before="120" w:after="120" w:line="276" w:lineRule="auto"/>
              <w:ind w:left="0"/>
              <w:jc w:val="both"/>
              <w:rPr>
                <w:rFonts w:eastAsiaTheme="minorHAnsi" w:cstheme="minorBidi"/>
                <w:sz w:val="22"/>
                <w:szCs w:val="22"/>
              </w:rPr>
            </w:pPr>
            <w:r w:rsidRPr="008E34CC">
              <w:rPr>
                <w:rFonts w:eastAsiaTheme="minorHAnsi" w:cstheme="minorBidi"/>
                <w:sz w:val="22"/>
                <w:szCs w:val="22"/>
              </w:rPr>
              <w:t>En el presente caso, la solicitud se refiere, como se ha dicho sobre en caso de producirse excedencias voluntarias el criterio que se seguirá por parte del Tribunal Calificador.</w:t>
            </w:r>
          </w:p>
          <w:p w14:paraId="2B002D0D" w14:textId="77777777" w:rsidR="00D123B4" w:rsidRPr="00097A74" w:rsidRDefault="00D123B4" w:rsidP="008E34CC">
            <w:pPr>
              <w:pStyle w:val="Prrafodelista"/>
              <w:numPr>
                <w:ilvl w:val="0"/>
                <w:numId w:val="5"/>
              </w:numPr>
              <w:spacing w:before="120" w:after="120" w:line="276" w:lineRule="auto"/>
              <w:ind w:left="0"/>
              <w:jc w:val="both"/>
              <w:rPr>
                <w:rFonts w:eastAsiaTheme="minorHAnsi" w:cstheme="minorBidi"/>
                <w:sz w:val="22"/>
                <w:szCs w:val="22"/>
              </w:rPr>
            </w:pPr>
          </w:p>
          <w:p w14:paraId="40CD0C9C" w14:textId="77777777" w:rsidR="00D123B4" w:rsidRDefault="00CA7974" w:rsidP="008E34CC">
            <w:pPr>
              <w:pStyle w:val="Prrafodelista"/>
              <w:numPr>
                <w:ilvl w:val="0"/>
                <w:numId w:val="5"/>
              </w:numPr>
              <w:spacing w:before="120" w:after="120" w:line="276" w:lineRule="auto"/>
              <w:ind w:left="0"/>
              <w:jc w:val="both"/>
              <w:rPr>
                <w:rFonts w:eastAsiaTheme="minorHAnsi" w:cstheme="minorBidi"/>
                <w:sz w:val="22"/>
                <w:szCs w:val="22"/>
              </w:rPr>
            </w:pPr>
            <w:r w:rsidRPr="008E34CC">
              <w:rPr>
                <w:rFonts w:eastAsiaTheme="minorHAnsi" w:cstheme="minorBidi"/>
                <w:sz w:val="22"/>
                <w:szCs w:val="22"/>
              </w:rPr>
              <w:t xml:space="preserve">En este sentido, </w:t>
            </w:r>
            <w:r w:rsidRPr="005E2173">
              <w:rPr>
                <w:rFonts w:eastAsiaTheme="minorHAnsi" w:cstheme="minorBidi"/>
                <w:sz w:val="22"/>
                <w:szCs w:val="22"/>
              </w:rPr>
              <w:t>para que una solicitud pueda prosperar por el cauce de la normativa de transparencia, su objeto ha de recaer sobre información pública en sentido propio, esto es, sobre contenidos o documentos existentes que obren en poder de la Administración y hayan sido elaborados o adquiridos en el ejercicio de sus funciones -artículo 13 LTAIBG y 18.1 NF 1/2017-.</w:t>
            </w:r>
          </w:p>
          <w:p w14:paraId="1569A20E" w14:textId="77777777" w:rsidR="00D123B4" w:rsidRPr="008E34CC" w:rsidRDefault="00D123B4" w:rsidP="008E34CC">
            <w:pPr>
              <w:pStyle w:val="Prrafodelista"/>
              <w:numPr>
                <w:ilvl w:val="0"/>
                <w:numId w:val="5"/>
              </w:numPr>
              <w:spacing w:before="120" w:after="120" w:line="276" w:lineRule="auto"/>
              <w:ind w:left="0"/>
              <w:jc w:val="both"/>
              <w:rPr>
                <w:rFonts w:eastAsiaTheme="minorHAnsi" w:cstheme="minorBidi"/>
                <w:sz w:val="22"/>
                <w:szCs w:val="22"/>
              </w:rPr>
            </w:pPr>
          </w:p>
          <w:p w14:paraId="107A9D59" w14:textId="77777777" w:rsidR="00D123B4" w:rsidRPr="00AE5F8C" w:rsidRDefault="00CA7974" w:rsidP="008E34CC">
            <w:pPr>
              <w:pStyle w:val="Prrafodelista"/>
              <w:numPr>
                <w:ilvl w:val="0"/>
                <w:numId w:val="5"/>
              </w:numPr>
              <w:spacing w:before="120" w:after="120" w:line="276" w:lineRule="auto"/>
              <w:ind w:left="0"/>
              <w:jc w:val="both"/>
              <w:rPr>
                <w:rFonts w:eastAsiaTheme="minorHAnsi" w:cstheme="minorBidi"/>
                <w:sz w:val="22"/>
                <w:szCs w:val="22"/>
              </w:rPr>
            </w:pPr>
            <w:r w:rsidRPr="008E34CC">
              <w:rPr>
                <w:rFonts w:eastAsiaTheme="minorHAnsi" w:cstheme="minorBidi"/>
                <w:sz w:val="22"/>
                <w:szCs w:val="22"/>
              </w:rPr>
              <w:t>En el presente caso, la solicitud no tiene por objeto el acceso a documentos, datos o contenidos concretos obrantes en un expediente o archivo administrativo, sino la obtención de una respuesta interpretativa acerca del criterio del tribunal en un supuesto determinado, esto es, en caso de excedencias.</w:t>
            </w:r>
          </w:p>
          <w:p w14:paraId="4AF323E4" w14:textId="77777777" w:rsidR="00D123B4" w:rsidRPr="008E34CC" w:rsidRDefault="00D123B4" w:rsidP="008E34CC">
            <w:pPr>
              <w:pStyle w:val="Prrafodelista"/>
              <w:numPr>
                <w:ilvl w:val="0"/>
                <w:numId w:val="5"/>
              </w:numPr>
              <w:spacing w:before="120" w:after="120" w:line="276" w:lineRule="auto"/>
              <w:ind w:left="0"/>
              <w:jc w:val="both"/>
              <w:rPr>
                <w:rFonts w:eastAsiaTheme="minorHAnsi" w:cstheme="minorBidi"/>
                <w:sz w:val="22"/>
                <w:szCs w:val="22"/>
              </w:rPr>
            </w:pPr>
          </w:p>
          <w:p w14:paraId="6CB4C362" w14:textId="77777777" w:rsidR="00D123B4" w:rsidRPr="00AE5F8C" w:rsidRDefault="00CA7974" w:rsidP="008E34CC">
            <w:pPr>
              <w:pStyle w:val="Prrafodelista"/>
              <w:numPr>
                <w:ilvl w:val="0"/>
                <w:numId w:val="5"/>
              </w:numPr>
              <w:spacing w:before="120" w:after="120" w:line="276" w:lineRule="auto"/>
              <w:ind w:left="0"/>
              <w:jc w:val="both"/>
              <w:rPr>
                <w:rFonts w:eastAsiaTheme="minorHAnsi" w:cstheme="minorBidi"/>
                <w:sz w:val="22"/>
                <w:szCs w:val="22"/>
              </w:rPr>
            </w:pPr>
            <w:r w:rsidRPr="008E34CC">
              <w:rPr>
                <w:rFonts w:eastAsiaTheme="minorHAnsi" w:cstheme="minorBidi"/>
                <w:sz w:val="22"/>
                <w:szCs w:val="22"/>
              </w:rPr>
              <w:t>Por tanto, no se solicita una información o documentación preexistente, sino un pronunciamiento interpretativo o explicativo que exigiría elaborar una respuesta ad hoc. Tal pretensión excede del objeto propio del derecho de acceso a la información pública, que no ampara la emisión de valoraciones, juicios interpretativos o criterios no documentados.</w:t>
            </w:r>
          </w:p>
          <w:p w14:paraId="6DB87378" w14:textId="77777777" w:rsidR="00D123B4" w:rsidRPr="00AE5F8C" w:rsidRDefault="00D123B4" w:rsidP="008E34CC">
            <w:pPr>
              <w:pStyle w:val="Prrafodelista"/>
              <w:numPr>
                <w:ilvl w:val="0"/>
                <w:numId w:val="5"/>
              </w:numPr>
              <w:spacing w:before="120" w:after="120" w:line="276" w:lineRule="auto"/>
              <w:ind w:left="0"/>
              <w:jc w:val="both"/>
              <w:rPr>
                <w:rFonts w:eastAsiaTheme="minorHAnsi" w:cstheme="minorBidi"/>
                <w:sz w:val="22"/>
                <w:szCs w:val="22"/>
              </w:rPr>
            </w:pPr>
          </w:p>
          <w:p w14:paraId="5832BFF3" w14:textId="77777777" w:rsidR="00D123B4" w:rsidRPr="00097A74" w:rsidRDefault="00CA7974" w:rsidP="008E34CC">
            <w:pPr>
              <w:pStyle w:val="Prrafodelista"/>
              <w:numPr>
                <w:ilvl w:val="0"/>
                <w:numId w:val="5"/>
              </w:numPr>
              <w:spacing w:before="120" w:after="120" w:line="276" w:lineRule="auto"/>
              <w:ind w:left="0"/>
              <w:jc w:val="both"/>
              <w:rPr>
                <w:rFonts w:eastAsiaTheme="minorHAnsi" w:cstheme="minorBidi"/>
                <w:sz w:val="22"/>
                <w:szCs w:val="22"/>
              </w:rPr>
            </w:pPr>
            <w:r w:rsidRPr="008E34CC">
              <w:rPr>
                <w:rFonts w:eastAsiaTheme="minorHAnsi" w:cstheme="minorBidi"/>
                <w:sz w:val="22"/>
                <w:szCs w:val="22"/>
              </w:rPr>
              <w:t xml:space="preserve">Por ello, no se trata de un acceso genérico a información pública, sino de información integrada en un procedimiento concreto con un régimen jurídico propio. Aplicar directamente la LTAIBG permitiría utilizar un cauce alternativo al previsto, alterando el equilibrio del proceso selectivo. </w:t>
            </w:r>
          </w:p>
          <w:p w14:paraId="2DFAA2C6" w14:textId="77777777" w:rsidR="00D123B4" w:rsidRDefault="00D123B4" w:rsidP="008E34CC">
            <w:pPr>
              <w:pStyle w:val="Prrafodelista"/>
              <w:numPr>
                <w:ilvl w:val="0"/>
                <w:numId w:val="5"/>
              </w:numPr>
              <w:spacing w:before="120" w:after="120" w:line="276" w:lineRule="auto"/>
              <w:ind w:left="0"/>
              <w:jc w:val="both"/>
              <w:rPr>
                <w:rFonts w:eastAsiaTheme="minorHAnsi" w:cstheme="minorBidi"/>
                <w:sz w:val="22"/>
                <w:szCs w:val="22"/>
              </w:rPr>
            </w:pPr>
          </w:p>
          <w:p w14:paraId="03434313" w14:textId="77777777" w:rsidR="00D123B4" w:rsidRPr="00C554DA" w:rsidRDefault="00CA7974" w:rsidP="008E34CC">
            <w:pPr>
              <w:pStyle w:val="Prrafodelista"/>
              <w:numPr>
                <w:ilvl w:val="0"/>
                <w:numId w:val="5"/>
              </w:numPr>
              <w:spacing w:before="120" w:after="120" w:line="276" w:lineRule="auto"/>
              <w:ind w:left="0"/>
              <w:jc w:val="both"/>
              <w:rPr>
                <w:rFonts w:eastAsiaTheme="minorHAnsi" w:cstheme="minorBidi"/>
                <w:sz w:val="22"/>
                <w:szCs w:val="22"/>
              </w:rPr>
            </w:pPr>
            <w:r w:rsidRPr="008E34CC">
              <w:rPr>
                <w:rFonts w:eastAsiaTheme="minorHAnsi" w:cstheme="minorBidi"/>
                <w:sz w:val="22"/>
                <w:szCs w:val="22"/>
              </w:rPr>
              <w:t>En particular, la Disposición adicional primera.2 de la LTAIBG establece que, cuando exista una normativa específica de acceso a la información, esta rige con carácter preferente, aplicándose la legislación de transparencia solo de forma supletoria. Esta previsión responde al carácter transversal de la LTAIBG, que no sustituye automáticamente a las normas sectoriales cuando estas regulan de forma propia el acceso, la participación o la defensa en un procedimiento.</w:t>
            </w:r>
          </w:p>
          <w:p w14:paraId="4670EBC5" w14:textId="77777777" w:rsidR="00D123B4" w:rsidRPr="008E34CC" w:rsidRDefault="00D123B4" w:rsidP="008E34CC">
            <w:pPr>
              <w:pStyle w:val="Prrafodelista"/>
              <w:numPr>
                <w:ilvl w:val="0"/>
                <w:numId w:val="5"/>
              </w:numPr>
              <w:spacing w:before="120" w:after="120" w:line="276" w:lineRule="auto"/>
              <w:ind w:left="0"/>
              <w:jc w:val="both"/>
              <w:rPr>
                <w:rFonts w:eastAsiaTheme="minorHAnsi" w:cstheme="minorBidi"/>
                <w:sz w:val="22"/>
                <w:szCs w:val="22"/>
              </w:rPr>
            </w:pPr>
          </w:p>
          <w:p w14:paraId="7511C36D" w14:textId="77777777" w:rsidR="00D123B4" w:rsidRPr="00C554DA" w:rsidRDefault="00CA7974" w:rsidP="008E34CC">
            <w:pPr>
              <w:pStyle w:val="Prrafodelista"/>
              <w:numPr>
                <w:ilvl w:val="0"/>
                <w:numId w:val="5"/>
              </w:numPr>
              <w:spacing w:before="120" w:after="120" w:line="276" w:lineRule="auto"/>
              <w:ind w:left="0"/>
              <w:jc w:val="both"/>
              <w:rPr>
                <w:rFonts w:eastAsiaTheme="minorHAnsi" w:cstheme="minorBidi"/>
                <w:sz w:val="22"/>
                <w:szCs w:val="22"/>
              </w:rPr>
            </w:pPr>
            <w:r w:rsidRPr="008E34CC">
              <w:rPr>
                <w:rFonts w:eastAsiaTheme="minorHAnsi" w:cstheme="minorBidi"/>
                <w:sz w:val="22"/>
                <w:szCs w:val="22"/>
              </w:rPr>
              <w:t>Asimismo, incluso de manera subsidiaria, resulta aplicable la Disposición adicional primera.1 de la LTAIBG, según la cual el acceso a documentos por parte de quienes sean interesados en un procedimiento en curso se rige por su normativa específica. En este caso, concurren dichos requisitos: existe un procedimiento en curso, la documentación solicitada forma parte del expediente y el solicitante participa en el proceso, ostentando la condición de interesado conforme al artículo 4 de la Ley 39/2015, de 1 de octubre, del Procedimiento Administrativo Común de las Administraciones Públicas -en adelante, «LPACAP»-.</w:t>
            </w:r>
          </w:p>
          <w:p w14:paraId="45831BCB" w14:textId="77777777" w:rsidR="00D123B4" w:rsidRPr="008E34CC" w:rsidRDefault="00D123B4" w:rsidP="008E34CC">
            <w:pPr>
              <w:pStyle w:val="Prrafodelista"/>
              <w:numPr>
                <w:ilvl w:val="0"/>
                <w:numId w:val="5"/>
              </w:numPr>
              <w:spacing w:before="120" w:after="120" w:line="276" w:lineRule="auto"/>
              <w:ind w:left="0"/>
              <w:jc w:val="both"/>
              <w:rPr>
                <w:rFonts w:eastAsiaTheme="minorHAnsi" w:cstheme="minorBidi"/>
                <w:sz w:val="22"/>
                <w:szCs w:val="22"/>
              </w:rPr>
            </w:pPr>
          </w:p>
          <w:p w14:paraId="51CE0380" w14:textId="77777777" w:rsidR="00D123B4" w:rsidRPr="00C554DA" w:rsidRDefault="00CA7974" w:rsidP="008E34CC">
            <w:pPr>
              <w:pStyle w:val="Prrafodelista"/>
              <w:numPr>
                <w:ilvl w:val="0"/>
                <w:numId w:val="5"/>
              </w:numPr>
              <w:spacing w:before="120" w:after="120" w:line="276" w:lineRule="auto"/>
              <w:ind w:left="0"/>
              <w:jc w:val="both"/>
              <w:rPr>
                <w:rFonts w:eastAsiaTheme="minorHAnsi" w:cstheme="minorBidi"/>
                <w:sz w:val="22"/>
                <w:szCs w:val="22"/>
              </w:rPr>
            </w:pPr>
            <w:r w:rsidRPr="008E34CC">
              <w:rPr>
                <w:rFonts w:eastAsiaTheme="minorHAnsi" w:cstheme="minorBidi"/>
                <w:sz w:val="22"/>
                <w:szCs w:val="22"/>
              </w:rPr>
              <w:t xml:space="preserve">El procedimiento selectivo no puede considerarse finalizado hasta la culminación de todas sus fases (nombramiento y toma de posesión), por lo que mantiene su carácter de procedimiento en curso. En consecuencia, el solicitante tiene derecho a acceder a la documentación conforme al </w:t>
            </w:r>
            <w:r w:rsidRPr="008E34CC">
              <w:rPr>
                <w:rFonts w:eastAsiaTheme="minorHAnsi" w:cstheme="minorBidi"/>
                <w:sz w:val="22"/>
                <w:szCs w:val="22"/>
              </w:rPr>
              <w:lastRenderedPageBreak/>
              <w:t>artículo 53.1.a) de la LPACAP, pero a través del cauce propio del procedimiento, no mediante una solicitud general de transparencia.</w:t>
            </w:r>
          </w:p>
          <w:p w14:paraId="67692DA6" w14:textId="77777777" w:rsidR="00D123B4" w:rsidRPr="008E34CC" w:rsidRDefault="00D123B4" w:rsidP="008E34CC">
            <w:pPr>
              <w:pStyle w:val="Prrafodelista"/>
              <w:numPr>
                <w:ilvl w:val="0"/>
                <w:numId w:val="5"/>
              </w:numPr>
              <w:spacing w:before="120" w:after="120" w:line="276" w:lineRule="auto"/>
              <w:ind w:left="0"/>
              <w:jc w:val="both"/>
              <w:rPr>
                <w:rFonts w:eastAsiaTheme="minorHAnsi" w:cstheme="minorBidi"/>
                <w:sz w:val="22"/>
                <w:szCs w:val="22"/>
              </w:rPr>
            </w:pPr>
          </w:p>
          <w:p w14:paraId="49092593" w14:textId="77777777" w:rsidR="00D123B4" w:rsidRPr="00C554DA" w:rsidRDefault="00CA7974" w:rsidP="008E34CC">
            <w:pPr>
              <w:pStyle w:val="Prrafodelista"/>
              <w:numPr>
                <w:ilvl w:val="0"/>
                <w:numId w:val="5"/>
              </w:numPr>
              <w:spacing w:before="120" w:after="120" w:line="276" w:lineRule="auto"/>
              <w:ind w:left="0"/>
              <w:jc w:val="both"/>
              <w:rPr>
                <w:rFonts w:eastAsiaTheme="minorHAnsi" w:cstheme="minorBidi"/>
                <w:sz w:val="22"/>
                <w:szCs w:val="22"/>
              </w:rPr>
            </w:pPr>
            <w:r w:rsidRPr="008E34CC">
              <w:rPr>
                <w:rFonts w:eastAsiaTheme="minorHAnsi" w:cstheme="minorBidi"/>
                <w:sz w:val="22"/>
                <w:szCs w:val="22"/>
              </w:rPr>
              <w:t>En definitiva, la solicitud debe inadmitirse como acceso a información pública por utilizar un cauce inadecuado. El acceso deberá ejercerse dentro del procedimiento selectivo, conforme a su normativa específica y, en su caso, a la regulación del procedimiento administrativo, sin perjuicio de los límites aplicables (protección de datos, confidencialidad, igualdad, etc.).</w:t>
            </w:r>
          </w:p>
          <w:p w14:paraId="7EF3644C" w14:textId="77777777" w:rsidR="00D123B4" w:rsidRPr="008E34CC" w:rsidRDefault="00D123B4" w:rsidP="008E34CC">
            <w:pPr>
              <w:pStyle w:val="Prrafodelista"/>
              <w:numPr>
                <w:ilvl w:val="0"/>
                <w:numId w:val="5"/>
              </w:numPr>
              <w:spacing w:before="120" w:after="120" w:line="276" w:lineRule="auto"/>
              <w:ind w:left="0"/>
              <w:jc w:val="both"/>
              <w:rPr>
                <w:rFonts w:eastAsiaTheme="minorHAnsi" w:cstheme="minorBidi"/>
                <w:sz w:val="22"/>
                <w:szCs w:val="22"/>
              </w:rPr>
            </w:pPr>
          </w:p>
          <w:p w14:paraId="5A5BA707" w14:textId="77777777" w:rsidR="00D123B4" w:rsidRPr="00C554DA" w:rsidRDefault="00CA7974" w:rsidP="008E34CC">
            <w:pPr>
              <w:pStyle w:val="Prrafodelista"/>
              <w:numPr>
                <w:ilvl w:val="0"/>
                <w:numId w:val="5"/>
              </w:numPr>
              <w:spacing w:before="120" w:after="120" w:line="276" w:lineRule="auto"/>
              <w:ind w:left="0"/>
              <w:jc w:val="both"/>
              <w:rPr>
                <w:rFonts w:eastAsiaTheme="minorHAnsi" w:cstheme="minorBidi"/>
                <w:sz w:val="22"/>
                <w:szCs w:val="22"/>
              </w:rPr>
            </w:pPr>
            <w:r w:rsidRPr="008E34CC">
              <w:rPr>
                <w:rFonts w:eastAsiaTheme="minorHAnsi" w:cstheme="minorBidi"/>
                <w:sz w:val="22"/>
                <w:szCs w:val="22"/>
              </w:rPr>
              <w:t>Esta decisión no prejuzga el derecho material de acceso, sino que se limita a determinar que debe ejercerse por el procedimiento adecuado.</w:t>
            </w:r>
          </w:p>
          <w:p w14:paraId="09239548" w14:textId="77777777" w:rsidR="00D123B4" w:rsidRPr="008E34CC" w:rsidRDefault="00D123B4" w:rsidP="008E34CC">
            <w:pPr>
              <w:pStyle w:val="Prrafodelista"/>
              <w:numPr>
                <w:ilvl w:val="0"/>
                <w:numId w:val="5"/>
              </w:numPr>
              <w:spacing w:before="120" w:after="120" w:line="276" w:lineRule="auto"/>
              <w:ind w:left="0"/>
              <w:jc w:val="both"/>
              <w:rPr>
                <w:rFonts w:eastAsiaTheme="minorHAnsi" w:cstheme="minorBidi"/>
                <w:sz w:val="22"/>
                <w:szCs w:val="22"/>
              </w:rPr>
            </w:pPr>
          </w:p>
          <w:p w14:paraId="53A8AAC6" w14:textId="3381C86E" w:rsidR="005A637B" w:rsidRPr="00F56C9B" w:rsidRDefault="00CA7974" w:rsidP="00F56C9B">
            <w:pPr>
              <w:pStyle w:val="Prrafodelista"/>
              <w:numPr>
                <w:ilvl w:val="0"/>
                <w:numId w:val="5"/>
              </w:numPr>
              <w:spacing w:before="120" w:after="120" w:line="276" w:lineRule="auto"/>
              <w:ind w:left="0"/>
              <w:jc w:val="both"/>
              <w:rPr>
                <w:rFonts w:eastAsiaTheme="minorHAnsi" w:cstheme="minorBidi"/>
                <w:sz w:val="22"/>
                <w:szCs w:val="22"/>
              </w:rPr>
            </w:pPr>
            <w:r w:rsidRPr="008E34CC">
              <w:rPr>
                <w:rFonts w:eastAsiaTheme="minorHAnsi" w:cstheme="minorBidi"/>
                <w:sz w:val="22"/>
                <w:szCs w:val="22"/>
              </w:rPr>
              <w:t>Por todo cuanto antecede, de conformidad con el artículo 35.1 NF 1/2017 - en relación con el Decreto Foral 154/1993 del Consejo de Diputados de 30 de Julio, por el que se establecen las atribuciones en materia de Función Pública, en relación a su vez, con el Decreto Foral 23/2021, de 1 de junio, por el que se aprueba la estructura orgánica y funcional del Departamento de Fomento del Empleo, Comercio y Turismo y de Administración Foral, y, en relación todos ellos, con el Decreto Foral 152/2023, del Diputado General, de 30 de junio, por el que se determinan los Departamentos de la Diputación Foral de Álava para la legislatura 2023-2027, resulta competente para resolver la presente solicitud la Primera Teniente de Diputado General y Diputada Foral de Empleo, Comercio, Turismo y Administración Foral, quien, por medio de la Orden Foral 243/2020, de 1 de julio, aprobó delegar en la persona titular de la dirección de Función Pública la competencia para resolver las solicitudes en materia de acceso a la información pública, por lo que, en virtud de dicha delegación, considerándose como dictada por el órgano delegante,</w:t>
            </w:r>
          </w:p>
          <w:p w14:paraId="64B9ED0E" w14:textId="77777777" w:rsidR="005A637B" w:rsidRPr="005A637B" w:rsidRDefault="005A637B" w:rsidP="005A637B">
            <w:pPr>
              <w:spacing w:before="120" w:after="120" w:line="276" w:lineRule="auto"/>
              <w:jc w:val="both"/>
              <w:rPr>
                <w:rFonts w:eastAsiaTheme="minorHAnsi" w:cstheme="minorBidi"/>
                <w:sz w:val="22"/>
                <w:szCs w:val="22"/>
              </w:rPr>
            </w:pPr>
          </w:p>
        </w:tc>
      </w:tr>
      <w:tr w:rsidR="00A150DD" w14:paraId="0C04908C" w14:textId="77777777" w:rsidTr="0011721E">
        <w:trPr>
          <w:gridAfter w:val="1"/>
          <w:wAfter w:w="141" w:type="dxa"/>
        </w:trPr>
        <w:tc>
          <w:tcPr>
            <w:tcW w:w="8931" w:type="dxa"/>
            <w:gridSpan w:val="3"/>
          </w:tcPr>
          <w:p w14:paraId="596F1BDD" w14:textId="77777777" w:rsidR="00D123B4" w:rsidRDefault="00CA7974" w:rsidP="009D601F">
            <w:pPr>
              <w:pStyle w:val="Normal0"/>
              <w:ind w:left="-709"/>
              <w:jc w:val="both"/>
              <w:rPr>
                <w:b/>
                <w:noProof/>
                <w:snapToGrid w:val="0"/>
                <w:sz w:val="22"/>
                <w:lang w:val="es-ES_tradnl" w:eastAsia="es-ES"/>
              </w:rPr>
            </w:pPr>
            <w:r>
              <w:rPr>
                <w:b/>
                <w:noProof/>
                <w:snapToGrid w:val="0"/>
                <w:sz w:val="22"/>
                <w:lang w:val="es-ES_tradnl" w:eastAsia="es-ES"/>
              </w:rPr>
              <w:lastRenderedPageBreak/>
              <w:t xml:space="preserve">                                                                                     RESUELVO</w:t>
            </w:r>
          </w:p>
          <w:p w14:paraId="168CE2DA" w14:textId="77777777" w:rsidR="00D123B4" w:rsidRDefault="00D123B4" w:rsidP="009D601F">
            <w:pPr>
              <w:pStyle w:val="Normal0"/>
              <w:ind w:left="-709"/>
              <w:jc w:val="both"/>
              <w:rPr>
                <w:b/>
                <w:noProof/>
                <w:snapToGrid w:val="0"/>
                <w:sz w:val="22"/>
                <w:lang w:val="es-ES_tradnl" w:eastAsia="es-ES"/>
              </w:rPr>
            </w:pPr>
          </w:p>
          <w:p w14:paraId="35E77872" w14:textId="77777777" w:rsidR="00D123B4" w:rsidRPr="008E439C" w:rsidRDefault="00D123B4" w:rsidP="009D601F">
            <w:pPr>
              <w:pStyle w:val="Normal0"/>
              <w:ind w:left="-709"/>
              <w:jc w:val="both"/>
              <w:rPr>
                <w:b/>
                <w:lang w:eastAsia="es-ES"/>
              </w:rPr>
            </w:pPr>
          </w:p>
        </w:tc>
      </w:tr>
      <w:tr w:rsidR="00A150DD" w14:paraId="34FB20BF" w14:textId="77777777" w:rsidTr="00563377">
        <w:trPr>
          <w:trHeight w:val="4346"/>
        </w:trPr>
        <w:tc>
          <w:tcPr>
            <w:tcW w:w="568" w:type="dxa"/>
          </w:tcPr>
          <w:p w14:paraId="262A0A40" w14:textId="77777777" w:rsidR="00D123B4" w:rsidRPr="00A24E42" w:rsidRDefault="00D123B4" w:rsidP="00D42D05">
            <w:pPr>
              <w:pStyle w:val="Normal0"/>
              <w:spacing w:after="240"/>
              <w:ind w:left="57" w:right="57"/>
              <w:rPr>
                <w:rFonts w:ascii="Arial" w:hAnsi="Arial"/>
                <w:lang w:val="eu-ES" w:eastAsia="es-ES"/>
              </w:rPr>
            </w:pPr>
          </w:p>
        </w:tc>
        <w:tc>
          <w:tcPr>
            <w:tcW w:w="8504" w:type="dxa"/>
            <w:gridSpan w:val="3"/>
          </w:tcPr>
          <w:p w14:paraId="35D8065A" w14:textId="77777777" w:rsidR="00D123B4" w:rsidRDefault="00CA7974" w:rsidP="00894259">
            <w:pPr>
              <w:pStyle w:val="Normal0"/>
              <w:spacing w:after="240"/>
              <w:ind w:right="142" w:firstLine="1"/>
              <w:jc w:val="both"/>
              <w:rPr>
                <w:snapToGrid w:val="0"/>
                <w:sz w:val="22"/>
                <w:lang w:val="eu-ES" w:eastAsia="es-ES"/>
              </w:rPr>
            </w:pPr>
            <w:r>
              <w:rPr>
                <w:b/>
                <w:noProof/>
                <w:snapToGrid w:val="0"/>
                <w:sz w:val="22"/>
                <w:lang w:val="es-ES_tradnl" w:eastAsia="es-ES"/>
              </w:rPr>
              <w:t>Primero</w:t>
            </w:r>
            <w:r w:rsidRPr="00552894">
              <w:rPr>
                <w:b/>
                <w:noProof/>
                <w:snapToGrid w:val="0"/>
                <w:sz w:val="22"/>
                <w:lang w:val="es-ES_tradnl" w:eastAsia="es-ES"/>
              </w:rPr>
              <w:t>.</w:t>
            </w:r>
            <w:r>
              <w:rPr>
                <w:b/>
                <w:noProof/>
                <w:snapToGrid w:val="0"/>
                <w:sz w:val="22"/>
                <w:lang w:val="es-ES_tradnl" w:eastAsia="es-ES"/>
              </w:rPr>
              <w:t xml:space="preserve"> </w:t>
            </w:r>
            <w:r w:rsidRPr="008E34CC">
              <w:rPr>
                <w:snapToGrid w:val="0"/>
                <w:sz w:val="22"/>
                <w:lang w:val="eu-ES" w:eastAsia="es-ES"/>
              </w:rPr>
              <w:t>Inadmitir la solicitud como solicitud de acceso a información pública, por no ser información pública, ni ser este, en su caso, el cauce procedimental aplicable.</w:t>
            </w:r>
          </w:p>
          <w:p w14:paraId="3B788103" w14:textId="77777777" w:rsidR="00D123B4" w:rsidRDefault="00CA7974" w:rsidP="00003467">
            <w:pPr>
              <w:pStyle w:val="Normal0"/>
              <w:spacing w:after="240"/>
              <w:ind w:right="142" w:firstLine="1"/>
              <w:jc w:val="both"/>
              <w:rPr>
                <w:snapToGrid w:val="0"/>
                <w:sz w:val="22"/>
                <w:lang w:val="eu-ES" w:eastAsia="es-ES"/>
              </w:rPr>
            </w:pPr>
            <w:r>
              <w:rPr>
                <w:b/>
                <w:bCs/>
                <w:snapToGrid w:val="0"/>
                <w:sz w:val="22"/>
                <w:lang w:val="eu-ES" w:eastAsia="es-ES"/>
              </w:rPr>
              <w:t>Segundo</w:t>
            </w:r>
            <w:r w:rsidRPr="00774BB6">
              <w:rPr>
                <w:b/>
                <w:bCs/>
                <w:snapToGrid w:val="0"/>
                <w:sz w:val="22"/>
                <w:lang w:val="eu-ES" w:eastAsia="es-ES"/>
              </w:rPr>
              <w:t>.</w:t>
            </w:r>
            <w:r>
              <w:rPr>
                <w:snapToGrid w:val="0"/>
                <w:sz w:val="22"/>
                <w:lang w:val="eu-ES" w:eastAsia="es-ES"/>
              </w:rPr>
              <w:t xml:space="preserve"> </w:t>
            </w:r>
            <w:r w:rsidRPr="008E34CC">
              <w:rPr>
                <w:snapToGrid w:val="0"/>
                <w:sz w:val="22"/>
                <w:lang w:val="eu-ES" w:eastAsia="es-ES"/>
              </w:rPr>
              <w:t>Notificar la Resolución al solicitante, haciendo constar expresamente que la misma se dicta por delegación, considerándose como dictada por el órgano delegante.</w:t>
            </w:r>
          </w:p>
          <w:p w14:paraId="51975094" w14:textId="0AD23672" w:rsidR="00D123B4" w:rsidRPr="00F56C9B" w:rsidRDefault="00CA7974" w:rsidP="00F56C9B">
            <w:pPr>
              <w:pStyle w:val="Normal0"/>
              <w:spacing w:after="240"/>
              <w:ind w:right="142" w:firstLine="1"/>
              <w:jc w:val="both"/>
              <w:rPr>
                <w:snapToGrid w:val="0"/>
                <w:sz w:val="22"/>
                <w:lang w:val="eu-ES" w:eastAsia="es-ES"/>
              </w:rPr>
            </w:pPr>
            <w:r>
              <w:rPr>
                <w:b/>
                <w:bCs/>
                <w:snapToGrid w:val="0"/>
                <w:sz w:val="22"/>
                <w:lang w:val="eu-ES" w:eastAsia="es-ES"/>
              </w:rPr>
              <w:t>Tercero</w:t>
            </w:r>
            <w:r w:rsidRPr="001420E8">
              <w:rPr>
                <w:b/>
                <w:bCs/>
                <w:snapToGrid w:val="0"/>
                <w:sz w:val="22"/>
                <w:lang w:val="eu-ES" w:eastAsia="es-ES"/>
              </w:rPr>
              <w:t>.</w:t>
            </w:r>
            <w:r>
              <w:rPr>
                <w:snapToGrid w:val="0"/>
                <w:sz w:val="22"/>
                <w:lang w:val="eu-ES" w:eastAsia="es-ES"/>
              </w:rPr>
              <w:t xml:space="preserve"> </w:t>
            </w:r>
            <w:r w:rsidRPr="00181899">
              <w:rPr>
                <w:snapToGrid w:val="0"/>
                <w:sz w:val="22"/>
                <w:lang w:val="eu-ES" w:eastAsia="es-ES"/>
              </w:rPr>
              <w:t xml:space="preserve">Contra la presente Resolución, que agota la vía administrativa, podrá interponerse, a partir del día siguiente a la recepción de la presente notificación, recurso contencioso-administrativo, en el plazo de dos meses, ante el Juzgado de lo Contencioso-Administrativo de Vitoria-Gasteiz, de acuerdo con lo previsto en los artículos 8 y 46.1 de la Ley 29/1998, de 13 de julio, reguladora de la Jurisdicción Contencioso Administrativa; o, con carácter potestativo y previo a su impugnación en vía contencioso-administrativa, reclamación, en el plazo de un mes desde el día siguiente a la presente notificación, ante el </w:t>
            </w:r>
            <w:proofErr w:type="spellStart"/>
            <w:r w:rsidRPr="00181899">
              <w:rPr>
                <w:snapToGrid w:val="0"/>
                <w:sz w:val="22"/>
                <w:lang w:val="eu-ES" w:eastAsia="es-ES"/>
              </w:rPr>
              <w:t>Consejo</w:t>
            </w:r>
            <w:proofErr w:type="spellEnd"/>
            <w:r w:rsidRPr="00181899">
              <w:rPr>
                <w:snapToGrid w:val="0"/>
                <w:sz w:val="22"/>
                <w:lang w:val="eu-ES" w:eastAsia="es-ES"/>
              </w:rPr>
              <w:t xml:space="preserve"> Foral de </w:t>
            </w:r>
            <w:proofErr w:type="spellStart"/>
            <w:r w:rsidRPr="00181899">
              <w:rPr>
                <w:snapToGrid w:val="0"/>
                <w:sz w:val="22"/>
                <w:lang w:val="eu-ES" w:eastAsia="es-ES"/>
              </w:rPr>
              <w:t>Transparencia</w:t>
            </w:r>
            <w:proofErr w:type="spellEnd"/>
            <w:r>
              <w:rPr>
                <w:snapToGrid w:val="0"/>
                <w:sz w:val="22"/>
                <w:lang w:val="eu-ES" w:eastAsia="es-ES"/>
              </w:rPr>
              <w:t>.</w:t>
            </w:r>
          </w:p>
        </w:tc>
      </w:tr>
      <w:tr w:rsidR="00A150DD" w14:paraId="7CDFA402" w14:textId="77777777" w:rsidTr="0011721E">
        <w:trPr>
          <w:gridAfter w:val="2"/>
          <w:wAfter w:w="4110" w:type="dxa"/>
        </w:trPr>
        <w:tc>
          <w:tcPr>
            <w:tcW w:w="568" w:type="dxa"/>
          </w:tcPr>
          <w:p w14:paraId="21241734" w14:textId="77777777" w:rsidR="00D123B4" w:rsidRPr="00A24E42" w:rsidRDefault="00D123B4" w:rsidP="00003467">
            <w:pPr>
              <w:pStyle w:val="Normal0"/>
              <w:jc w:val="both"/>
              <w:rPr>
                <w:sz w:val="22"/>
                <w:lang w:eastAsia="es-ES"/>
              </w:rPr>
            </w:pPr>
          </w:p>
        </w:tc>
        <w:tc>
          <w:tcPr>
            <w:tcW w:w="4394" w:type="dxa"/>
          </w:tcPr>
          <w:p w14:paraId="009AFB3D" w14:textId="77777777" w:rsidR="00D123B4" w:rsidRDefault="00CA7974" w:rsidP="008E34CC">
            <w:pPr>
              <w:pStyle w:val="Normal0"/>
              <w:jc w:val="both"/>
              <w:rPr>
                <w:noProof/>
                <w:sz w:val="22"/>
                <w:lang w:eastAsia="es-ES"/>
              </w:rPr>
            </w:pPr>
            <w:r w:rsidRPr="00A24E42">
              <w:rPr>
                <w:noProof/>
                <w:sz w:val="22"/>
                <w:lang w:eastAsia="es-ES"/>
              </w:rPr>
              <w:t>Vitoria-Gasteiz.</w:t>
            </w:r>
          </w:p>
          <w:p w14:paraId="54A5025D" w14:textId="77777777" w:rsidR="00D123B4" w:rsidRDefault="00D123B4" w:rsidP="008E34CC">
            <w:pPr>
              <w:pStyle w:val="Normal0"/>
              <w:jc w:val="both"/>
              <w:rPr>
                <w:noProof/>
                <w:sz w:val="22"/>
                <w:lang w:eastAsia="es-ES"/>
              </w:rPr>
            </w:pPr>
          </w:p>
          <w:p w14:paraId="59589442" w14:textId="77777777" w:rsidR="00D123B4" w:rsidRPr="0041598C" w:rsidRDefault="00CA7974" w:rsidP="00563377">
            <w:pPr>
              <w:pStyle w:val="Normal0"/>
              <w:autoSpaceDE w:val="0"/>
              <w:autoSpaceDN w:val="0"/>
              <w:adjustRightInd w:val="0"/>
              <w:spacing w:line="276" w:lineRule="auto"/>
              <w:rPr>
                <w:rFonts w:asciiTheme="minorHAnsi" w:eastAsiaTheme="minorHAnsi" w:hAnsiTheme="minorHAnsi" w:cstheme="minorBidi"/>
                <w:b/>
                <w:bCs/>
                <w:sz w:val="22"/>
                <w:szCs w:val="22"/>
              </w:rPr>
            </w:pPr>
            <w:r w:rsidRPr="0041598C">
              <w:rPr>
                <w:rFonts w:asciiTheme="minorHAnsi" w:eastAsiaTheme="minorHAnsi" w:hAnsiTheme="minorHAnsi" w:cstheme="minorBidi"/>
                <w:b/>
                <w:bCs/>
                <w:sz w:val="22"/>
                <w:szCs w:val="22"/>
              </w:rPr>
              <w:t xml:space="preserve">Koldo Mikel Ruilope González </w:t>
            </w:r>
          </w:p>
          <w:p w14:paraId="363C918D" w14:textId="77777777" w:rsidR="00D123B4" w:rsidRDefault="00CA7974" w:rsidP="00563377">
            <w:pPr>
              <w:pStyle w:val="Normal0"/>
              <w:tabs>
                <w:tab w:val="right" w:pos="8789"/>
              </w:tabs>
              <w:spacing w:line="240" w:lineRule="exact"/>
              <w:jc w:val="both"/>
              <w:rPr>
                <w:noProof/>
                <w:sz w:val="22"/>
                <w:lang w:eastAsia="es-ES"/>
              </w:rPr>
            </w:pPr>
            <w:r>
              <w:rPr>
                <w:noProof/>
                <w:sz w:val="22"/>
                <w:lang w:eastAsia="es-ES"/>
              </w:rPr>
              <w:t>Funtzio Publikoko zuzendaria</w:t>
            </w:r>
          </w:p>
          <w:p w14:paraId="4CA8A570" w14:textId="77777777" w:rsidR="00D123B4" w:rsidRPr="00A24E42" w:rsidRDefault="00CA7974" w:rsidP="00563377">
            <w:pPr>
              <w:pStyle w:val="Normal0"/>
              <w:jc w:val="both"/>
              <w:rPr>
                <w:sz w:val="22"/>
                <w:lang w:eastAsia="es-ES"/>
              </w:rPr>
            </w:pPr>
            <w:r>
              <w:rPr>
                <w:noProof/>
                <w:sz w:val="22"/>
                <w:lang w:eastAsia="es-ES"/>
              </w:rPr>
              <w:t>Director de Función Pública</w:t>
            </w:r>
          </w:p>
        </w:tc>
      </w:tr>
      <w:bookmarkEnd w:id="0"/>
    </w:tbl>
    <w:p w14:paraId="33AC4197" w14:textId="77777777" w:rsidR="00D123B4" w:rsidRDefault="00D123B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sectPr w:rsidR="00D123B4" w:rsidSect="00E53B88">
      <w:headerReference w:type="default" r:id="rId8"/>
      <w:footerReference w:type="default" r:id="rId9"/>
      <w:headerReference w:type="first" r:id="rId10"/>
      <w:footerReference w:type="first" r:id="rId11"/>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0628E" w14:textId="77777777" w:rsidR="003A650C" w:rsidRDefault="003A650C">
      <w:r>
        <w:separator/>
      </w:r>
    </w:p>
  </w:endnote>
  <w:endnote w:type="continuationSeparator" w:id="0">
    <w:p w14:paraId="5AC8FC59" w14:textId="77777777" w:rsidR="003A650C" w:rsidRDefault="003A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A150DD" w14:paraId="03E90A9C" w14:textId="77777777" w:rsidTr="00E47DB3">
      <w:trPr>
        <w:trHeight w:val="567"/>
      </w:trPr>
      <w:tc>
        <w:tcPr>
          <w:tcW w:w="9921" w:type="dxa"/>
        </w:tcPr>
        <w:p w14:paraId="09FE82B5" w14:textId="77777777" w:rsidR="00D123B4" w:rsidRPr="00E47DB3" w:rsidRDefault="00CA7974"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5</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5</w:t>
          </w:r>
          <w:r w:rsidRPr="00E47DB3">
            <w:rPr>
              <w:rFonts w:ascii="Arial" w:hAnsi="Arial" w:cs="Arial"/>
              <w:color w:val="808080"/>
              <w:sz w:val="16"/>
            </w:rPr>
            <w:fldChar w:fldCharType="end"/>
          </w:r>
        </w:p>
      </w:tc>
    </w:tr>
  </w:tbl>
  <w:p w14:paraId="1E48C6A2" w14:textId="77777777" w:rsidR="00D123B4" w:rsidRDefault="00D123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EDCA" w14:textId="72B1CFD8" w:rsidR="00D123B4" w:rsidRPr="0013291F" w:rsidRDefault="00D123B4" w:rsidP="00BE3C89">
    <w:pPr>
      <w:pBdr>
        <w:bottom w:val="single" w:sz="4" w:space="1" w:color="auto"/>
      </w:pBdr>
      <w:spacing w:line="180" w:lineRule="exact"/>
      <w:rPr>
        <w:sz w:val="22"/>
      </w:rPr>
    </w:pPr>
  </w:p>
  <w:tbl>
    <w:tblPr>
      <w:tblW w:w="0" w:type="auto"/>
      <w:tblLayout w:type="fixed"/>
      <w:tblCellMar>
        <w:left w:w="70" w:type="dxa"/>
        <w:right w:w="70" w:type="dxa"/>
      </w:tblCellMar>
      <w:tblLook w:val="0000" w:firstRow="0" w:lastRow="0" w:firstColumn="0" w:lastColumn="0" w:noHBand="0" w:noVBand="0"/>
    </w:tblPr>
    <w:tblGrid>
      <w:gridCol w:w="4323"/>
      <w:gridCol w:w="3118"/>
      <w:gridCol w:w="2268"/>
    </w:tblGrid>
    <w:tr w:rsidR="00A150DD" w14:paraId="03D82251" w14:textId="77777777" w:rsidTr="005C6341">
      <w:trPr>
        <w:trHeight w:val="433"/>
      </w:trPr>
      <w:tc>
        <w:tcPr>
          <w:tcW w:w="4323" w:type="dxa"/>
        </w:tcPr>
        <w:p w14:paraId="5BD35BAA" w14:textId="77777777" w:rsidR="005A637B" w:rsidRPr="00021811" w:rsidRDefault="005A637B" w:rsidP="005A637B">
          <w:pPr>
            <w:autoSpaceDE w:val="0"/>
            <w:autoSpaceDN w:val="0"/>
            <w:adjustRightInd w:val="0"/>
            <w:rPr>
              <w:rFonts w:ascii="Arial" w:eastAsiaTheme="minorHAnsi" w:hAnsi="Arial" w:cs="Arial"/>
              <w:b/>
              <w:bCs/>
              <w:sz w:val="16"/>
              <w:szCs w:val="16"/>
              <w:lang w:val="es-ES" w:eastAsia="en-US"/>
            </w:rPr>
          </w:pPr>
          <w:r w:rsidRPr="00021811">
            <w:rPr>
              <w:rFonts w:ascii="Arial" w:eastAsiaTheme="minorHAnsi" w:hAnsi="Arial" w:cs="Arial"/>
              <w:b/>
              <w:bCs/>
              <w:sz w:val="16"/>
              <w:szCs w:val="16"/>
              <w:lang w:val="es-ES" w:eastAsia="en-US"/>
            </w:rPr>
            <w:t>Enplegu, Merkataritza, Turismo eta Foru Administrazioaren Saila</w:t>
          </w:r>
        </w:p>
        <w:p w14:paraId="56706CF0" w14:textId="77777777" w:rsidR="005A637B" w:rsidRPr="00021811" w:rsidRDefault="005A637B" w:rsidP="005A637B">
          <w:pPr>
            <w:autoSpaceDE w:val="0"/>
            <w:autoSpaceDN w:val="0"/>
            <w:adjustRightInd w:val="0"/>
            <w:rPr>
              <w:rFonts w:ascii="Arial" w:eastAsiaTheme="minorHAnsi" w:hAnsi="Arial" w:cs="Arial"/>
              <w:sz w:val="16"/>
              <w:szCs w:val="16"/>
              <w:lang w:val="es-ES" w:eastAsia="en-US"/>
            </w:rPr>
          </w:pPr>
          <w:r w:rsidRPr="00021811">
            <w:rPr>
              <w:rFonts w:ascii="Arial" w:eastAsiaTheme="minorHAnsi" w:hAnsi="Arial" w:cs="Arial"/>
              <w:sz w:val="16"/>
              <w:szCs w:val="16"/>
              <w:lang w:val="es-ES" w:eastAsia="en-US"/>
            </w:rPr>
            <w:t>Departamento de Empleo, Comercio, Turismo y</w:t>
          </w:r>
        </w:p>
        <w:p w14:paraId="32100768" w14:textId="77777777" w:rsidR="005A637B" w:rsidRPr="00021811" w:rsidRDefault="005A637B" w:rsidP="005A637B">
          <w:pPr>
            <w:autoSpaceDE w:val="0"/>
            <w:autoSpaceDN w:val="0"/>
            <w:adjustRightInd w:val="0"/>
            <w:rPr>
              <w:rFonts w:ascii="Arial" w:eastAsiaTheme="minorHAnsi" w:hAnsi="Arial" w:cs="Arial"/>
              <w:sz w:val="16"/>
              <w:szCs w:val="16"/>
              <w:lang w:val="es-ES" w:eastAsia="en-US"/>
            </w:rPr>
          </w:pPr>
          <w:r w:rsidRPr="00021811">
            <w:rPr>
              <w:rFonts w:ascii="Arial" w:eastAsiaTheme="minorHAnsi" w:hAnsi="Arial" w:cs="Arial"/>
              <w:sz w:val="16"/>
              <w:szCs w:val="16"/>
              <w:lang w:val="es-ES" w:eastAsia="en-US"/>
            </w:rPr>
            <w:t>Administración Foral</w:t>
          </w:r>
        </w:p>
        <w:p w14:paraId="1D0B7317" w14:textId="4CF7DC83" w:rsidR="00D123B4" w:rsidRPr="0013291F" w:rsidRDefault="00D123B4" w:rsidP="005C6341">
          <w:pPr>
            <w:pStyle w:val="Textoindependiente"/>
            <w:spacing w:after="113" w:line="220" w:lineRule="exact"/>
            <w:ind w:left="11"/>
            <w:jc w:val="left"/>
            <w:rPr>
              <w:rFonts w:cs="Arial"/>
              <w:sz w:val="16"/>
              <w:szCs w:val="16"/>
            </w:rPr>
          </w:pPr>
        </w:p>
      </w:tc>
      <w:tc>
        <w:tcPr>
          <w:tcW w:w="3118" w:type="dxa"/>
        </w:tcPr>
        <w:p w14:paraId="086A0B84" w14:textId="77777777" w:rsidR="005A637B" w:rsidRPr="00021811" w:rsidRDefault="005A637B" w:rsidP="005A637B">
          <w:pPr>
            <w:pStyle w:val="Textoindependiente"/>
            <w:spacing w:before="20" w:after="70" w:line="200" w:lineRule="exact"/>
            <w:ind w:left="40"/>
            <w:jc w:val="left"/>
            <w:rPr>
              <w:rFonts w:cs="Arial"/>
              <w:sz w:val="16"/>
              <w:szCs w:val="16"/>
            </w:rPr>
          </w:pPr>
          <w:r w:rsidRPr="00021811">
            <w:rPr>
              <w:rFonts w:cs="Arial"/>
              <w:sz w:val="16"/>
              <w:szCs w:val="16"/>
            </w:rPr>
            <w:t>Funtzio Publikoko Zuzendaritza</w:t>
          </w:r>
        </w:p>
        <w:p w14:paraId="63EDFEBD" w14:textId="67488764" w:rsidR="00D123B4" w:rsidRPr="0013291F" w:rsidRDefault="005A637B" w:rsidP="005A637B">
          <w:pPr>
            <w:pStyle w:val="Textoindependiente"/>
            <w:spacing w:before="20" w:after="70" w:line="200" w:lineRule="exact"/>
            <w:ind w:left="40"/>
            <w:jc w:val="left"/>
            <w:rPr>
              <w:rFonts w:cs="Arial"/>
              <w:sz w:val="16"/>
              <w:szCs w:val="16"/>
            </w:rPr>
          </w:pPr>
          <w:r w:rsidRPr="00021811">
            <w:rPr>
              <w:rFonts w:cs="Arial"/>
              <w:sz w:val="16"/>
              <w:szCs w:val="16"/>
            </w:rPr>
            <w:t>Dirección de Función Pública</w:t>
          </w:r>
        </w:p>
      </w:tc>
      <w:tc>
        <w:tcPr>
          <w:tcW w:w="2268" w:type="dxa"/>
        </w:tcPr>
        <w:p w14:paraId="3C528DEC" w14:textId="77777777" w:rsidR="00D123B4" w:rsidRPr="0013291F" w:rsidRDefault="00CA7974"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 xml:space="preserve">Probintzia plaza, </w:t>
          </w:r>
        </w:p>
        <w:p w14:paraId="461B7AD7" w14:textId="77777777" w:rsidR="00D123B4" w:rsidRPr="0013291F" w:rsidRDefault="00CA7974"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01001 Vitoria-Gasteiz</w:t>
          </w:r>
        </w:p>
        <w:p w14:paraId="2744575C" w14:textId="77777777" w:rsidR="00D123B4" w:rsidRPr="0013291F" w:rsidRDefault="00CA7974" w:rsidP="005C6341">
          <w:pPr>
            <w:pStyle w:val="Piedepgina"/>
            <w:spacing w:after="2" w:line="220" w:lineRule="exact"/>
            <w:ind w:left="40"/>
            <w:rPr>
              <w:rFonts w:ascii="Arial" w:hAnsi="Arial" w:cs="Arial"/>
              <w:sz w:val="22"/>
            </w:rPr>
          </w:pPr>
          <w:r w:rsidRPr="0013291F">
            <w:rPr>
              <w:rFonts w:ascii="Arial" w:hAnsi="Arial" w:cs="Arial"/>
              <w:noProof/>
              <w:sz w:val="14"/>
              <w:szCs w:val="14"/>
            </w:rPr>
            <w:t>Tel.: 945 18 18 18</w:t>
          </w:r>
          <w:r w:rsidRPr="0013291F">
            <w:rPr>
              <w:rFonts w:ascii="Arial" w:hAnsi="Arial" w:cs="Arial"/>
              <w:noProof/>
              <w:sz w:val="14"/>
              <w:szCs w:val="14"/>
            </w:rPr>
            <w:br/>
            <w:t>Fax: 945 18 19 47</w:t>
          </w:r>
        </w:p>
      </w:tc>
    </w:tr>
  </w:tbl>
  <w:p w14:paraId="15A93241" w14:textId="77777777" w:rsidR="00D123B4" w:rsidRPr="00BE3C89" w:rsidRDefault="00D123B4"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EFCCD" w14:textId="77777777" w:rsidR="003A650C" w:rsidRDefault="003A650C">
      <w:r>
        <w:separator/>
      </w:r>
    </w:p>
  </w:footnote>
  <w:footnote w:type="continuationSeparator" w:id="0">
    <w:p w14:paraId="40A0151F" w14:textId="77777777" w:rsidR="003A650C" w:rsidRDefault="003A6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A150DD" w14:paraId="5F9CEDB2" w14:textId="77777777" w:rsidTr="001A0E0E">
      <w:trPr>
        <w:cantSplit/>
        <w:trHeight w:hRule="exact" w:val="567"/>
      </w:trPr>
      <w:tc>
        <w:tcPr>
          <w:tcW w:w="4536" w:type="dxa"/>
          <w:vAlign w:val="center"/>
        </w:tcPr>
        <w:p w14:paraId="336F265F" w14:textId="77777777" w:rsidR="00D123B4" w:rsidRDefault="00D123B4" w:rsidP="0078412B">
          <w:pPr>
            <w:pStyle w:val="Encabezado"/>
          </w:pPr>
        </w:p>
      </w:tc>
      <w:tc>
        <w:tcPr>
          <w:tcW w:w="851" w:type="dxa"/>
          <w:vMerge w:val="restart"/>
          <w:vAlign w:val="center"/>
        </w:tcPr>
        <w:p w14:paraId="4A1FCA33" w14:textId="77777777" w:rsidR="00D123B4" w:rsidRDefault="00CA7974" w:rsidP="0078412B">
          <w:pPr>
            <w:pStyle w:val="Encabezado"/>
            <w:jc w:val="center"/>
          </w:pPr>
          <w:r>
            <w:rPr>
              <w:noProof/>
              <w:lang w:val="es-ES"/>
            </w:rPr>
            <w:drawing>
              <wp:inline distT="0" distB="0" distL="0" distR="0" wp14:anchorId="4E724BC3" wp14:editId="11D150EF">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409CEF81" w14:textId="77777777" w:rsidR="00D123B4" w:rsidRDefault="00D123B4" w:rsidP="0078412B">
          <w:pPr>
            <w:pStyle w:val="Encabezado"/>
          </w:pPr>
        </w:p>
      </w:tc>
    </w:tr>
    <w:tr w:rsidR="00A150DD" w14:paraId="61F17F21" w14:textId="77777777" w:rsidTr="001A0E0E">
      <w:trPr>
        <w:cantSplit/>
        <w:trHeight w:hRule="exact" w:val="567"/>
      </w:trPr>
      <w:tc>
        <w:tcPr>
          <w:tcW w:w="4536" w:type="dxa"/>
          <w:vAlign w:val="center"/>
        </w:tcPr>
        <w:p w14:paraId="2257AA98" w14:textId="77777777" w:rsidR="00D123B4" w:rsidRDefault="00D123B4" w:rsidP="0078412B">
          <w:pPr>
            <w:pStyle w:val="Encabezado"/>
          </w:pPr>
        </w:p>
      </w:tc>
      <w:tc>
        <w:tcPr>
          <w:tcW w:w="851" w:type="dxa"/>
          <w:vMerge/>
          <w:vAlign w:val="center"/>
        </w:tcPr>
        <w:p w14:paraId="18385666" w14:textId="77777777" w:rsidR="00D123B4" w:rsidRDefault="00D123B4" w:rsidP="0078412B">
          <w:pPr>
            <w:pStyle w:val="Encabezado"/>
            <w:jc w:val="center"/>
          </w:pPr>
        </w:p>
      </w:tc>
      <w:tc>
        <w:tcPr>
          <w:tcW w:w="4536" w:type="dxa"/>
          <w:vAlign w:val="center"/>
        </w:tcPr>
        <w:p w14:paraId="44573DFA" w14:textId="77777777" w:rsidR="00D123B4" w:rsidRDefault="00D123B4" w:rsidP="0078412B">
          <w:pPr>
            <w:pStyle w:val="Encabezado"/>
          </w:pPr>
        </w:p>
      </w:tc>
    </w:tr>
  </w:tbl>
  <w:p w14:paraId="08A6F0A1" w14:textId="77777777" w:rsidR="00D123B4" w:rsidRPr="0013766D" w:rsidRDefault="00D123B4">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A150DD" w14:paraId="7825FDAC" w14:textId="77777777" w:rsidTr="001F2BE9">
      <w:trPr>
        <w:trHeight w:val="2041"/>
      </w:trPr>
      <w:tc>
        <w:tcPr>
          <w:tcW w:w="3969" w:type="dxa"/>
        </w:tcPr>
        <w:p w14:paraId="34429EA8" w14:textId="77777777" w:rsidR="00D123B4" w:rsidRPr="007F2571" w:rsidRDefault="00CA7974"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261A9EA4" wp14:editId="6644CDCC">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7ACD66F3" w14:textId="77777777" w:rsidR="00D123B4" w:rsidRDefault="00D123B4" w:rsidP="00470015">
          <w:pPr>
            <w:pStyle w:val="Piedepgina"/>
            <w:rPr>
              <w:rFonts w:ascii="Arial" w:hAnsi="Arial" w:cs="Arial"/>
              <w:b/>
              <w:bCs/>
              <w:color w:val="808080" w:themeColor="background1" w:themeShade="80"/>
              <w:sz w:val="12"/>
              <w:szCs w:val="12"/>
              <w:lang w:val="es-ES"/>
            </w:rPr>
          </w:pPr>
        </w:p>
        <w:p w14:paraId="34F362E7" w14:textId="77777777" w:rsidR="00D123B4" w:rsidRPr="000B6392" w:rsidRDefault="00D123B4" w:rsidP="00470015">
          <w:pPr>
            <w:pStyle w:val="Encabezado"/>
            <w:rPr>
              <w:rFonts w:ascii="Arial" w:hAnsi="Arial" w:cs="Arial"/>
              <w:b/>
              <w:color w:val="808080" w:themeColor="background1" w:themeShade="80"/>
              <w:sz w:val="16"/>
              <w:szCs w:val="16"/>
            </w:rPr>
          </w:pPr>
        </w:p>
      </w:tc>
    </w:tr>
  </w:tbl>
  <w:p w14:paraId="6481B3CE" w14:textId="77777777" w:rsidR="00D123B4" w:rsidRPr="0013766D" w:rsidRDefault="00D123B4"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6AAC21F8"/>
    <w:multiLevelType w:val="hybridMultilevel"/>
    <w:tmpl w:val="F8CC45BC"/>
    <w:lvl w:ilvl="0" w:tplc="9A8C725C">
      <w:start w:val="1"/>
      <w:numFmt w:val="decimal"/>
      <w:lvlText w:val="%1"/>
      <w:lvlJc w:val="right"/>
      <w:pPr>
        <w:ind w:left="360" w:hanging="360"/>
      </w:pPr>
      <w:rPr>
        <w:rFonts w:hint="default"/>
        <w:b w:val="0"/>
        <w:bCs w:val="0"/>
        <w:sz w:val="16"/>
        <w:szCs w:val="16"/>
      </w:rPr>
    </w:lvl>
    <w:lvl w:ilvl="1" w:tplc="8E76ED62" w:tentative="1">
      <w:start w:val="1"/>
      <w:numFmt w:val="lowerLetter"/>
      <w:lvlText w:val="%2."/>
      <w:lvlJc w:val="left"/>
      <w:pPr>
        <w:ind w:left="1080" w:hanging="360"/>
      </w:pPr>
    </w:lvl>
    <w:lvl w:ilvl="2" w:tplc="578C252A" w:tentative="1">
      <w:start w:val="1"/>
      <w:numFmt w:val="lowerRoman"/>
      <w:lvlText w:val="%3."/>
      <w:lvlJc w:val="right"/>
      <w:pPr>
        <w:ind w:left="1800" w:hanging="180"/>
      </w:pPr>
    </w:lvl>
    <w:lvl w:ilvl="3" w:tplc="3C308320" w:tentative="1">
      <w:start w:val="1"/>
      <w:numFmt w:val="decimal"/>
      <w:lvlText w:val="%4."/>
      <w:lvlJc w:val="left"/>
      <w:pPr>
        <w:ind w:left="2520" w:hanging="360"/>
      </w:pPr>
    </w:lvl>
    <w:lvl w:ilvl="4" w:tplc="FBD023EC" w:tentative="1">
      <w:start w:val="1"/>
      <w:numFmt w:val="lowerLetter"/>
      <w:lvlText w:val="%5."/>
      <w:lvlJc w:val="left"/>
      <w:pPr>
        <w:ind w:left="3240" w:hanging="360"/>
      </w:pPr>
    </w:lvl>
    <w:lvl w:ilvl="5" w:tplc="67BAB4A4" w:tentative="1">
      <w:start w:val="1"/>
      <w:numFmt w:val="lowerRoman"/>
      <w:lvlText w:val="%6."/>
      <w:lvlJc w:val="right"/>
      <w:pPr>
        <w:ind w:left="3960" w:hanging="180"/>
      </w:pPr>
    </w:lvl>
    <w:lvl w:ilvl="6" w:tplc="8ABCE9F0" w:tentative="1">
      <w:start w:val="1"/>
      <w:numFmt w:val="decimal"/>
      <w:lvlText w:val="%7."/>
      <w:lvlJc w:val="left"/>
      <w:pPr>
        <w:ind w:left="4680" w:hanging="360"/>
      </w:pPr>
    </w:lvl>
    <w:lvl w:ilvl="7" w:tplc="3210F1CE" w:tentative="1">
      <w:start w:val="1"/>
      <w:numFmt w:val="lowerLetter"/>
      <w:lvlText w:val="%8."/>
      <w:lvlJc w:val="left"/>
      <w:pPr>
        <w:ind w:left="5400" w:hanging="360"/>
      </w:pPr>
    </w:lvl>
    <w:lvl w:ilvl="8" w:tplc="20746832" w:tentative="1">
      <w:start w:val="1"/>
      <w:numFmt w:val="lowerRoman"/>
      <w:lvlText w:val="%9."/>
      <w:lvlJc w:val="right"/>
      <w:pPr>
        <w:ind w:left="6120" w:hanging="180"/>
      </w:pPr>
    </w:lvl>
  </w:abstractNum>
  <w:num w:numId="1" w16cid:durableId="713162981">
    <w:abstractNumId w:val="0"/>
  </w:num>
  <w:num w:numId="2" w16cid:durableId="1461606944">
    <w:abstractNumId w:val="2"/>
  </w:num>
  <w:num w:numId="3" w16cid:durableId="1781220933">
    <w:abstractNumId w:val="1"/>
  </w:num>
  <w:num w:numId="4" w16cid:durableId="270666468">
    <w:abstractNumId w:val="3"/>
  </w:num>
  <w:num w:numId="5" w16cid:durableId="674188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0DD"/>
    <w:rsid w:val="001F123A"/>
    <w:rsid w:val="003A650C"/>
    <w:rsid w:val="005A637B"/>
    <w:rsid w:val="00A150DD"/>
    <w:rsid w:val="00A56F5D"/>
    <w:rsid w:val="00BC3071"/>
    <w:rsid w:val="00CA7974"/>
    <w:rsid w:val="00D123B4"/>
    <w:rsid w:val="00F56C9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88515"/>
  <w15:docId w15:val="{9C9AD4A0-4D48-454E-8FB7-5212935A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link w:val="TextoindependienteCar"/>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Normal0">
    <w:name w:val="Normal_0"/>
    <w:qFormat/>
    <w:rPr>
      <w:rFonts w:ascii="Times New Roman" w:hAnsi="Times New Roman"/>
      <w:lang w:eastAsia="en-US"/>
    </w:rPr>
  </w:style>
  <w:style w:type="paragraph" w:customStyle="1" w:styleId="BodyTextIndent0">
    <w:name w:val="Body Text Indent_0"/>
    <w:basedOn w:val="Normal0"/>
    <w:link w:val="SangradetextonormalCar"/>
    <w:semiHidden/>
    <w:rsid w:val="00EE4578"/>
    <w:pPr>
      <w:tabs>
        <w:tab w:val="left" w:pos="1702"/>
        <w:tab w:val="left" w:pos="4253"/>
        <w:tab w:val="left" w:pos="5104"/>
        <w:tab w:val="left" w:pos="5812"/>
      </w:tabs>
      <w:spacing w:before="480" w:after="120"/>
      <w:ind w:firstLine="851"/>
    </w:pPr>
    <w:rPr>
      <w:rFonts w:ascii="Tms Rmn" w:hAnsi="Tms Rmn"/>
      <w:sz w:val="24"/>
      <w:lang w:val="es-ES_tradnl" w:eastAsia="es-ES"/>
    </w:rPr>
  </w:style>
  <w:style w:type="character" w:customStyle="1" w:styleId="SangradetextonormalCar">
    <w:name w:val="Sangría de texto normal Car"/>
    <w:basedOn w:val="Fuentedeprrafopredeter"/>
    <w:link w:val="BodyTextIndent0"/>
    <w:semiHidden/>
    <w:rsid w:val="00EE4578"/>
    <w:rPr>
      <w:rFonts w:ascii="Tms Rmn" w:eastAsia="Times New Roman" w:hAnsi="Tms Rmn" w:cs="Times New Roman"/>
      <w:sz w:val="24"/>
      <w:szCs w:val="20"/>
      <w:lang w:val="es-ES_tradnl" w:eastAsia="es-ES"/>
    </w:rPr>
  </w:style>
  <w:style w:type="paragraph" w:styleId="Prrafodelista">
    <w:name w:val="List Paragraph"/>
    <w:basedOn w:val="Normal0"/>
    <w:uiPriority w:val="34"/>
    <w:qFormat/>
    <w:rsid w:val="003C5F40"/>
    <w:pPr>
      <w:ind w:left="720"/>
      <w:contextualSpacing/>
    </w:pPr>
  </w:style>
  <w:style w:type="character" w:customStyle="1" w:styleId="TextoindependienteCar">
    <w:name w:val="Texto independiente Car"/>
    <w:basedOn w:val="Fuentedeprrafopredeter"/>
    <w:link w:val="Textoindependiente"/>
    <w:semiHidden/>
    <w:rsid w:val="005A637B"/>
    <w:rPr>
      <w:rFonts w:ascii="Arial" w:hAnsi="Arial"/>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6F1B6-9700-488A-AA28-044F6D42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4</TotalTime>
  <Pages>3</Pages>
  <Words>1223</Words>
  <Characters>6745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3</cp:revision>
  <cp:lastPrinted>2015-02-16T14:04:00Z</cp:lastPrinted>
  <dcterms:created xsi:type="dcterms:W3CDTF">2026-06-29T10:21:00Z</dcterms:created>
  <dcterms:modified xsi:type="dcterms:W3CDTF">2026-07-03T08:07:00Z</dcterms:modified>
</cp:coreProperties>
</file>