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109B6" w14:textId="6B029F12" w:rsidR="00334BE8" w:rsidRDefault="00334BE8">
      <w:pPr>
        <w:spacing w:after="65"/>
        <w:ind w:left="398"/>
      </w:pPr>
    </w:p>
    <w:tbl>
      <w:tblPr>
        <w:tblStyle w:val="TableGrid"/>
        <w:tblW w:w="8930" w:type="dxa"/>
        <w:tblInd w:w="508" w:type="dxa"/>
        <w:tblCellMar>
          <w:top w:w="0" w:type="dxa"/>
          <w:left w:w="0" w:type="dxa"/>
          <w:bottom w:w="0" w:type="dxa"/>
          <w:right w:w="0" w:type="dxa"/>
        </w:tblCellMar>
        <w:tblLook w:val="04A0" w:firstRow="1" w:lastRow="0" w:firstColumn="1" w:lastColumn="0" w:noHBand="0" w:noVBand="1"/>
      </w:tblPr>
      <w:tblGrid>
        <w:gridCol w:w="4312"/>
        <w:gridCol w:w="3158"/>
        <w:gridCol w:w="1460"/>
      </w:tblGrid>
      <w:tr w:rsidR="00334BE8" w14:paraId="52E29E8D" w14:textId="77777777">
        <w:trPr>
          <w:trHeight w:val="483"/>
        </w:trPr>
        <w:tc>
          <w:tcPr>
            <w:tcW w:w="4312" w:type="dxa"/>
            <w:tcBorders>
              <w:top w:val="nil"/>
              <w:left w:val="nil"/>
              <w:bottom w:val="nil"/>
              <w:right w:val="nil"/>
            </w:tcBorders>
          </w:tcPr>
          <w:p w14:paraId="0E3E3861" w14:textId="77777777" w:rsidR="00334BE8" w:rsidRDefault="00C8579D">
            <w:pPr>
              <w:spacing w:after="134"/>
            </w:pPr>
            <w:proofErr w:type="spellStart"/>
            <w:r>
              <w:rPr>
                <w:rFonts w:ascii="Arial" w:eastAsia="Arial" w:hAnsi="Arial" w:cs="Arial"/>
                <w:b/>
                <w:sz w:val="16"/>
              </w:rPr>
              <w:t>Nekazaritza</w:t>
            </w:r>
            <w:proofErr w:type="spellEnd"/>
            <w:r>
              <w:rPr>
                <w:rFonts w:ascii="Arial" w:eastAsia="Arial" w:hAnsi="Arial" w:cs="Arial"/>
                <w:b/>
                <w:sz w:val="16"/>
              </w:rPr>
              <w:t xml:space="preserve"> Saila</w:t>
            </w:r>
          </w:p>
          <w:p w14:paraId="040589A2" w14:textId="77777777" w:rsidR="00334BE8" w:rsidRDefault="00C8579D">
            <w:pPr>
              <w:spacing w:after="0"/>
            </w:pPr>
            <w:r>
              <w:rPr>
                <w:rFonts w:ascii="Arial" w:eastAsia="Arial" w:hAnsi="Arial" w:cs="Arial"/>
                <w:b/>
                <w:sz w:val="16"/>
              </w:rPr>
              <w:t>Departamento de Agricultura</w:t>
            </w:r>
          </w:p>
        </w:tc>
        <w:tc>
          <w:tcPr>
            <w:tcW w:w="3158" w:type="dxa"/>
            <w:tcBorders>
              <w:top w:val="nil"/>
              <w:left w:val="nil"/>
              <w:bottom w:val="nil"/>
              <w:right w:val="nil"/>
            </w:tcBorders>
          </w:tcPr>
          <w:p w14:paraId="637DAC4B" w14:textId="77777777" w:rsidR="00334BE8" w:rsidRDefault="00C8579D">
            <w:pPr>
              <w:spacing w:after="71"/>
            </w:pPr>
            <w:proofErr w:type="spellStart"/>
            <w:r>
              <w:rPr>
                <w:rFonts w:ascii="Arial" w:eastAsia="Arial" w:hAnsi="Arial" w:cs="Arial"/>
                <w:sz w:val="16"/>
              </w:rPr>
              <w:t>Nekazaritza</w:t>
            </w:r>
            <w:proofErr w:type="spellEnd"/>
            <w:r>
              <w:rPr>
                <w:rFonts w:ascii="Arial" w:eastAsia="Arial" w:hAnsi="Arial" w:cs="Arial"/>
                <w:sz w:val="16"/>
              </w:rPr>
              <w:t xml:space="preserve"> </w:t>
            </w:r>
            <w:proofErr w:type="spellStart"/>
            <w:r>
              <w:rPr>
                <w:rFonts w:ascii="Arial" w:eastAsia="Arial" w:hAnsi="Arial" w:cs="Arial"/>
                <w:sz w:val="16"/>
              </w:rPr>
              <w:t>Teknikoko</w:t>
            </w:r>
            <w:proofErr w:type="spellEnd"/>
            <w:r>
              <w:rPr>
                <w:rFonts w:ascii="Arial" w:eastAsia="Arial" w:hAnsi="Arial" w:cs="Arial"/>
                <w:sz w:val="16"/>
              </w:rPr>
              <w:t xml:space="preserve"> </w:t>
            </w:r>
            <w:proofErr w:type="spellStart"/>
            <w:r>
              <w:rPr>
                <w:rFonts w:ascii="Arial" w:eastAsia="Arial" w:hAnsi="Arial" w:cs="Arial"/>
                <w:sz w:val="16"/>
              </w:rPr>
              <w:t>Zerbitzua</w:t>
            </w:r>
            <w:proofErr w:type="spellEnd"/>
          </w:p>
          <w:p w14:paraId="6747AC09" w14:textId="77777777" w:rsidR="00334BE8" w:rsidRDefault="00C8579D">
            <w:pPr>
              <w:spacing w:after="0"/>
            </w:pPr>
            <w:r>
              <w:rPr>
                <w:rFonts w:ascii="Arial" w:eastAsia="Arial" w:hAnsi="Arial" w:cs="Arial"/>
                <w:sz w:val="16"/>
              </w:rPr>
              <w:t>Secretaría Técnica de Agricultura</w:t>
            </w:r>
          </w:p>
        </w:tc>
        <w:tc>
          <w:tcPr>
            <w:tcW w:w="1460" w:type="dxa"/>
            <w:tcBorders>
              <w:top w:val="nil"/>
              <w:left w:val="nil"/>
              <w:bottom w:val="nil"/>
              <w:right w:val="nil"/>
            </w:tcBorders>
          </w:tcPr>
          <w:p w14:paraId="439FB999" w14:textId="77777777" w:rsidR="00334BE8" w:rsidRDefault="00C8579D">
            <w:pPr>
              <w:spacing w:after="48"/>
              <w:jc w:val="both"/>
            </w:pPr>
            <w:proofErr w:type="spellStart"/>
            <w:r>
              <w:rPr>
                <w:rFonts w:ascii="Arial" w:eastAsia="Arial" w:hAnsi="Arial" w:cs="Arial"/>
                <w:sz w:val="14"/>
              </w:rPr>
              <w:t>Probintzia</w:t>
            </w:r>
            <w:proofErr w:type="spellEnd"/>
            <w:r>
              <w:rPr>
                <w:rFonts w:ascii="Arial" w:eastAsia="Arial" w:hAnsi="Arial" w:cs="Arial"/>
                <w:sz w:val="14"/>
              </w:rPr>
              <w:t xml:space="preserve"> plaza, 4 1º </w:t>
            </w:r>
            <w:proofErr w:type="spellStart"/>
            <w:r>
              <w:rPr>
                <w:rFonts w:ascii="Arial" w:eastAsia="Arial" w:hAnsi="Arial" w:cs="Arial"/>
                <w:sz w:val="14"/>
              </w:rPr>
              <w:t>iz</w:t>
            </w:r>
            <w:proofErr w:type="spellEnd"/>
          </w:p>
          <w:p w14:paraId="61A004BD" w14:textId="77777777" w:rsidR="00334BE8" w:rsidRDefault="00C8579D">
            <w:pPr>
              <w:spacing w:after="0"/>
            </w:pPr>
            <w:r>
              <w:rPr>
                <w:rFonts w:ascii="Arial" w:eastAsia="Arial" w:hAnsi="Arial" w:cs="Arial"/>
                <w:sz w:val="14"/>
              </w:rPr>
              <w:t>01001 Vitoria-Gasteiz</w:t>
            </w:r>
          </w:p>
        </w:tc>
      </w:tr>
    </w:tbl>
    <w:p w14:paraId="5AE96388" w14:textId="77777777" w:rsidR="00334BE8" w:rsidRDefault="00C8579D">
      <w:pPr>
        <w:spacing w:after="0"/>
        <w:ind w:right="1244"/>
        <w:jc w:val="right"/>
      </w:pPr>
      <w:r>
        <w:rPr>
          <w:rFonts w:ascii="Arial" w:eastAsia="Arial" w:hAnsi="Arial" w:cs="Arial"/>
          <w:sz w:val="14"/>
        </w:rPr>
        <w:t>Tel.: 945 18 18 18</w:t>
      </w:r>
    </w:p>
    <w:p w14:paraId="469C5037" w14:textId="35A2A2D4" w:rsidR="00334BE8" w:rsidRDefault="00C8579D" w:rsidP="00C8579D">
      <w:pPr>
        <w:pStyle w:val="Ttulo2"/>
        <w:ind w:left="0"/>
      </w:pPr>
      <w:r>
        <w:rPr>
          <w:noProof/>
        </w:rPr>
        <w:drawing>
          <wp:anchor distT="0" distB="0" distL="114300" distR="114300" simplePos="0" relativeHeight="251660288" behindDoc="0" locked="0" layoutInCell="1" allowOverlap="0" wp14:anchorId="60F93704" wp14:editId="53C07183">
            <wp:simplePos x="0" y="0"/>
            <wp:positionH relativeFrom="column">
              <wp:posOffset>28232</wp:posOffset>
            </wp:positionH>
            <wp:positionV relativeFrom="paragraph">
              <wp:posOffset>-216505</wp:posOffset>
            </wp:positionV>
            <wp:extent cx="2095500" cy="714375"/>
            <wp:effectExtent l="0" t="0" r="0" b="0"/>
            <wp:wrapSquare wrapText="bothSides"/>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
                    <a:stretch>
                      <a:fillRect/>
                    </a:stretch>
                  </pic:blipFill>
                  <pic:spPr>
                    <a:xfrm>
                      <a:off x="0" y="0"/>
                      <a:ext cx="2095500" cy="714375"/>
                    </a:xfrm>
                    <a:prstGeom prst="rect">
                      <a:avLst/>
                    </a:prstGeom>
                  </pic:spPr>
                </pic:pic>
              </a:graphicData>
            </a:graphic>
          </wp:anchor>
        </w:drawing>
      </w:r>
    </w:p>
    <w:p w14:paraId="1D96F79B" w14:textId="3B4D5E68" w:rsidR="00334BE8" w:rsidRDefault="00334BE8">
      <w:pPr>
        <w:spacing w:after="108"/>
      </w:pPr>
    </w:p>
    <w:p w14:paraId="48C4109A" w14:textId="65CE6429" w:rsidR="00334BE8" w:rsidRDefault="00C8579D" w:rsidP="00C8579D">
      <w:pPr>
        <w:spacing w:after="49" w:line="262" w:lineRule="auto"/>
        <w:ind w:left="6590" w:hanging="10"/>
      </w:pPr>
      <w:r>
        <w:rPr>
          <w:rFonts w:ascii="Arial" w:eastAsia="Arial" w:hAnsi="Arial" w:cs="Arial"/>
          <w:b/>
          <w:sz w:val="16"/>
        </w:rPr>
        <w:t xml:space="preserve"> </w:t>
      </w:r>
    </w:p>
    <w:p w14:paraId="24BDB1CC" w14:textId="77777777" w:rsidR="00334BE8" w:rsidRDefault="00C8579D">
      <w:pPr>
        <w:spacing w:after="0"/>
        <w:ind w:left="1393"/>
      </w:pPr>
      <w:r>
        <w:rPr>
          <w:rFonts w:ascii="Arial" w:eastAsia="Arial" w:hAnsi="Arial" w:cs="Arial"/>
          <w:sz w:val="26"/>
        </w:rPr>
        <w:t>1</w:t>
      </w:r>
      <w:r>
        <w:rPr>
          <w:rFonts w:ascii="Arial" w:eastAsia="Arial" w:hAnsi="Arial" w:cs="Arial"/>
          <w:sz w:val="26"/>
        </w:rPr>
        <w:t>479/2026, de 17 de marzo</w:t>
      </w:r>
    </w:p>
    <w:p w14:paraId="1C5AAE63" w14:textId="77777777" w:rsidR="00334BE8" w:rsidRDefault="00C8579D">
      <w:pPr>
        <w:spacing w:after="786"/>
        <w:ind w:left="976"/>
      </w:pPr>
      <w:r>
        <w:rPr>
          <w:noProof/>
        </w:rPr>
        <mc:AlternateContent>
          <mc:Choice Requires="wpg">
            <w:drawing>
              <wp:inline distT="0" distB="0" distL="0" distR="0" wp14:anchorId="18CF9F5C" wp14:editId="70214E0E">
                <wp:extent cx="5772785" cy="6350"/>
                <wp:effectExtent l="0" t="0" r="0" b="0"/>
                <wp:docPr id="3985" name="Group 3985"/>
                <wp:cNvGraphicFramePr/>
                <a:graphic xmlns:a="http://schemas.openxmlformats.org/drawingml/2006/main">
                  <a:graphicData uri="http://schemas.microsoft.com/office/word/2010/wordprocessingGroup">
                    <wpg:wgp>
                      <wpg:cNvGrpSpPr/>
                      <wpg:grpSpPr>
                        <a:xfrm>
                          <a:off x="0" y="0"/>
                          <a:ext cx="5772785" cy="6350"/>
                          <a:chOff x="0" y="0"/>
                          <a:chExt cx="5772785" cy="6350"/>
                        </a:xfrm>
                      </wpg:grpSpPr>
                      <wps:wsp>
                        <wps:cNvPr id="78" name="Shape 78"/>
                        <wps:cNvSpPr/>
                        <wps:spPr>
                          <a:xfrm>
                            <a:off x="0" y="0"/>
                            <a:ext cx="5772785" cy="0"/>
                          </a:xfrm>
                          <a:custGeom>
                            <a:avLst/>
                            <a:gdLst/>
                            <a:ahLst/>
                            <a:cxnLst/>
                            <a:rect l="0" t="0" r="0" b="0"/>
                            <a:pathLst>
                              <a:path w="5772785">
                                <a:moveTo>
                                  <a:pt x="0" y="0"/>
                                </a:moveTo>
                                <a:lnTo>
                                  <a:pt x="577278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85" style="width:454.55pt;height:0.5pt;mso-position-horizontal-relative:char;mso-position-vertical-relative:line" coordsize="57727,63">
                <v:shape id="Shape 78" style="position:absolute;width:57727;height:0;left:0;top:0;" coordsize="5772785,0" path="m0,0l5772785,0">
                  <v:stroke weight="0.5pt" endcap="flat" joinstyle="miter" miterlimit="10" on="true" color="#000000"/>
                  <v:fill on="false" color="#000000" opacity="0"/>
                </v:shape>
              </v:group>
            </w:pict>
          </mc:Fallback>
        </mc:AlternateContent>
      </w:r>
    </w:p>
    <w:p w14:paraId="5DE0C62F" w14:textId="77777777" w:rsidR="00334BE8" w:rsidRDefault="00C8579D">
      <w:pPr>
        <w:spacing w:after="437"/>
        <w:ind w:left="994"/>
      </w:pPr>
      <w:r>
        <w:rPr>
          <w:rFonts w:ascii="Times New Roman" w:eastAsia="Times New Roman" w:hAnsi="Times New Roman" w:cs="Times New Roman"/>
          <w:b/>
          <w:sz w:val="24"/>
        </w:rPr>
        <w:t>RESOLUCIÓN</w:t>
      </w:r>
    </w:p>
    <w:p w14:paraId="131FD816" w14:textId="77777777" w:rsidR="00334BE8" w:rsidRDefault="00C8579D">
      <w:pPr>
        <w:spacing w:after="470" w:line="249" w:lineRule="auto"/>
        <w:ind w:left="989" w:right="5117" w:hanging="10"/>
        <w:jc w:val="both"/>
      </w:pPr>
      <w:r>
        <w:rPr>
          <w:rFonts w:ascii="Times New Roman" w:eastAsia="Times New Roman" w:hAnsi="Times New Roman" w:cs="Times New Roman"/>
        </w:rPr>
        <w:t xml:space="preserve">Servicio de Secretaría Técnica de Agricultura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expte</w:t>
      </w:r>
      <w:proofErr w:type="spellEnd"/>
      <w:r>
        <w:rPr>
          <w:rFonts w:ascii="Times New Roman" w:eastAsia="Times New Roman" w:hAnsi="Times New Roman" w:cs="Times New Roman"/>
        </w:rPr>
        <w:t>.: 01244-2026/00021</w:t>
      </w:r>
    </w:p>
    <w:p w14:paraId="47B183C2" w14:textId="6D0638FF" w:rsidR="00334BE8" w:rsidRDefault="00C8579D">
      <w:pPr>
        <w:pStyle w:val="Ttulo1"/>
        <w:spacing w:after="218"/>
      </w:pPr>
      <w:r>
        <w:t xml:space="preserve">Inadmitir la solicitud de acceso a información pública presentada por </w:t>
      </w:r>
      <w:r w:rsidRPr="00C8579D">
        <w:rPr>
          <w:highlight w:val="black"/>
        </w:rPr>
        <w:t>XXXXX</w:t>
      </w:r>
    </w:p>
    <w:p w14:paraId="0018730F" w14:textId="4250B632" w:rsidR="00334BE8" w:rsidRDefault="00C8579D">
      <w:pPr>
        <w:spacing w:after="230" w:line="249" w:lineRule="auto"/>
        <w:ind w:left="989" w:right="270" w:hanging="10"/>
        <w:jc w:val="both"/>
      </w:pPr>
      <w:r>
        <w:rPr>
          <w:rFonts w:ascii="Times New Roman" w:eastAsia="Times New Roman" w:hAnsi="Times New Roman" w:cs="Times New Roman"/>
        </w:rPr>
        <w:t xml:space="preserve">Con fecha 4 de marzo de 2026 ha tenido entrada en el Registro Electrónico Común de la Diputación Foral solicitud de acceso a información pública, al amparo de la Norma Foral 1/2017, de 8 de febrero, de transparencia, participación ciudadana y buen gobierno del sector público del Territorio Histórico de Álava, deducida por </w:t>
      </w:r>
      <w:r w:rsidRPr="00C8579D">
        <w:rPr>
          <w:rFonts w:ascii="Times New Roman" w:eastAsia="Times New Roman" w:hAnsi="Times New Roman" w:cs="Times New Roman"/>
          <w:highlight w:val="black"/>
        </w:rPr>
        <w:t>XXXXX</w:t>
      </w:r>
      <w:r>
        <w:rPr>
          <w:rFonts w:ascii="Times New Roman" w:eastAsia="Times New Roman" w:hAnsi="Times New Roman" w:cs="Times New Roman"/>
        </w:rPr>
        <w:t>.</w:t>
      </w:r>
    </w:p>
    <w:p w14:paraId="4502C829" w14:textId="77777777" w:rsidR="00334BE8" w:rsidRDefault="00C8579D">
      <w:pPr>
        <w:spacing w:after="230" w:line="249" w:lineRule="auto"/>
        <w:ind w:left="989" w:right="270" w:hanging="10"/>
        <w:jc w:val="both"/>
      </w:pPr>
      <w:r>
        <w:rPr>
          <w:rFonts w:ascii="Times New Roman" w:eastAsia="Times New Roman" w:hAnsi="Times New Roman" w:cs="Times New Roman"/>
        </w:rPr>
        <w:t>Solicita información adicional en relación con la información facilitada mediante Anexo adjunto a la Resolución 1186/2026, de 25 de febrero, dictada en el expediente de solicitud de información pública número 01244-2026/00016 en el que interesaba se le comunicara la causa administrativa de la decisión adoptada de no incoar expediente sancionador frente a un tercero respecto de dos hechos que fueron denunciados por el solicitante de la información.</w:t>
      </w:r>
    </w:p>
    <w:p w14:paraId="16C5B234" w14:textId="655B2E46" w:rsidR="00334BE8" w:rsidRDefault="00C8579D">
      <w:pPr>
        <w:spacing w:after="270" w:line="249" w:lineRule="auto"/>
        <w:ind w:left="989" w:right="270" w:hanging="10"/>
        <w:jc w:val="both"/>
      </w:pPr>
      <w:r>
        <w:rPr>
          <w:rFonts w:ascii="Times New Roman" w:eastAsia="Times New Roman" w:hAnsi="Times New Roman" w:cs="Times New Roman"/>
        </w:rPr>
        <w:t>En concreto, interesa la siguiente información:</w:t>
      </w:r>
    </w:p>
    <w:p w14:paraId="395225D2" w14:textId="77777777" w:rsidR="00334BE8" w:rsidRDefault="00C8579D">
      <w:pPr>
        <w:numPr>
          <w:ilvl w:val="0"/>
          <w:numId w:val="1"/>
        </w:numPr>
        <w:spacing w:after="273" w:line="249" w:lineRule="auto"/>
        <w:ind w:right="270" w:hanging="360"/>
        <w:jc w:val="both"/>
      </w:pPr>
      <w:r>
        <w:rPr>
          <w:rFonts w:ascii="Times New Roman" w:eastAsia="Times New Roman" w:hAnsi="Times New Roman" w:cs="Times New Roman"/>
        </w:rPr>
        <w:t>En relación con unas reuniones presenciales que se citan en la información facilitada, se concrete la fecha, lugar e identidad del interviniente y el acta o registro administrativo asociado de las mismas.</w:t>
      </w:r>
    </w:p>
    <w:p w14:paraId="1F81B438" w14:textId="77777777" w:rsidR="00334BE8" w:rsidRDefault="00C8579D">
      <w:pPr>
        <w:numPr>
          <w:ilvl w:val="0"/>
          <w:numId w:val="1"/>
        </w:numPr>
        <w:spacing w:after="273" w:line="249" w:lineRule="auto"/>
        <w:ind w:right="270" w:hanging="360"/>
        <w:jc w:val="both"/>
      </w:pPr>
      <w:r>
        <w:rPr>
          <w:rFonts w:ascii="Times New Roman" w:eastAsia="Times New Roman" w:hAnsi="Times New Roman" w:cs="Times New Roman"/>
        </w:rPr>
        <w:t>Se informe si se realizó requerimiento formal a la Ertzaintza para identificación de vehículo indicando fecha del requerimiento, con copia de diligencias practicadas y de la respuesta al requerimiento.</w:t>
      </w:r>
    </w:p>
    <w:p w14:paraId="4DEB9465" w14:textId="77777777" w:rsidR="00334BE8" w:rsidRDefault="00C8579D">
      <w:pPr>
        <w:numPr>
          <w:ilvl w:val="0"/>
          <w:numId w:val="1"/>
        </w:numPr>
        <w:spacing w:after="230" w:line="249" w:lineRule="auto"/>
        <w:ind w:right="270" w:hanging="360"/>
        <w:jc w:val="both"/>
      </w:pPr>
      <w:r>
        <w:rPr>
          <w:rFonts w:ascii="Times New Roman" w:eastAsia="Times New Roman" w:hAnsi="Times New Roman" w:cs="Times New Roman"/>
        </w:rPr>
        <w:t>Se identifique la norma concreta que fija el “radio limitado” que se invoca en la información facilitada, precisando la extensión exacta de dicho radio, la explotación de destino considerada y la distancia existente entre explotación de origen y de destino y método de cálculo utilizado.</w:t>
      </w:r>
    </w:p>
    <w:p w14:paraId="61A8CE8A" w14:textId="77777777" w:rsidR="00334BE8" w:rsidRDefault="00C8579D">
      <w:pPr>
        <w:spacing w:after="230" w:line="249" w:lineRule="auto"/>
        <w:ind w:left="989" w:right="270" w:hanging="10"/>
        <w:jc w:val="both"/>
      </w:pPr>
      <w:r>
        <w:rPr>
          <w:rFonts w:ascii="Times New Roman" w:eastAsia="Times New Roman" w:hAnsi="Times New Roman" w:cs="Times New Roman"/>
        </w:rPr>
        <w:t>Manifiesta el solicitante que la solicitud tiene por objeto disponer de información completa y verificable sobre las actuaciones administrativas desarrolladas, conforme a la finalidad de transparencia y control de la acción pública.</w:t>
      </w:r>
    </w:p>
    <w:p w14:paraId="24087AE5" w14:textId="77777777" w:rsidR="00334BE8" w:rsidRDefault="00C8579D">
      <w:pPr>
        <w:spacing w:after="230" w:line="249" w:lineRule="auto"/>
        <w:ind w:left="989" w:right="270" w:hanging="10"/>
        <w:jc w:val="both"/>
      </w:pPr>
      <w:r>
        <w:rPr>
          <w:rFonts w:ascii="Times New Roman" w:eastAsia="Times New Roman" w:hAnsi="Times New Roman" w:cs="Times New Roman"/>
        </w:rPr>
        <w:t>La Norma Foral 1/2017, de transparencia, participación ciudadana y buen gobierno del sector público del THA reconoce en su artículo 30 el derecho de todas las personas a ejercer el derecho a acceder a la información pública.</w:t>
      </w:r>
    </w:p>
    <w:p w14:paraId="745F7935" w14:textId="77777777" w:rsidR="00334BE8" w:rsidRDefault="00C8579D">
      <w:pPr>
        <w:spacing w:after="230" w:line="249" w:lineRule="auto"/>
        <w:ind w:left="989" w:right="270" w:hanging="10"/>
        <w:jc w:val="both"/>
      </w:pPr>
      <w:r>
        <w:rPr>
          <w:rFonts w:ascii="Times New Roman" w:eastAsia="Times New Roman" w:hAnsi="Times New Roman" w:cs="Times New Roman"/>
        </w:rPr>
        <w:t xml:space="preserve">Pero este derecho de acceso a la información pública no es un derecho ilimitado o absoluto, en el sentido de que garantice el acceso a toda la información pública en cualquier materia, sino que está sometido a </w:t>
      </w:r>
      <w:r>
        <w:rPr>
          <w:rFonts w:ascii="Times New Roman" w:eastAsia="Times New Roman" w:hAnsi="Times New Roman" w:cs="Times New Roman"/>
        </w:rPr>
        <w:lastRenderedPageBreak/>
        <w:t>límites, siendo la regla general la transparencia o acceso y la excepción su denegación o limitación, como señala la citada Norma Foral en la exposición de motivos.</w:t>
      </w:r>
    </w:p>
    <w:p w14:paraId="0DB9D42D" w14:textId="77777777" w:rsidR="00334BE8" w:rsidRDefault="00C8579D">
      <w:pPr>
        <w:spacing w:after="230" w:line="249" w:lineRule="auto"/>
        <w:ind w:left="989" w:right="270" w:hanging="10"/>
        <w:jc w:val="both"/>
      </w:pPr>
      <w:r>
        <w:rPr>
          <w:rFonts w:ascii="Times New Roman" w:eastAsia="Times New Roman" w:hAnsi="Times New Roman" w:cs="Times New Roman"/>
        </w:rPr>
        <w:t>El artículo 18 de la Ley 19/2013, al que se remite el artículo 34 de la Norma Foral 1/2017, recoge las causas de inadmisión, disponiendo en el apartado primero:</w:t>
      </w:r>
    </w:p>
    <w:p w14:paraId="2D0D87CF" w14:textId="77777777" w:rsidR="00334BE8" w:rsidRDefault="00C8579D">
      <w:pPr>
        <w:spacing w:after="227" w:line="249" w:lineRule="auto"/>
        <w:ind w:left="1004" w:hanging="10"/>
        <w:jc w:val="both"/>
      </w:pPr>
      <w:r>
        <w:rPr>
          <w:rFonts w:ascii="Times New Roman" w:eastAsia="Times New Roman" w:hAnsi="Times New Roman" w:cs="Times New Roman"/>
        </w:rPr>
        <w:t>“</w:t>
      </w:r>
      <w:r>
        <w:rPr>
          <w:rFonts w:ascii="Times New Roman" w:eastAsia="Times New Roman" w:hAnsi="Times New Roman" w:cs="Times New Roman"/>
          <w:i/>
        </w:rPr>
        <w:t>1. Se inadmitirán a trámite, mediante resolución motivada, las solicitudes:</w:t>
      </w:r>
    </w:p>
    <w:p w14:paraId="7B1FD248" w14:textId="77777777" w:rsidR="00334BE8" w:rsidRDefault="00C8579D">
      <w:pPr>
        <w:numPr>
          <w:ilvl w:val="0"/>
          <w:numId w:val="2"/>
        </w:numPr>
        <w:spacing w:after="227" w:line="249" w:lineRule="auto"/>
        <w:ind w:hanging="238"/>
        <w:jc w:val="both"/>
      </w:pPr>
      <w:r>
        <w:rPr>
          <w:rFonts w:ascii="Times New Roman" w:eastAsia="Times New Roman" w:hAnsi="Times New Roman" w:cs="Times New Roman"/>
          <w:i/>
        </w:rPr>
        <w:t>Que se refieran a información que esté en curso de elaboración o de publicación general.</w:t>
      </w:r>
    </w:p>
    <w:p w14:paraId="0ED31C4E" w14:textId="77777777" w:rsidR="00334BE8" w:rsidRDefault="00C8579D">
      <w:pPr>
        <w:numPr>
          <w:ilvl w:val="0"/>
          <w:numId w:val="2"/>
        </w:numPr>
        <w:spacing w:after="230" w:line="249" w:lineRule="auto"/>
        <w:ind w:hanging="238"/>
        <w:jc w:val="both"/>
      </w:pPr>
      <w:r>
        <w:rPr>
          <w:rFonts w:ascii="Times New Roman" w:eastAsia="Times New Roman" w:hAnsi="Times New Roman" w:cs="Times New Roman"/>
          <w:i/>
        </w:rPr>
        <w:t>Referidas a información que tenga carácter auxiliar o de apoyo como la contenida en notas, borradores, opiniones, resúmenes, comunicaciones e informes internos o entre órganos o entidades administrativas.</w:t>
      </w:r>
    </w:p>
    <w:p w14:paraId="53F19176" w14:textId="77777777" w:rsidR="00334BE8" w:rsidRDefault="00C8579D">
      <w:pPr>
        <w:numPr>
          <w:ilvl w:val="0"/>
          <w:numId w:val="2"/>
        </w:numPr>
        <w:spacing w:after="227" w:line="249" w:lineRule="auto"/>
        <w:ind w:hanging="238"/>
        <w:jc w:val="both"/>
      </w:pPr>
      <w:r>
        <w:rPr>
          <w:rFonts w:ascii="Times New Roman" w:eastAsia="Times New Roman" w:hAnsi="Times New Roman" w:cs="Times New Roman"/>
          <w:i/>
        </w:rPr>
        <w:t>Relativas a información para cuya divulgación sea necesaria una acción previa de reelaboración.</w:t>
      </w:r>
    </w:p>
    <w:p w14:paraId="75662D63" w14:textId="77777777" w:rsidR="00334BE8" w:rsidRDefault="00C8579D">
      <w:pPr>
        <w:numPr>
          <w:ilvl w:val="0"/>
          <w:numId w:val="2"/>
        </w:numPr>
        <w:spacing w:after="227" w:line="249" w:lineRule="auto"/>
        <w:ind w:hanging="238"/>
        <w:jc w:val="both"/>
      </w:pPr>
      <w:r>
        <w:rPr>
          <w:rFonts w:ascii="Times New Roman" w:eastAsia="Times New Roman" w:hAnsi="Times New Roman" w:cs="Times New Roman"/>
          <w:i/>
        </w:rPr>
        <w:t>Dirigidas a un órgano en cuyo poder no obre la información cuando se desconozca el competente.</w:t>
      </w:r>
    </w:p>
    <w:p w14:paraId="6BE820C7" w14:textId="77777777" w:rsidR="00334BE8" w:rsidRDefault="00C8579D">
      <w:pPr>
        <w:numPr>
          <w:ilvl w:val="0"/>
          <w:numId w:val="2"/>
        </w:numPr>
        <w:spacing w:after="230" w:line="249" w:lineRule="auto"/>
        <w:ind w:hanging="238"/>
        <w:jc w:val="both"/>
      </w:pPr>
      <w:r>
        <w:rPr>
          <w:rFonts w:ascii="Times New Roman" w:eastAsia="Times New Roman" w:hAnsi="Times New Roman" w:cs="Times New Roman"/>
          <w:i/>
        </w:rPr>
        <w:t>Que sean manifiestamente repetitivas o tengan un carácter abusivo no justificado con la finalidad de transparencia de esta Ley</w:t>
      </w:r>
      <w:r>
        <w:rPr>
          <w:rFonts w:ascii="Times New Roman" w:eastAsia="Times New Roman" w:hAnsi="Times New Roman" w:cs="Times New Roman"/>
        </w:rPr>
        <w:t>.”.</w:t>
      </w:r>
    </w:p>
    <w:p w14:paraId="433E6F33" w14:textId="77777777" w:rsidR="00334BE8" w:rsidRDefault="00C8579D">
      <w:pPr>
        <w:spacing w:after="230" w:line="249" w:lineRule="auto"/>
        <w:ind w:left="989" w:right="270" w:hanging="10"/>
        <w:jc w:val="both"/>
      </w:pPr>
      <w:r>
        <w:rPr>
          <w:rFonts w:ascii="Times New Roman" w:eastAsia="Times New Roman" w:hAnsi="Times New Roman" w:cs="Times New Roman"/>
        </w:rPr>
        <w:t xml:space="preserve">Esta Administración, en estricta observancia de la doctrina sentada por el Consejo de Transparencia y Buen Gobierno (Resolución 2024/2291), ha dado cumplimiento satisfactorio al derecho de acceso mediante la Resolución 1186/2026 (en respuesta a la solicitud deducida el 27 de enero de 2026). En dicho acto, se trasladó al solicitante tanto la ratio </w:t>
      </w:r>
      <w:proofErr w:type="spellStart"/>
      <w:r>
        <w:rPr>
          <w:rFonts w:ascii="Times New Roman" w:eastAsia="Times New Roman" w:hAnsi="Times New Roman" w:cs="Times New Roman"/>
        </w:rPr>
        <w:t>decidendi</w:t>
      </w:r>
      <w:proofErr w:type="spellEnd"/>
      <w:r>
        <w:rPr>
          <w:rFonts w:ascii="Times New Roman" w:eastAsia="Times New Roman" w:hAnsi="Times New Roman" w:cs="Times New Roman"/>
        </w:rPr>
        <w:t xml:space="preserve"> (la falta de evidencias que pudieran aclarar ninguna de las circunstancias expuestas en su escrito presentado ante la Ertzaintza) como los elementos fácticos que sustentan el archivo de las actuaciones, contenidos en la Resolución 897/2024.</w:t>
      </w:r>
    </w:p>
    <w:p w14:paraId="4D3CC993" w14:textId="77777777" w:rsidR="00334BE8" w:rsidRDefault="00C8579D">
      <w:pPr>
        <w:spacing w:after="230" w:line="249" w:lineRule="auto"/>
        <w:ind w:left="989" w:right="270" w:hanging="10"/>
        <w:jc w:val="both"/>
      </w:pPr>
      <w:r>
        <w:rPr>
          <w:rFonts w:ascii="Times New Roman" w:eastAsia="Times New Roman" w:hAnsi="Times New Roman" w:cs="Times New Roman"/>
        </w:rPr>
        <w:t>La información facilitada en la Resolución 1186/2026, de 25 de febrero pone en su conocimiento la actuación de esta Administración en relación con los hechos denunciados, los motivos de dicha actuación y el resultado de la misma, posibilitando el control de la actuación pública.</w:t>
      </w:r>
    </w:p>
    <w:p w14:paraId="300DE245" w14:textId="77777777" w:rsidR="00334BE8" w:rsidRDefault="00C8579D">
      <w:pPr>
        <w:spacing w:after="230" w:line="249" w:lineRule="auto"/>
        <w:ind w:left="989" w:right="270" w:hanging="10"/>
        <w:jc w:val="both"/>
      </w:pPr>
      <w:r>
        <w:rPr>
          <w:rFonts w:ascii="Times New Roman" w:eastAsia="Times New Roman" w:hAnsi="Times New Roman" w:cs="Times New Roman"/>
        </w:rPr>
        <w:t>La finalidad principal del derecho de acceso a la información pública es facilitar y asegurar que los ciudadanos conozcan cómo funciona la administración, qué decisiones se toman y cómo se utilizan los fondos públicos y permitir que la ciudadanía evalúe la gestión de los funcionarios y las instituciones, combatiendo la corrupción.</w:t>
      </w:r>
    </w:p>
    <w:p w14:paraId="1FAE510D" w14:textId="2415724B" w:rsidR="00334BE8" w:rsidRDefault="00C8579D">
      <w:pPr>
        <w:spacing w:after="230" w:line="249" w:lineRule="auto"/>
        <w:ind w:left="989" w:right="270" w:hanging="10"/>
        <w:jc w:val="both"/>
      </w:pPr>
      <w:r>
        <w:rPr>
          <w:rFonts w:ascii="Times New Roman" w:eastAsia="Times New Roman" w:hAnsi="Times New Roman" w:cs="Times New Roman"/>
        </w:rPr>
        <w:t xml:space="preserve">El hecho de que </w:t>
      </w:r>
      <w:r w:rsidRPr="00C8579D">
        <w:rPr>
          <w:rFonts w:ascii="Times New Roman" w:eastAsia="Times New Roman" w:hAnsi="Times New Roman" w:cs="Times New Roman"/>
          <w:highlight w:val="black"/>
        </w:rPr>
        <w:t>XXXXX</w:t>
      </w:r>
      <w:r>
        <w:rPr>
          <w:rFonts w:ascii="Times New Roman" w:eastAsia="Times New Roman" w:hAnsi="Times New Roman" w:cs="Times New Roman"/>
        </w:rPr>
        <w:t xml:space="preserve"> (denunciante) no esté conforme con las actuaciones administrativas que se relacionan como efectuadas en la Resolución 897/2024, de 13 de febrero, negando incluso que alguna de ella se haya practicado, es una cuestión que queda al margen del derecho de acceso a la información pública.</w:t>
      </w:r>
    </w:p>
    <w:p w14:paraId="7D682D58" w14:textId="77777777" w:rsidR="00334BE8" w:rsidRDefault="00C8579D">
      <w:pPr>
        <w:spacing w:after="230" w:line="249" w:lineRule="auto"/>
        <w:ind w:left="989" w:right="270" w:hanging="10"/>
        <w:jc w:val="both"/>
      </w:pPr>
      <w:r>
        <w:rPr>
          <w:rFonts w:ascii="Times New Roman" w:eastAsia="Times New Roman" w:hAnsi="Times New Roman" w:cs="Times New Roman"/>
        </w:rPr>
        <w:t>El ámbito objetivo del derecho de acceso se delimita en el artículo 18 de la Norma Foral 1/2017, de 8 de febrero, disponiendo “se entiende por información pública los contenidos o documentos, cualquiera que sea su formato o soporte, que obren en poder de cualquiera de los sujetos incluidos en el artículo 3 de esta Norma Foral que hayan sido elaborados o adquiridos en el ejercicio de sus funciones”  y lo que ahora se solicita no tiene cabida en dicho ámbito.</w:t>
      </w:r>
    </w:p>
    <w:p w14:paraId="20A09011" w14:textId="77777777" w:rsidR="00334BE8" w:rsidRDefault="00C8579D">
      <w:pPr>
        <w:spacing w:after="230" w:line="249" w:lineRule="auto"/>
        <w:ind w:left="989" w:right="270" w:hanging="10"/>
        <w:jc w:val="both"/>
      </w:pPr>
      <w:r>
        <w:rPr>
          <w:rFonts w:ascii="Times New Roman" w:eastAsia="Times New Roman" w:hAnsi="Times New Roman" w:cs="Times New Roman"/>
        </w:rPr>
        <w:t xml:space="preserve">El procedimiento de transparencia no constituye una vía impugnatoria ni una “segunda instancia" para rebatir decisiones administrativas. La discrepancia del solicitante respecto a las diligencias efectuadas </w:t>
      </w:r>
    </w:p>
    <w:p w14:paraId="4AC3A2D5" w14:textId="77777777" w:rsidR="00334BE8" w:rsidRDefault="00334BE8">
      <w:pPr>
        <w:sectPr w:rsidR="00334BE8">
          <w:headerReference w:type="even" r:id="rId8"/>
          <w:footerReference w:type="even" r:id="rId9"/>
          <w:pgSz w:w="11907" w:h="16840"/>
          <w:pgMar w:top="284" w:right="849" w:bottom="576" w:left="707" w:header="127" w:footer="720" w:gutter="0"/>
          <w:pgNumType w:start="0"/>
          <w:cols w:space="720"/>
          <w:titlePg/>
        </w:sectPr>
      </w:pPr>
    </w:p>
    <w:p w14:paraId="4E4AAA3B" w14:textId="77777777" w:rsidR="00334BE8" w:rsidRDefault="00C8579D">
      <w:pPr>
        <w:spacing w:after="230" w:line="249" w:lineRule="auto"/>
        <w:ind w:left="811" w:hanging="10"/>
        <w:jc w:val="both"/>
      </w:pPr>
      <w:r>
        <w:rPr>
          <w:rFonts w:ascii="Times New Roman" w:eastAsia="Times New Roman" w:hAnsi="Times New Roman" w:cs="Times New Roman"/>
        </w:rPr>
        <w:lastRenderedPageBreak/>
        <w:t>en vía administrativa es una cuestión de legalidad ordinaria, ajena a la finalidad de control social y rendición de cuentas que inspira la normativa de transparencia. Admitir lo contrario desnaturalizaría el instituto del derecho de acceso, convirtiéndolo en un cauce impropio para el debate sustantivo sobre la eficacia de la actividad inspectora o sancionadora.</w:t>
      </w:r>
    </w:p>
    <w:p w14:paraId="21718602" w14:textId="77777777" w:rsidR="00334BE8" w:rsidRDefault="00C8579D">
      <w:pPr>
        <w:spacing w:after="270" w:line="249" w:lineRule="auto"/>
        <w:ind w:left="811" w:hanging="10"/>
        <w:jc w:val="both"/>
      </w:pPr>
      <w:r>
        <w:rPr>
          <w:rFonts w:ascii="Times New Roman" w:eastAsia="Times New Roman" w:hAnsi="Times New Roman" w:cs="Times New Roman"/>
        </w:rPr>
        <w:t>La Resolución R/78/2018 del Consejo de Transparencia y Buen Gobierno de 30 de abril de 2018 analiza el carácter abusivo de una solicitud como causa de inadmisión, exponiendo:</w:t>
      </w:r>
    </w:p>
    <w:p w14:paraId="1B2EB5C6" w14:textId="77777777" w:rsidR="00334BE8" w:rsidRDefault="00C8579D">
      <w:pPr>
        <w:spacing w:after="109" w:line="249" w:lineRule="auto"/>
        <w:ind w:left="1080" w:hanging="10"/>
        <w:jc w:val="both"/>
      </w:pPr>
      <w:r>
        <w:rPr>
          <w:rFonts w:ascii="Segoe UI" w:eastAsia="Segoe UI" w:hAnsi="Segoe UI" w:cs="Segoe UI"/>
        </w:rPr>
        <w:t>«</w:t>
      </w:r>
      <w:r>
        <w:rPr>
          <w:rFonts w:ascii="Times New Roman" w:eastAsia="Times New Roman" w:hAnsi="Times New Roman" w:cs="Times New Roman"/>
          <w:i/>
        </w:rPr>
        <w:t>El ejercicio abusivo de un derecho ha sido analizado por reiterada jurisprudencia (por todas, se destaca la Sentencia de 1 de febrero de 2006 (</w:t>
      </w:r>
      <w:proofErr w:type="spellStart"/>
      <w:r>
        <w:rPr>
          <w:rFonts w:ascii="Times New Roman" w:eastAsia="Times New Roman" w:hAnsi="Times New Roman" w:cs="Times New Roman"/>
          <w:i/>
        </w:rPr>
        <w:t>rec.</w:t>
      </w:r>
      <w:proofErr w:type="spellEnd"/>
      <w:r>
        <w:rPr>
          <w:rFonts w:ascii="Times New Roman" w:eastAsia="Times New Roman" w:hAnsi="Times New Roman" w:cs="Times New Roman"/>
          <w:i/>
        </w:rPr>
        <w:t xml:space="preserve"> núm. 1820/2000). Esta doctrina jurisprudencial se basa en la existencia de unos límites impuestos al ejercicio de los derechos, límites de orden moral, teleológico y social.</w:t>
      </w:r>
    </w:p>
    <w:p w14:paraId="6A002580" w14:textId="77777777" w:rsidR="00334BE8" w:rsidRDefault="00C8579D">
      <w:pPr>
        <w:spacing w:after="109" w:line="249" w:lineRule="auto"/>
        <w:ind w:left="1080" w:hanging="10"/>
        <w:jc w:val="both"/>
      </w:pPr>
      <w:r>
        <w:rPr>
          <w:rFonts w:ascii="Times New Roman" w:eastAsia="Times New Roman" w:hAnsi="Times New Roman" w:cs="Times New Roman"/>
          <w:i/>
        </w:rPr>
        <w:t>Se trata de una institución de equidad que, para poder ser apreciada, exige la verificación de que la conducta valorada cumple los siguientes requisitos:</w:t>
      </w:r>
    </w:p>
    <w:p w14:paraId="22AB7EA9" w14:textId="77777777" w:rsidR="00334BE8" w:rsidRDefault="00C8579D">
      <w:pPr>
        <w:spacing w:after="109" w:line="249" w:lineRule="auto"/>
        <w:ind w:left="1080" w:hanging="10"/>
        <w:jc w:val="both"/>
      </w:pPr>
      <w:r>
        <w:rPr>
          <w:rFonts w:ascii="Times New Roman" w:eastAsia="Times New Roman" w:hAnsi="Times New Roman" w:cs="Times New Roman"/>
          <w:i/>
        </w:rPr>
        <w:t>(1) Aparentemente es correcta pero representa, en realidad, una extralimitación a la que la ley no concede protección alguna; y (2) Genera unos efectos negativos, normalmente daños y perjuicios.</w:t>
      </w:r>
    </w:p>
    <w:p w14:paraId="2826E719" w14:textId="77777777" w:rsidR="00334BE8" w:rsidRDefault="00C8579D">
      <w:pPr>
        <w:spacing w:after="109" w:line="249" w:lineRule="auto"/>
        <w:ind w:left="1080" w:hanging="10"/>
        <w:jc w:val="both"/>
      </w:pPr>
      <w:r>
        <w:rPr>
          <w:rFonts w:ascii="Times New Roman" w:eastAsia="Times New Roman" w:hAnsi="Times New Roman" w:cs="Times New Roman"/>
          <w:i/>
        </w:rPr>
        <w:t>Además, de la base fáctica debe resultar patente (a) una circunstancia subjetiva de ausencia de finalidad seria y legítima (voluntad de perjudicar o ausencia de interés legítimo); y (b) una circunstancia objetiva de exceso en el ejercicio del derecho (anormalidad en el ejercicio del derecho).</w:t>
      </w:r>
    </w:p>
    <w:p w14:paraId="777C6B6B" w14:textId="77777777" w:rsidR="00334BE8" w:rsidRDefault="00C8579D">
      <w:pPr>
        <w:spacing w:after="109" w:line="249" w:lineRule="auto"/>
        <w:ind w:left="1080" w:hanging="10"/>
        <w:jc w:val="both"/>
      </w:pPr>
      <w:r>
        <w:rPr>
          <w:rFonts w:ascii="Times New Roman" w:eastAsia="Times New Roman" w:hAnsi="Times New Roman" w:cs="Times New Roman"/>
          <w:i/>
        </w:rPr>
        <w:t>Aplicada esta doctrina al derecho de acceso a la información, este Consejo de Transparencia y Buen Gobierno, en ejercicio de las competencias legalmente atribuidas por el art. 38.2 a), aprobó el criterio interpretativo 3/2016, que se pronuncia en los siguientes términos:</w:t>
      </w:r>
    </w:p>
    <w:p w14:paraId="7B31D0B1" w14:textId="77777777" w:rsidR="00334BE8" w:rsidRDefault="00C8579D">
      <w:pPr>
        <w:spacing w:after="109" w:line="249" w:lineRule="auto"/>
        <w:ind w:left="1080" w:hanging="10"/>
        <w:jc w:val="both"/>
      </w:pPr>
      <w:r>
        <w:rPr>
          <w:rFonts w:ascii="Times New Roman" w:eastAsia="Times New Roman" w:hAnsi="Times New Roman" w:cs="Times New Roman"/>
          <w:i/>
        </w:rPr>
        <w:t>2.2. Respecto del carácter abusivo de la petición de información.</w:t>
      </w:r>
    </w:p>
    <w:p w14:paraId="41201B00" w14:textId="77777777" w:rsidR="00334BE8" w:rsidRDefault="00C8579D">
      <w:pPr>
        <w:spacing w:after="109" w:line="249" w:lineRule="auto"/>
        <w:ind w:left="1080" w:hanging="10"/>
        <w:jc w:val="both"/>
      </w:pPr>
      <w:r>
        <w:rPr>
          <w:rFonts w:ascii="Times New Roman" w:eastAsia="Times New Roman" w:hAnsi="Times New Roman" w:cs="Times New Roman"/>
          <w:i/>
        </w:rPr>
        <w:t>El artículo 18.1. e) de la LTAIBG asocia el carácter abusivo de la solicitud a la condición de que la petición “no esté justificada con la finalidad de la Ley”.</w:t>
      </w:r>
    </w:p>
    <w:p w14:paraId="07B89CDB" w14:textId="77777777" w:rsidR="00334BE8" w:rsidRDefault="00C8579D">
      <w:pPr>
        <w:spacing w:after="109" w:line="249" w:lineRule="auto"/>
        <w:ind w:left="1080" w:hanging="10"/>
        <w:jc w:val="both"/>
      </w:pPr>
      <w:r>
        <w:rPr>
          <w:rFonts w:ascii="Times New Roman" w:eastAsia="Times New Roman" w:hAnsi="Times New Roman" w:cs="Times New Roman"/>
          <w:i/>
        </w:rPr>
        <w:t>De este modo hay dos elementos esenciales para la aplicación de esta causa de inadmisión:</w:t>
      </w:r>
    </w:p>
    <w:p w14:paraId="50662678" w14:textId="77777777" w:rsidR="00334BE8" w:rsidRDefault="00C8579D">
      <w:pPr>
        <w:numPr>
          <w:ilvl w:val="0"/>
          <w:numId w:val="3"/>
        </w:numPr>
        <w:spacing w:after="109" w:line="249" w:lineRule="auto"/>
        <w:ind w:hanging="10"/>
        <w:jc w:val="both"/>
      </w:pPr>
      <w:r>
        <w:rPr>
          <w:rFonts w:ascii="Times New Roman" w:eastAsia="Times New Roman" w:hAnsi="Times New Roman" w:cs="Times New Roman"/>
          <w:i/>
        </w:rPr>
        <w:t>Que el ejercicio del derecho sea abusivo cualitativamente, no en sentido cuantitativo: el hecho de que una misma persona presente un número determinado de solicitudes no determina necesariamente un ejercicio abusivo del derecho, y</w:t>
      </w:r>
    </w:p>
    <w:p w14:paraId="79DEAA2C" w14:textId="77777777" w:rsidR="00334BE8" w:rsidRDefault="00C8579D">
      <w:pPr>
        <w:numPr>
          <w:ilvl w:val="0"/>
          <w:numId w:val="3"/>
        </w:numPr>
        <w:spacing w:after="109" w:line="249" w:lineRule="auto"/>
        <w:ind w:hanging="10"/>
        <w:jc w:val="both"/>
      </w:pPr>
      <w:r>
        <w:rPr>
          <w:rFonts w:ascii="Times New Roman" w:eastAsia="Times New Roman" w:hAnsi="Times New Roman" w:cs="Times New Roman"/>
          <w:i/>
        </w:rPr>
        <w:t>Que el ejercicio del derecho pueda considerarse excesivo, es decir, cuando no llegue a conjugarse con la finalidad de la Ley.</w:t>
      </w:r>
    </w:p>
    <w:p w14:paraId="6E335F5B" w14:textId="77777777" w:rsidR="00334BE8" w:rsidRDefault="00C8579D">
      <w:pPr>
        <w:spacing w:after="109" w:line="249" w:lineRule="auto"/>
        <w:ind w:left="1080" w:hanging="10"/>
        <w:jc w:val="both"/>
      </w:pPr>
      <w:r>
        <w:rPr>
          <w:rFonts w:ascii="Times New Roman" w:eastAsia="Times New Roman" w:hAnsi="Times New Roman" w:cs="Times New Roman"/>
          <w:i/>
        </w:rPr>
        <w:t>1. Así, una solicitud puede entenderse ABUSIVA cuando se encuentre en alguno de los supuestos o se den alguno de los elementos que se mencionan a continuación:</w:t>
      </w:r>
    </w:p>
    <w:p w14:paraId="43DE0C30" w14:textId="77777777" w:rsidR="00334BE8" w:rsidRDefault="00C8579D">
      <w:pPr>
        <w:numPr>
          <w:ilvl w:val="0"/>
          <w:numId w:val="4"/>
        </w:numPr>
        <w:spacing w:after="109" w:line="249" w:lineRule="auto"/>
        <w:ind w:hanging="128"/>
        <w:jc w:val="both"/>
      </w:pPr>
      <w:r>
        <w:rPr>
          <w:rFonts w:ascii="Times New Roman" w:eastAsia="Times New Roman" w:hAnsi="Times New Roman" w:cs="Times New Roman"/>
          <w:i/>
        </w:rPr>
        <w:t>Con carácter general, en aquellos casos en que pueda considerase incluida en el concepto de abuso de derecho recogido en el artículo 7.2 del Código Civil y avalado por la jurisprudencia, esto es: “Todo acto u omisión que por la intención de su autor, por su objeto o por las circunstancias en que se realice sobrepase manifiestamente los límites normales del ejercicio de un derecho”.</w:t>
      </w:r>
    </w:p>
    <w:p w14:paraId="38865718" w14:textId="77777777" w:rsidR="00334BE8" w:rsidRDefault="00C8579D">
      <w:pPr>
        <w:numPr>
          <w:ilvl w:val="0"/>
          <w:numId w:val="4"/>
        </w:numPr>
        <w:spacing w:after="109" w:line="249" w:lineRule="auto"/>
        <w:ind w:hanging="128"/>
        <w:jc w:val="both"/>
      </w:pPr>
      <w:r>
        <w:rPr>
          <w:rFonts w:ascii="Times New Roman" w:eastAsia="Times New Roman" w:hAnsi="Times New Roman" w:cs="Times New Roman"/>
          <w:i/>
        </w:rPr>
        <w:t>Cuando, de ser atendida, requiriera un tratamiento que obligara a paralizar el resto de la gestión de los sujetos obligados a suministrar la información, impidiendo la atención justa y equitativa de su trabajo y el servicio público que tienen encomendado, y así resulte de acuerdo con una ponderación razonada y basada en indicadores objetivos</w:t>
      </w:r>
    </w:p>
    <w:p w14:paraId="14C7FC67" w14:textId="77777777" w:rsidR="00334BE8" w:rsidRDefault="00C8579D">
      <w:pPr>
        <w:numPr>
          <w:ilvl w:val="0"/>
          <w:numId w:val="4"/>
        </w:numPr>
        <w:spacing w:after="109" w:line="249" w:lineRule="auto"/>
        <w:ind w:hanging="128"/>
        <w:jc w:val="both"/>
      </w:pPr>
      <w:r>
        <w:rPr>
          <w:rFonts w:ascii="Times New Roman" w:eastAsia="Times New Roman" w:hAnsi="Times New Roman" w:cs="Times New Roman"/>
          <w:i/>
        </w:rPr>
        <w:t>Cuando suponga un riesgo para los derechos de terceros.</w:t>
      </w:r>
    </w:p>
    <w:p w14:paraId="572AB63C" w14:textId="77777777" w:rsidR="00334BE8" w:rsidRDefault="00C8579D">
      <w:pPr>
        <w:numPr>
          <w:ilvl w:val="0"/>
          <w:numId w:val="4"/>
        </w:numPr>
        <w:spacing w:after="109" w:line="249" w:lineRule="auto"/>
        <w:ind w:hanging="128"/>
        <w:jc w:val="both"/>
      </w:pPr>
      <w:r>
        <w:rPr>
          <w:rFonts w:ascii="Times New Roman" w:eastAsia="Times New Roman" w:hAnsi="Times New Roman" w:cs="Times New Roman"/>
          <w:i/>
        </w:rPr>
        <w:t>Cuando sea contraria a las normas, las costumbres o la buena fe.</w:t>
      </w:r>
    </w:p>
    <w:p w14:paraId="1C9E0C31" w14:textId="77777777" w:rsidR="00334BE8" w:rsidRDefault="00C8579D">
      <w:pPr>
        <w:spacing w:after="109" w:line="249" w:lineRule="auto"/>
        <w:ind w:left="1080" w:hanging="10"/>
        <w:jc w:val="both"/>
      </w:pPr>
      <w:r>
        <w:rPr>
          <w:rFonts w:ascii="Times New Roman" w:eastAsia="Times New Roman" w:hAnsi="Times New Roman" w:cs="Times New Roman"/>
          <w:i/>
        </w:rPr>
        <w:lastRenderedPageBreak/>
        <w:t>2. Se considerará que la solicitud está JUSTIFICADA CON LA FINALIDAD DE LA LEY cuando se fundamenta en el interés legítimo de:</w:t>
      </w:r>
    </w:p>
    <w:p w14:paraId="764678F5" w14:textId="77777777" w:rsidR="00334BE8" w:rsidRDefault="00C8579D">
      <w:pPr>
        <w:numPr>
          <w:ilvl w:val="0"/>
          <w:numId w:val="5"/>
        </w:numPr>
        <w:spacing w:after="109" w:line="249" w:lineRule="auto"/>
        <w:ind w:hanging="128"/>
        <w:jc w:val="both"/>
      </w:pPr>
      <w:r>
        <w:rPr>
          <w:rFonts w:ascii="Times New Roman" w:eastAsia="Times New Roman" w:hAnsi="Times New Roman" w:cs="Times New Roman"/>
          <w:i/>
        </w:rPr>
        <w:t>Someter a escrutinio la acción de los responsables públicos</w:t>
      </w:r>
    </w:p>
    <w:p w14:paraId="089B41F3" w14:textId="77777777" w:rsidR="00334BE8" w:rsidRDefault="00C8579D">
      <w:pPr>
        <w:numPr>
          <w:ilvl w:val="0"/>
          <w:numId w:val="5"/>
        </w:numPr>
        <w:spacing w:after="109" w:line="249" w:lineRule="auto"/>
        <w:ind w:hanging="128"/>
        <w:jc w:val="both"/>
      </w:pPr>
      <w:r>
        <w:rPr>
          <w:rFonts w:ascii="Times New Roman" w:eastAsia="Times New Roman" w:hAnsi="Times New Roman" w:cs="Times New Roman"/>
          <w:i/>
        </w:rPr>
        <w:t>Conocer cómo se toman las decisiones públicas</w:t>
      </w:r>
    </w:p>
    <w:p w14:paraId="473DACF7" w14:textId="77777777" w:rsidR="00334BE8" w:rsidRDefault="00C8579D">
      <w:pPr>
        <w:numPr>
          <w:ilvl w:val="0"/>
          <w:numId w:val="5"/>
        </w:numPr>
        <w:spacing w:after="109" w:line="249" w:lineRule="auto"/>
        <w:ind w:hanging="128"/>
        <w:jc w:val="both"/>
      </w:pPr>
      <w:r>
        <w:rPr>
          <w:rFonts w:ascii="Times New Roman" w:eastAsia="Times New Roman" w:hAnsi="Times New Roman" w:cs="Times New Roman"/>
          <w:i/>
        </w:rPr>
        <w:t>Conocer cómo se manejan los fondos públicos</w:t>
      </w:r>
    </w:p>
    <w:p w14:paraId="24216795" w14:textId="77777777" w:rsidR="00334BE8" w:rsidRDefault="00C8579D">
      <w:pPr>
        <w:numPr>
          <w:ilvl w:val="0"/>
          <w:numId w:val="5"/>
        </w:numPr>
        <w:spacing w:after="109" w:line="249" w:lineRule="auto"/>
        <w:ind w:hanging="128"/>
        <w:jc w:val="both"/>
      </w:pPr>
      <w:r>
        <w:rPr>
          <w:rFonts w:ascii="Times New Roman" w:eastAsia="Times New Roman" w:hAnsi="Times New Roman" w:cs="Times New Roman"/>
          <w:i/>
        </w:rPr>
        <w:t>Conocer bajo qué criterios actúan las instituciones públicas</w:t>
      </w:r>
    </w:p>
    <w:p w14:paraId="308F8F87" w14:textId="77777777" w:rsidR="00334BE8" w:rsidRDefault="00C8579D">
      <w:pPr>
        <w:spacing w:after="109" w:line="249" w:lineRule="auto"/>
        <w:ind w:left="1080" w:hanging="10"/>
        <w:jc w:val="both"/>
      </w:pPr>
      <w:r>
        <w:rPr>
          <w:rFonts w:ascii="Times New Roman" w:eastAsia="Times New Roman" w:hAnsi="Times New Roman" w:cs="Times New Roman"/>
          <w:i/>
        </w:rPr>
        <w:t>Consecuentemente, NO ESTARÁ JUSTIFICADA CON LA FINALIDAD DE LA LEY cuando:</w:t>
      </w:r>
    </w:p>
    <w:p w14:paraId="0E820410" w14:textId="77777777" w:rsidR="00334BE8" w:rsidRDefault="00C8579D">
      <w:pPr>
        <w:numPr>
          <w:ilvl w:val="0"/>
          <w:numId w:val="5"/>
        </w:numPr>
        <w:spacing w:after="109" w:line="249" w:lineRule="auto"/>
        <w:ind w:hanging="128"/>
        <w:jc w:val="both"/>
      </w:pPr>
      <w:r>
        <w:rPr>
          <w:rFonts w:ascii="Times New Roman" w:eastAsia="Times New Roman" w:hAnsi="Times New Roman" w:cs="Times New Roman"/>
          <w:i/>
        </w:rPr>
        <w:t>No pueda ser reconducida a ninguna de las finalidades señaladas con anterioridad y así resulte de acuerdo con una ponderación razonada y basada en indicadores objetivos.</w:t>
      </w:r>
    </w:p>
    <w:p w14:paraId="2CE2A15F" w14:textId="77777777" w:rsidR="00334BE8" w:rsidRDefault="00C8579D">
      <w:pPr>
        <w:numPr>
          <w:ilvl w:val="0"/>
          <w:numId w:val="5"/>
        </w:numPr>
        <w:spacing w:after="109" w:line="249" w:lineRule="auto"/>
        <w:ind w:hanging="128"/>
        <w:jc w:val="both"/>
      </w:pPr>
      <w:r>
        <w:rPr>
          <w:rFonts w:ascii="Times New Roman" w:eastAsia="Times New Roman" w:hAnsi="Times New Roman" w:cs="Times New Roman"/>
          <w:i/>
        </w:rPr>
        <w:t>Cuando tenga por finalidad patente y manifiesta obtener información que carezca de la consideración de información pública de acuerdo con la definición del artículo 13 de la LTAIBG.</w:t>
      </w:r>
    </w:p>
    <w:p w14:paraId="0D557EE6" w14:textId="77777777" w:rsidR="00334BE8" w:rsidRDefault="00C8579D">
      <w:pPr>
        <w:numPr>
          <w:ilvl w:val="0"/>
          <w:numId w:val="5"/>
        </w:numPr>
        <w:spacing w:after="109" w:line="249" w:lineRule="auto"/>
        <w:ind w:hanging="128"/>
        <w:jc w:val="both"/>
      </w:pPr>
      <w:r>
        <w:rPr>
          <w:rFonts w:ascii="Times New Roman" w:eastAsia="Times New Roman" w:hAnsi="Times New Roman" w:cs="Times New Roman"/>
          <w:i/>
        </w:rPr>
        <w:t>Cuando tenga como objeto o posible consecuencia la comisión de un ilícito civil o penal o una falta administrativa.</w:t>
      </w:r>
    </w:p>
    <w:p w14:paraId="23F1F8AD" w14:textId="77777777" w:rsidR="00334BE8" w:rsidRDefault="00C8579D">
      <w:pPr>
        <w:spacing w:after="109" w:line="249" w:lineRule="auto"/>
        <w:ind w:left="1080" w:hanging="10"/>
        <w:jc w:val="both"/>
      </w:pPr>
      <w:r>
        <w:rPr>
          <w:rFonts w:ascii="Times New Roman" w:eastAsia="Times New Roman" w:hAnsi="Times New Roman" w:cs="Times New Roman"/>
          <w:i/>
        </w:rPr>
        <w:t>4 Por otro lado debe señalarse que el artículo 7 del Código Civil dispone que:</w:t>
      </w:r>
    </w:p>
    <w:p w14:paraId="14DDC464" w14:textId="77777777" w:rsidR="00334BE8" w:rsidRDefault="00C8579D">
      <w:pPr>
        <w:numPr>
          <w:ilvl w:val="0"/>
          <w:numId w:val="6"/>
        </w:numPr>
        <w:spacing w:after="109" w:line="249" w:lineRule="auto"/>
        <w:ind w:hanging="10"/>
        <w:jc w:val="both"/>
      </w:pPr>
      <w:r>
        <w:rPr>
          <w:rFonts w:ascii="Times New Roman" w:eastAsia="Times New Roman" w:hAnsi="Times New Roman" w:cs="Times New Roman"/>
          <w:i/>
        </w:rPr>
        <w:t>Los derechos deberán ejercitarse conforme a las exigencias de la buena fe. La ley no ampara el abuso del derecho o el ejercicio antisocial del mismo. Todo acto u omisión que:</w:t>
      </w:r>
    </w:p>
    <w:p w14:paraId="1AC3E501" w14:textId="77777777" w:rsidR="00334BE8" w:rsidRDefault="00C8579D">
      <w:pPr>
        <w:spacing w:after="0" w:line="351" w:lineRule="auto"/>
        <w:ind w:left="1080" w:right="5977" w:hanging="10"/>
        <w:jc w:val="both"/>
      </w:pPr>
      <w:r>
        <w:rPr>
          <w:rFonts w:ascii="Times New Roman" w:eastAsia="Times New Roman" w:hAnsi="Times New Roman" w:cs="Times New Roman"/>
          <w:i/>
        </w:rPr>
        <w:t>por la intención de su autor, por su objeto o</w:t>
      </w:r>
    </w:p>
    <w:p w14:paraId="68352570" w14:textId="77777777" w:rsidR="00334BE8" w:rsidRDefault="00C8579D">
      <w:pPr>
        <w:spacing w:after="109" w:line="249" w:lineRule="auto"/>
        <w:ind w:left="1080" w:hanging="10"/>
        <w:jc w:val="both"/>
      </w:pPr>
      <w:r>
        <w:rPr>
          <w:rFonts w:ascii="Times New Roman" w:eastAsia="Times New Roman" w:hAnsi="Times New Roman" w:cs="Times New Roman"/>
          <w:i/>
        </w:rPr>
        <w:t>por las circunstancias en que se realice, sobrepase manifiestamente los límites normales del ejercicio de un derecho, con daño para tercero, dará lugar ...a la adopción de las medidas ...administrativas que impidan la persistencia en el abuso.</w:t>
      </w:r>
    </w:p>
    <w:p w14:paraId="59EA1DDE" w14:textId="77777777" w:rsidR="00334BE8" w:rsidRDefault="00C8579D">
      <w:pPr>
        <w:spacing w:after="109" w:line="249" w:lineRule="auto"/>
        <w:ind w:left="1080" w:hanging="10"/>
        <w:jc w:val="both"/>
      </w:pPr>
      <w:r>
        <w:rPr>
          <w:rFonts w:ascii="Times New Roman" w:eastAsia="Times New Roman" w:hAnsi="Times New Roman" w:cs="Times New Roman"/>
          <w:i/>
        </w:rPr>
        <w:t>Según numerosas sentencias (SS 14/2/86, 29/11/85, 7/5/93, 8/6/94, 21/9/87, 30/5/98,11/5/91, entre otras), el abuso de derecho:</w:t>
      </w:r>
    </w:p>
    <w:p w14:paraId="0588A1DF" w14:textId="77777777" w:rsidR="00334BE8" w:rsidRDefault="00C8579D">
      <w:pPr>
        <w:numPr>
          <w:ilvl w:val="0"/>
          <w:numId w:val="6"/>
        </w:numPr>
        <w:spacing w:after="109" w:line="249" w:lineRule="auto"/>
        <w:ind w:hanging="10"/>
        <w:jc w:val="both"/>
      </w:pPr>
      <w:r>
        <w:rPr>
          <w:rFonts w:ascii="Times New Roman" w:eastAsia="Times New Roman" w:hAnsi="Times New Roman" w:cs="Times New Roman"/>
          <w:i/>
        </w:rPr>
        <w:t>presupone carencia de buena fe. La buena o mala fe es un concepto jurídico que se apoya en la valoración de conductas deducidas de unos hechos. Para la apreciación de la buena fe (ésta, según doctrina se presume) o mala fe (que debe acreditarse) hay que tener en cuenta hechos y circunstancias que aparezcan probados.</w:t>
      </w:r>
    </w:p>
    <w:p w14:paraId="65B6A1C8" w14:textId="77777777" w:rsidR="00334BE8" w:rsidRDefault="00C8579D">
      <w:pPr>
        <w:numPr>
          <w:ilvl w:val="0"/>
          <w:numId w:val="6"/>
        </w:numPr>
        <w:spacing w:after="109" w:line="249" w:lineRule="auto"/>
        <w:ind w:hanging="10"/>
        <w:jc w:val="both"/>
      </w:pPr>
      <w:r>
        <w:rPr>
          <w:rFonts w:ascii="Times New Roman" w:eastAsia="Times New Roman" w:hAnsi="Times New Roman" w:cs="Times New Roman"/>
          <w:i/>
        </w:rPr>
        <w:t>impone la exigencia de una conducta ética en el ejercicio de los derechos. El abuso de derecho procede cuando el derecho se ejercita con intención decidida de causar daño a otro o utilizándolo de modo anormal. Su apreciación exige que la base fáctica ponga de manifiesto las circunstancias objetivas (anormalidad en el ejercicio) y las subjetivas (ausencia de interés legítimo o voluntad de perjudicar).</w:t>
      </w:r>
    </w:p>
    <w:p w14:paraId="2A695138" w14:textId="77777777" w:rsidR="00334BE8" w:rsidRDefault="00C8579D">
      <w:pPr>
        <w:numPr>
          <w:ilvl w:val="0"/>
          <w:numId w:val="6"/>
        </w:numPr>
        <w:spacing w:after="109" w:line="249" w:lineRule="auto"/>
        <w:ind w:hanging="10"/>
        <w:jc w:val="both"/>
      </w:pPr>
      <w:r>
        <w:rPr>
          <w:rFonts w:ascii="Times New Roman" w:eastAsia="Times New Roman" w:hAnsi="Times New Roman" w:cs="Times New Roman"/>
          <w:i/>
        </w:rPr>
        <w:t>El abuso viene determinado por la circunstancia subjetiva de ausencia de finalidad seria y legítima y la objetiva de exceso en el ejercicio del derecho.</w:t>
      </w:r>
    </w:p>
    <w:p w14:paraId="255DA9D6" w14:textId="77777777" w:rsidR="00334BE8" w:rsidRDefault="00C8579D">
      <w:pPr>
        <w:spacing w:after="109" w:line="249" w:lineRule="auto"/>
        <w:ind w:left="1080" w:hanging="10"/>
        <w:jc w:val="both"/>
      </w:pPr>
      <w:r>
        <w:rPr>
          <w:rFonts w:ascii="Times New Roman" w:eastAsia="Times New Roman" w:hAnsi="Times New Roman" w:cs="Times New Roman"/>
          <w:i/>
        </w:rPr>
        <w:t>Una interpretación del derecho de acceso a la información pública regulado en la Ley 19/2013 que implique un ejercicio excesivo e indiscriminado del mismo afectaría en sí mismo, perjudicándolo, el objeto y finalidad de la propia norma.</w:t>
      </w:r>
    </w:p>
    <w:p w14:paraId="15493E14" w14:textId="77777777" w:rsidR="00334BE8" w:rsidRDefault="00C8579D">
      <w:pPr>
        <w:spacing w:after="206" w:line="249" w:lineRule="auto"/>
        <w:ind w:left="1080" w:hanging="10"/>
        <w:jc w:val="both"/>
      </w:pPr>
      <w:r>
        <w:rPr>
          <w:rFonts w:ascii="Times New Roman" w:eastAsia="Times New Roman" w:hAnsi="Times New Roman" w:cs="Times New Roman"/>
          <w:i/>
        </w:rPr>
        <w:t>A este respecto, deben tenerse en cuenta los elementos de carácter subjetivo y objetivo para evaluar la finalidad que motiva la presentación por el interesado de la reclamación objeto de esta resolución</w:t>
      </w:r>
      <w:r>
        <w:rPr>
          <w:rFonts w:ascii="Times New Roman" w:eastAsia="Times New Roman" w:hAnsi="Times New Roman" w:cs="Times New Roman"/>
        </w:rPr>
        <w:t>.</w:t>
      </w:r>
      <w:r>
        <w:rPr>
          <w:rFonts w:ascii="Segoe UI" w:eastAsia="Segoe UI" w:hAnsi="Segoe UI" w:cs="Segoe UI"/>
        </w:rPr>
        <w:t>»</w:t>
      </w:r>
    </w:p>
    <w:p w14:paraId="35DF35BF" w14:textId="77777777" w:rsidR="00334BE8" w:rsidRDefault="00C8579D">
      <w:pPr>
        <w:spacing w:after="230" w:line="249" w:lineRule="auto"/>
        <w:ind w:left="811" w:hanging="10"/>
        <w:jc w:val="both"/>
      </w:pPr>
      <w:r>
        <w:rPr>
          <w:rFonts w:ascii="Times New Roman" w:eastAsia="Times New Roman" w:hAnsi="Times New Roman" w:cs="Times New Roman"/>
        </w:rPr>
        <w:lastRenderedPageBreak/>
        <w:t>En el presente caso, se considera que la solicitud incurre en la causa de inadmisión prevista en la letra e) del artículo 18 conforme a la doctrina expuesta.</w:t>
      </w:r>
    </w:p>
    <w:p w14:paraId="4F1DA7DE" w14:textId="77777777" w:rsidR="00334BE8" w:rsidRDefault="00C8579D">
      <w:pPr>
        <w:spacing w:after="230" w:line="249" w:lineRule="auto"/>
        <w:ind w:left="811" w:hanging="10"/>
        <w:jc w:val="both"/>
      </w:pPr>
      <w:r>
        <w:rPr>
          <w:rFonts w:ascii="Times New Roman" w:eastAsia="Times New Roman" w:hAnsi="Times New Roman" w:cs="Times New Roman"/>
        </w:rPr>
        <w:t xml:space="preserve">La pretensión actual del interesado no se encamina a la obtención de información pública en los términos del artículo 18 de la Norma Foral 1/2017, sino que constituye una manifestación de disconformidad material con el contenido y resultado de la actividad inspectora. </w:t>
      </w:r>
    </w:p>
    <w:p w14:paraId="3FBDD46D" w14:textId="77777777" w:rsidR="00334BE8" w:rsidRDefault="00C8579D">
      <w:pPr>
        <w:spacing w:after="230" w:line="249" w:lineRule="auto"/>
        <w:ind w:left="811" w:hanging="10"/>
        <w:jc w:val="both"/>
      </w:pPr>
      <w:r>
        <w:rPr>
          <w:rFonts w:ascii="Times New Roman" w:eastAsia="Times New Roman" w:hAnsi="Times New Roman" w:cs="Times New Roman"/>
        </w:rPr>
        <w:t>El derecho de acceso a la información pública ha sido plenamente satisfecho mediante la Resolución 1186/2026, de 25 de febrero.</w:t>
      </w:r>
    </w:p>
    <w:p w14:paraId="708B3F33" w14:textId="77777777" w:rsidR="00334BE8" w:rsidRDefault="00C8579D">
      <w:pPr>
        <w:spacing w:after="230" w:line="249" w:lineRule="auto"/>
        <w:ind w:left="811" w:hanging="10"/>
        <w:jc w:val="both"/>
      </w:pPr>
      <w:r>
        <w:rPr>
          <w:rFonts w:ascii="Times New Roman" w:eastAsia="Times New Roman" w:hAnsi="Times New Roman" w:cs="Times New Roman"/>
        </w:rPr>
        <w:t>Cuanto antecede lleva a concluir que concurre en el presente caso la causa de inadmisión referida en el apartado e) al tener un carácter abusivo no justificado con la finalidad de transparencia de la ley.</w:t>
      </w:r>
    </w:p>
    <w:p w14:paraId="29046D0F" w14:textId="77777777" w:rsidR="00334BE8" w:rsidRDefault="00C8579D">
      <w:pPr>
        <w:spacing w:after="230" w:line="249" w:lineRule="auto"/>
        <w:ind w:left="811" w:hanging="10"/>
        <w:jc w:val="both"/>
      </w:pPr>
      <w:r>
        <w:rPr>
          <w:rFonts w:ascii="Times New Roman" w:eastAsia="Times New Roman" w:hAnsi="Times New Roman" w:cs="Times New Roman"/>
        </w:rPr>
        <w:t>En su virtud, haciendo uso de las competencias que me han sido otorgadas por la Orden Foral 432/2025, de 17 de diciembre, por la que se delega en la persona titular de la Dirección de Agricultura la competencia para resolver las solicitudes de acceso a la información pública previstas en la Norma Foral 1/2017, de 8 febrero, de transparencia, participación ciudadana y buen gobierno del sector público del Territorio Histórico de Álava.</w:t>
      </w:r>
    </w:p>
    <w:p w14:paraId="29D890B9" w14:textId="77777777" w:rsidR="00334BE8" w:rsidRDefault="00C8579D">
      <w:pPr>
        <w:spacing w:after="458"/>
        <w:ind w:left="801"/>
        <w:jc w:val="center"/>
      </w:pPr>
      <w:r>
        <w:rPr>
          <w:rFonts w:ascii="Times New Roman" w:eastAsia="Times New Roman" w:hAnsi="Times New Roman" w:cs="Times New Roman"/>
          <w:b/>
        </w:rPr>
        <w:t>RESUELVO</w:t>
      </w:r>
    </w:p>
    <w:p w14:paraId="7434CC7D" w14:textId="6A30B7E3" w:rsidR="00334BE8" w:rsidRDefault="00C8579D">
      <w:pPr>
        <w:spacing w:after="230" w:line="249" w:lineRule="auto"/>
        <w:ind w:left="794" w:hanging="10"/>
        <w:jc w:val="both"/>
      </w:pPr>
      <w:r>
        <w:rPr>
          <w:rFonts w:ascii="Times New Roman" w:eastAsia="Times New Roman" w:hAnsi="Times New Roman" w:cs="Times New Roman"/>
        </w:rPr>
        <w:t xml:space="preserve">Primero. Inadmitir la solicitud de acceso a la información pública presentada por </w:t>
      </w:r>
      <w:r w:rsidRPr="00C8579D">
        <w:rPr>
          <w:rFonts w:ascii="Times New Roman" w:eastAsia="Times New Roman" w:hAnsi="Times New Roman" w:cs="Times New Roman"/>
          <w:highlight w:val="black"/>
        </w:rPr>
        <w:t>XXXXX</w:t>
      </w:r>
      <w:r>
        <w:rPr>
          <w:rFonts w:ascii="Times New Roman" w:eastAsia="Times New Roman" w:hAnsi="Times New Roman" w:cs="Times New Roman"/>
        </w:rPr>
        <w:t xml:space="preserve"> con fecha 4 de marzo de 2026.</w:t>
      </w:r>
    </w:p>
    <w:p w14:paraId="2895DBF6" w14:textId="77777777" w:rsidR="00334BE8" w:rsidRDefault="00C8579D">
      <w:pPr>
        <w:spacing w:after="230" w:line="249" w:lineRule="auto"/>
        <w:ind w:left="794" w:hanging="10"/>
        <w:jc w:val="both"/>
      </w:pPr>
      <w:r>
        <w:rPr>
          <w:rFonts w:ascii="Times New Roman" w:eastAsia="Times New Roman" w:hAnsi="Times New Roman" w:cs="Times New Roman"/>
        </w:rPr>
        <w:t>Segundo. Contra la presente resolución, que pone fin a la vía administrativa, podrá interponerse recurso contencioso-administrativo ante la Sección de lo Contencioso-Administrativo del Tribunal de Instancia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18242C49" w14:textId="77777777" w:rsidR="00334BE8" w:rsidRDefault="00C8579D">
      <w:pPr>
        <w:spacing w:after="1534" w:line="249" w:lineRule="auto"/>
        <w:ind w:left="811" w:right="270" w:hanging="10"/>
        <w:jc w:val="both"/>
      </w:pPr>
      <w:r>
        <w:rPr>
          <w:rFonts w:ascii="Times New Roman" w:eastAsia="Times New Roman" w:hAnsi="Times New Roman" w:cs="Times New Roman"/>
        </w:rPr>
        <w:t>Vitoria-Gasteiz.</w:t>
      </w:r>
    </w:p>
    <w:p w14:paraId="3EC39DAC" w14:textId="77777777" w:rsidR="00334BE8" w:rsidRDefault="00C8579D">
      <w:pPr>
        <w:pStyle w:val="Ttulo1"/>
        <w:ind w:left="866"/>
      </w:pPr>
      <w:r>
        <w:t>David Fernández Sarabia</w:t>
      </w:r>
    </w:p>
    <w:p w14:paraId="7184AF51" w14:textId="77777777" w:rsidR="00334BE8" w:rsidRDefault="00C8579D">
      <w:pPr>
        <w:spacing w:after="10" w:line="249" w:lineRule="auto"/>
        <w:ind w:left="881" w:right="270" w:hanging="10"/>
        <w:jc w:val="both"/>
      </w:pPr>
      <w:proofErr w:type="spellStart"/>
      <w:r>
        <w:rPr>
          <w:rFonts w:ascii="Times New Roman" w:eastAsia="Times New Roman" w:hAnsi="Times New Roman" w:cs="Times New Roman"/>
        </w:rPr>
        <w:t>Nekazaritza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p>
    <w:p w14:paraId="0A469C7B" w14:textId="77777777" w:rsidR="00334BE8" w:rsidRDefault="00C8579D">
      <w:pPr>
        <w:spacing w:after="2050" w:line="249" w:lineRule="auto"/>
        <w:ind w:left="881" w:right="270" w:hanging="10"/>
        <w:jc w:val="both"/>
      </w:pPr>
      <w:r>
        <w:rPr>
          <w:rFonts w:ascii="Times New Roman" w:eastAsia="Times New Roman" w:hAnsi="Times New Roman" w:cs="Times New Roman"/>
        </w:rPr>
        <w:t>Director de Agricultura</w:t>
      </w:r>
    </w:p>
    <w:sectPr w:rsidR="00334BE8">
      <w:headerReference w:type="even" r:id="rId10"/>
      <w:headerReference w:type="default" r:id="rId11"/>
      <w:footerReference w:type="even" r:id="rId12"/>
      <w:footerReference w:type="default" r:id="rId13"/>
      <w:headerReference w:type="first" r:id="rId14"/>
      <w:footerReference w:type="first" r:id="rId15"/>
      <w:pgSz w:w="11907" w:h="16840"/>
      <w:pgMar w:top="2888" w:right="1134" w:bottom="167" w:left="900" w:header="127"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6AD2" w14:textId="77777777" w:rsidR="00C8579D" w:rsidRDefault="00C8579D">
      <w:pPr>
        <w:spacing w:after="0" w:line="240" w:lineRule="auto"/>
      </w:pPr>
      <w:r>
        <w:separator/>
      </w:r>
    </w:p>
  </w:endnote>
  <w:endnote w:type="continuationSeparator" w:id="0">
    <w:p w14:paraId="606B009E" w14:textId="77777777" w:rsidR="00C8579D" w:rsidRDefault="00C85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A7DC" w14:textId="77777777" w:rsidR="00334BE8" w:rsidRDefault="00C8579D">
    <w:pPr>
      <w:spacing w:after="0"/>
      <w:ind w:right="72"/>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4F64" w14:textId="77777777" w:rsidR="00334BE8" w:rsidRDefault="00C8579D">
    <w:pPr>
      <w:spacing w:after="0"/>
      <w:ind w:right="-212"/>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405A" w14:textId="77777777" w:rsidR="00334BE8" w:rsidRDefault="00C8579D">
    <w:pPr>
      <w:spacing w:after="0"/>
      <w:ind w:right="-212"/>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9162" w14:textId="77777777" w:rsidR="00334BE8" w:rsidRDefault="00C8579D">
    <w:pPr>
      <w:spacing w:after="0"/>
      <w:ind w:right="-212"/>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5A67C" w14:textId="77777777" w:rsidR="00C8579D" w:rsidRDefault="00C8579D">
      <w:pPr>
        <w:spacing w:after="0" w:line="240" w:lineRule="auto"/>
      </w:pPr>
      <w:r>
        <w:separator/>
      </w:r>
    </w:p>
  </w:footnote>
  <w:footnote w:type="continuationSeparator" w:id="0">
    <w:p w14:paraId="021A5B0B" w14:textId="77777777" w:rsidR="00C8579D" w:rsidRDefault="00C85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90FC" w14:textId="76EF54AD" w:rsidR="00334BE8" w:rsidRDefault="00C8579D">
    <w:pPr>
      <w:spacing w:after="0"/>
      <w:ind w:right="-522"/>
      <w:jc w:val="right"/>
    </w:pPr>
    <w:r>
      <w:rPr>
        <w:noProof/>
      </w:rPr>
      <mc:AlternateContent>
        <mc:Choice Requires="wpg">
          <w:drawing>
            <wp:anchor distT="0" distB="0" distL="114300" distR="114300" simplePos="0" relativeHeight="251658240" behindDoc="0" locked="0" layoutInCell="1" allowOverlap="1" wp14:anchorId="43DFA4DB" wp14:editId="75C441F1">
              <wp:simplePos x="0" y="0"/>
              <wp:positionH relativeFrom="page">
                <wp:posOffset>1124585</wp:posOffset>
              </wp:positionH>
              <wp:positionV relativeFrom="page">
                <wp:posOffset>540385</wp:posOffset>
              </wp:positionV>
              <wp:extent cx="5761356" cy="428625"/>
              <wp:effectExtent l="0" t="0" r="0" b="0"/>
              <wp:wrapSquare wrapText="bothSides"/>
              <wp:docPr id="4905" name="Group 4905"/>
              <wp:cNvGraphicFramePr/>
              <a:graphic xmlns:a="http://schemas.openxmlformats.org/drawingml/2006/main">
                <a:graphicData uri="http://schemas.microsoft.com/office/word/2010/wordprocessingGroup">
                  <wpg:wgp>
                    <wpg:cNvGrpSpPr/>
                    <wpg:grpSpPr>
                      <a:xfrm>
                        <a:off x="0" y="0"/>
                        <a:ext cx="5761356" cy="428625"/>
                        <a:chOff x="0" y="0"/>
                        <a:chExt cx="5761356" cy="428625"/>
                      </a:xfrm>
                    </wpg:grpSpPr>
                    <wps:wsp>
                      <wps:cNvPr id="4906" name="Shape 4906"/>
                      <wps:cNvSpPr/>
                      <wps:spPr>
                        <a:xfrm>
                          <a:off x="0"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4908" name="Shape 4908"/>
                      <wps:cNvSpPr/>
                      <wps:spPr>
                        <a:xfrm>
                          <a:off x="3312796"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907" name="Picture 4907"/>
                        <pic:cNvPicPr/>
                      </pic:nvPicPr>
                      <pic:blipFill>
                        <a:blip r:embed="rId1"/>
                        <a:stretch>
                          <a:fillRect/>
                        </a:stretch>
                      </pic:blipFill>
                      <pic:spPr>
                        <a:xfrm>
                          <a:off x="2666365" y="0"/>
                          <a:ext cx="428625" cy="428625"/>
                        </a:xfrm>
                        <a:prstGeom prst="rect">
                          <a:avLst/>
                        </a:prstGeom>
                      </pic:spPr>
                    </pic:pic>
                  </wpg:wgp>
                </a:graphicData>
              </a:graphic>
            </wp:anchor>
          </w:drawing>
        </mc:Choice>
        <mc:Fallback xmlns:a="http://schemas.openxmlformats.org/drawingml/2006/main">
          <w:pict>
            <v:group id="Group 4905" style="width:453.65pt;height:33.75pt;position:absolute;mso-position-horizontal-relative:page;mso-position-horizontal:absolute;margin-left:88.55pt;mso-position-vertical-relative:page;margin-top:42.55pt;" coordsize="57613,4286">
              <v:shape id="Shape 4906" style="position:absolute;width:24485;height:0;left:0;top:2178;" coordsize="2448560,0" path="m0,0l2448560,0">
                <v:stroke weight="0.5pt" endcap="flat" joinstyle="miter" miterlimit="10" on="true" color="#000000"/>
                <v:fill on="false" color="#000000" opacity="0"/>
              </v:shape>
              <v:shape id="Shape 4908" style="position:absolute;width:24485;height:0;left:33127;top:2178;" coordsize="2448560,0" path="m0,0l2448560,0">
                <v:stroke weight="0.5pt" endcap="flat" joinstyle="miter" miterlimit="10" on="true" color="#000000"/>
                <v:fill on="false" color="#000000" opacity="0"/>
              </v:shape>
              <v:shape id="Picture 4907" style="position:absolute;width:4286;height:4286;left:26663;top:0;" filled="f">
                <v:imagedata r:id="rId18"/>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C4D" w14:textId="5AE47AE4" w:rsidR="00334BE8" w:rsidRDefault="00C8579D">
    <w:pPr>
      <w:spacing w:after="0"/>
      <w:ind w:right="-807"/>
      <w:jc w:val="right"/>
    </w:pPr>
    <w:r>
      <w:rPr>
        <w:noProof/>
      </w:rPr>
      <mc:AlternateContent>
        <mc:Choice Requires="wpg">
          <w:drawing>
            <wp:anchor distT="0" distB="0" distL="114300" distR="114300" simplePos="0" relativeHeight="251659264" behindDoc="0" locked="0" layoutInCell="1" allowOverlap="1" wp14:anchorId="0522B955" wp14:editId="202CB23F">
              <wp:simplePos x="0" y="0"/>
              <wp:positionH relativeFrom="page">
                <wp:posOffset>1124585</wp:posOffset>
              </wp:positionH>
              <wp:positionV relativeFrom="page">
                <wp:posOffset>540385</wp:posOffset>
              </wp:positionV>
              <wp:extent cx="5761356" cy="428625"/>
              <wp:effectExtent l="0" t="0" r="0" b="0"/>
              <wp:wrapSquare wrapText="bothSides"/>
              <wp:docPr id="4957" name="Group 4957"/>
              <wp:cNvGraphicFramePr/>
              <a:graphic xmlns:a="http://schemas.openxmlformats.org/drawingml/2006/main">
                <a:graphicData uri="http://schemas.microsoft.com/office/word/2010/wordprocessingGroup">
                  <wpg:wgp>
                    <wpg:cNvGrpSpPr/>
                    <wpg:grpSpPr>
                      <a:xfrm>
                        <a:off x="0" y="0"/>
                        <a:ext cx="5761356" cy="428625"/>
                        <a:chOff x="0" y="0"/>
                        <a:chExt cx="5761356" cy="428625"/>
                      </a:xfrm>
                    </wpg:grpSpPr>
                    <wps:wsp>
                      <wps:cNvPr id="4958" name="Shape 4958"/>
                      <wps:cNvSpPr/>
                      <wps:spPr>
                        <a:xfrm>
                          <a:off x="0"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4960" name="Shape 4960"/>
                      <wps:cNvSpPr/>
                      <wps:spPr>
                        <a:xfrm>
                          <a:off x="3312796"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959" name="Picture 4959"/>
                        <pic:cNvPicPr/>
                      </pic:nvPicPr>
                      <pic:blipFill>
                        <a:blip r:embed="rId1"/>
                        <a:stretch>
                          <a:fillRect/>
                        </a:stretch>
                      </pic:blipFill>
                      <pic:spPr>
                        <a:xfrm>
                          <a:off x="2666365" y="0"/>
                          <a:ext cx="428625" cy="428625"/>
                        </a:xfrm>
                        <a:prstGeom prst="rect">
                          <a:avLst/>
                        </a:prstGeom>
                      </pic:spPr>
                    </pic:pic>
                  </wpg:wgp>
                </a:graphicData>
              </a:graphic>
            </wp:anchor>
          </w:drawing>
        </mc:Choice>
        <mc:Fallback xmlns:a="http://schemas.openxmlformats.org/drawingml/2006/main">
          <w:pict>
            <v:group id="Group 4957" style="width:453.65pt;height:33.75pt;position:absolute;mso-position-horizontal-relative:page;mso-position-horizontal:absolute;margin-left:88.55pt;mso-position-vertical-relative:page;margin-top:42.55pt;" coordsize="57613,4286">
              <v:shape id="Shape 4958" style="position:absolute;width:24485;height:0;left:0;top:2178;" coordsize="2448560,0" path="m0,0l2448560,0">
                <v:stroke weight="0.5pt" endcap="flat" joinstyle="miter" miterlimit="10" on="true" color="#000000"/>
                <v:fill on="false" color="#000000" opacity="0"/>
              </v:shape>
              <v:shape id="Shape 4960" style="position:absolute;width:24485;height:0;left:33127;top:2178;" coordsize="2448560,0" path="m0,0l2448560,0">
                <v:stroke weight="0.5pt" endcap="flat" joinstyle="miter" miterlimit="10" on="true" color="#000000"/>
                <v:fill on="false" color="#000000" opacity="0"/>
              </v:shape>
              <v:shape id="Picture 4959" style="position:absolute;width:4286;height:4286;left:26663;top:0;" filled="f">
                <v:imagedata r:id="rId18"/>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FC28" w14:textId="4A92104A" w:rsidR="00334BE8" w:rsidRDefault="00C8579D">
    <w:pPr>
      <w:spacing w:after="0"/>
      <w:ind w:right="-807"/>
      <w:jc w:val="right"/>
    </w:pPr>
    <w:r>
      <w:rPr>
        <w:noProof/>
      </w:rPr>
      <mc:AlternateContent>
        <mc:Choice Requires="wpg">
          <w:drawing>
            <wp:anchor distT="0" distB="0" distL="114300" distR="114300" simplePos="0" relativeHeight="251660288" behindDoc="0" locked="0" layoutInCell="1" allowOverlap="1" wp14:anchorId="6DBECF7C" wp14:editId="4C2AB584">
              <wp:simplePos x="0" y="0"/>
              <wp:positionH relativeFrom="page">
                <wp:posOffset>1124585</wp:posOffset>
              </wp:positionH>
              <wp:positionV relativeFrom="page">
                <wp:posOffset>540385</wp:posOffset>
              </wp:positionV>
              <wp:extent cx="5761356" cy="428625"/>
              <wp:effectExtent l="0" t="0" r="0" b="0"/>
              <wp:wrapSquare wrapText="bothSides"/>
              <wp:docPr id="4940" name="Group 4940"/>
              <wp:cNvGraphicFramePr/>
              <a:graphic xmlns:a="http://schemas.openxmlformats.org/drawingml/2006/main">
                <a:graphicData uri="http://schemas.microsoft.com/office/word/2010/wordprocessingGroup">
                  <wpg:wgp>
                    <wpg:cNvGrpSpPr/>
                    <wpg:grpSpPr>
                      <a:xfrm>
                        <a:off x="0" y="0"/>
                        <a:ext cx="5761356" cy="428625"/>
                        <a:chOff x="0" y="0"/>
                        <a:chExt cx="5761356" cy="428625"/>
                      </a:xfrm>
                    </wpg:grpSpPr>
                    <wps:wsp>
                      <wps:cNvPr id="4941" name="Shape 4941"/>
                      <wps:cNvSpPr/>
                      <wps:spPr>
                        <a:xfrm>
                          <a:off x="0"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4943" name="Shape 4943"/>
                      <wps:cNvSpPr/>
                      <wps:spPr>
                        <a:xfrm>
                          <a:off x="3312796"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942" name="Picture 4942"/>
                        <pic:cNvPicPr/>
                      </pic:nvPicPr>
                      <pic:blipFill>
                        <a:blip r:embed="rId1"/>
                        <a:stretch>
                          <a:fillRect/>
                        </a:stretch>
                      </pic:blipFill>
                      <pic:spPr>
                        <a:xfrm>
                          <a:off x="2666365" y="0"/>
                          <a:ext cx="428625" cy="428625"/>
                        </a:xfrm>
                        <a:prstGeom prst="rect">
                          <a:avLst/>
                        </a:prstGeom>
                      </pic:spPr>
                    </pic:pic>
                  </wpg:wgp>
                </a:graphicData>
              </a:graphic>
            </wp:anchor>
          </w:drawing>
        </mc:Choice>
        <mc:Fallback xmlns:a="http://schemas.openxmlformats.org/drawingml/2006/main">
          <w:pict>
            <v:group id="Group 4940" style="width:453.65pt;height:33.75pt;position:absolute;mso-position-horizontal-relative:page;mso-position-horizontal:absolute;margin-left:88.55pt;mso-position-vertical-relative:page;margin-top:42.55pt;" coordsize="57613,4286">
              <v:shape id="Shape 4941" style="position:absolute;width:24485;height:0;left:0;top:2178;" coordsize="2448560,0" path="m0,0l2448560,0">
                <v:stroke weight="0.5pt" endcap="flat" joinstyle="miter" miterlimit="10" on="true" color="#000000"/>
                <v:fill on="false" color="#000000" opacity="0"/>
              </v:shape>
              <v:shape id="Shape 4943" style="position:absolute;width:24485;height:0;left:33127;top:2178;" coordsize="2448560,0" path="m0,0l2448560,0">
                <v:stroke weight="0.5pt" endcap="flat" joinstyle="miter" miterlimit="10" on="true" color="#000000"/>
                <v:fill on="false" color="#000000" opacity="0"/>
              </v:shape>
              <v:shape id="Picture 4942" style="position:absolute;width:4286;height:4286;left:26663;top:0;" filled="f">
                <v:imagedata r:id="rId18"/>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57E7" w14:textId="77777777" w:rsidR="00334BE8" w:rsidRDefault="00C8579D">
    <w:pPr>
      <w:spacing w:after="0"/>
      <w:ind w:right="-807"/>
      <w:jc w:val="right"/>
    </w:pPr>
    <w:r>
      <w:rPr>
        <w:noProof/>
      </w:rPr>
      <mc:AlternateContent>
        <mc:Choice Requires="wpg">
          <w:drawing>
            <wp:anchor distT="0" distB="0" distL="114300" distR="114300" simplePos="0" relativeHeight="251661312" behindDoc="0" locked="0" layoutInCell="1" allowOverlap="1" wp14:anchorId="1D827155" wp14:editId="30427E54">
              <wp:simplePos x="0" y="0"/>
              <wp:positionH relativeFrom="page">
                <wp:posOffset>1124585</wp:posOffset>
              </wp:positionH>
              <wp:positionV relativeFrom="page">
                <wp:posOffset>540385</wp:posOffset>
              </wp:positionV>
              <wp:extent cx="5761356" cy="428625"/>
              <wp:effectExtent l="0" t="0" r="0" b="0"/>
              <wp:wrapSquare wrapText="bothSides"/>
              <wp:docPr id="4923" name="Group 4923"/>
              <wp:cNvGraphicFramePr/>
              <a:graphic xmlns:a="http://schemas.openxmlformats.org/drawingml/2006/main">
                <a:graphicData uri="http://schemas.microsoft.com/office/word/2010/wordprocessingGroup">
                  <wpg:wgp>
                    <wpg:cNvGrpSpPr/>
                    <wpg:grpSpPr>
                      <a:xfrm>
                        <a:off x="0" y="0"/>
                        <a:ext cx="5761356" cy="428625"/>
                        <a:chOff x="0" y="0"/>
                        <a:chExt cx="5761356" cy="428625"/>
                      </a:xfrm>
                    </wpg:grpSpPr>
                    <wps:wsp>
                      <wps:cNvPr id="4924" name="Shape 4924"/>
                      <wps:cNvSpPr/>
                      <wps:spPr>
                        <a:xfrm>
                          <a:off x="0"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4926" name="Shape 4926"/>
                      <wps:cNvSpPr/>
                      <wps:spPr>
                        <a:xfrm>
                          <a:off x="3312796" y="217805"/>
                          <a:ext cx="2448560" cy="0"/>
                        </a:xfrm>
                        <a:custGeom>
                          <a:avLst/>
                          <a:gdLst/>
                          <a:ahLst/>
                          <a:cxnLst/>
                          <a:rect l="0" t="0" r="0" b="0"/>
                          <a:pathLst>
                            <a:path w="2448560">
                              <a:moveTo>
                                <a:pt x="0" y="0"/>
                              </a:moveTo>
                              <a:lnTo>
                                <a:pt x="24485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4925" name="Picture 4925"/>
                        <pic:cNvPicPr/>
                      </pic:nvPicPr>
                      <pic:blipFill>
                        <a:blip r:embed="rId1"/>
                        <a:stretch>
                          <a:fillRect/>
                        </a:stretch>
                      </pic:blipFill>
                      <pic:spPr>
                        <a:xfrm>
                          <a:off x="2666365" y="0"/>
                          <a:ext cx="428625" cy="428625"/>
                        </a:xfrm>
                        <a:prstGeom prst="rect">
                          <a:avLst/>
                        </a:prstGeom>
                      </pic:spPr>
                    </pic:pic>
                  </wpg:wgp>
                </a:graphicData>
              </a:graphic>
            </wp:anchor>
          </w:drawing>
        </mc:Choice>
        <mc:Fallback xmlns:a="http://schemas.openxmlformats.org/drawingml/2006/main">
          <w:pict>
            <v:group id="Group 4923" style="width:453.65pt;height:33.75pt;position:absolute;mso-position-horizontal-relative:page;mso-position-horizontal:absolute;margin-left:88.55pt;mso-position-vertical-relative:page;margin-top:42.55pt;" coordsize="57613,4286">
              <v:shape id="Shape 4924" style="position:absolute;width:24485;height:0;left:0;top:2178;" coordsize="2448560,0" path="m0,0l2448560,0">
                <v:stroke weight="0.5pt" endcap="flat" joinstyle="miter" miterlimit="10" on="true" color="#000000"/>
                <v:fill on="false" color="#000000" opacity="0"/>
              </v:shape>
              <v:shape id="Shape 4926" style="position:absolute;width:24485;height:0;left:33127;top:2178;" coordsize="2448560,0" path="m0,0l2448560,0">
                <v:stroke weight="0.5pt" endcap="flat" joinstyle="miter" miterlimit="10" on="true" color="#000000"/>
                <v:fill on="false" color="#000000" opacity="0"/>
              </v:shape>
              <v:shape id="Picture 4925" style="position:absolute;width:4286;height:4286;left:26663;top:0;" filled="f">
                <v:imagedata r:id="rId18"/>
              </v:shape>
              <w10:wrap type="square"/>
            </v:group>
          </w:pict>
        </mc:Fallback>
      </mc:AlternateContent>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20260076705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7864"/>
    <w:multiLevelType w:val="hybridMultilevel"/>
    <w:tmpl w:val="DF7415D0"/>
    <w:lvl w:ilvl="0" w:tplc="2218638C">
      <w:start w:val="1"/>
      <w:numFmt w:val="bullet"/>
      <w:lvlText w:val="-"/>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D50C35C">
      <w:start w:val="1"/>
      <w:numFmt w:val="bullet"/>
      <w:lvlText w:val="o"/>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483C8ACC">
      <w:start w:val="1"/>
      <w:numFmt w:val="bullet"/>
      <w:lvlText w:val="▪"/>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1F9AD114">
      <w:start w:val="1"/>
      <w:numFmt w:val="bullet"/>
      <w:lvlText w:val="•"/>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C4473C6">
      <w:start w:val="1"/>
      <w:numFmt w:val="bullet"/>
      <w:lvlText w:val="o"/>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00DAF272">
      <w:start w:val="1"/>
      <w:numFmt w:val="bullet"/>
      <w:lvlText w:val="▪"/>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AD786908">
      <w:start w:val="1"/>
      <w:numFmt w:val="bullet"/>
      <w:lvlText w:val="•"/>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BC56D2D4">
      <w:start w:val="1"/>
      <w:numFmt w:val="bullet"/>
      <w:lvlText w:val="o"/>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88105148">
      <w:start w:val="1"/>
      <w:numFmt w:val="bullet"/>
      <w:lvlText w:val="▪"/>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077C71"/>
    <w:multiLevelType w:val="hybridMultilevel"/>
    <w:tmpl w:val="B5622848"/>
    <w:lvl w:ilvl="0" w:tplc="A0E4DD02">
      <w:start w:val="1"/>
      <w:numFmt w:val="bullet"/>
      <w:lvlText w:val="-"/>
      <w:lvlJc w:val="left"/>
      <w:pPr>
        <w:ind w:left="119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46D243EA">
      <w:start w:val="1"/>
      <w:numFmt w:val="bullet"/>
      <w:lvlText w:val="o"/>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FE56DCFC">
      <w:start w:val="1"/>
      <w:numFmt w:val="bullet"/>
      <w:lvlText w:val="▪"/>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B76533C">
      <w:start w:val="1"/>
      <w:numFmt w:val="bullet"/>
      <w:lvlText w:val="•"/>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B246758">
      <w:start w:val="1"/>
      <w:numFmt w:val="bullet"/>
      <w:lvlText w:val="o"/>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F809122">
      <w:start w:val="1"/>
      <w:numFmt w:val="bullet"/>
      <w:lvlText w:val="▪"/>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4CA0F15C">
      <w:start w:val="1"/>
      <w:numFmt w:val="bullet"/>
      <w:lvlText w:val="•"/>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44AD526">
      <w:start w:val="1"/>
      <w:numFmt w:val="bullet"/>
      <w:lvlText w:val="o"/>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AAD65F74">
      <w:start w:val="1"/>
      <w:numFmt w:val="bullet"/>
      <w:lvlText w:val="▪"/>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76375D5"/>
    <w:multiLevelType w:val="hybridMultilevel"/>
    <w:tmpl w:val="65D4E1CA"/>
    <w:lvl w:ilvl="0" w:tplc="BED20158">
      <w:start w:val="1"/>
      <w:numFmt w:val="lowerLetter"/>
      <w:lvlText w:val="%1)"/>
      <w:lvlJc w:val="left"/>
      <w:pPr>
        <w:ind w:left="1232"/>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C47081AA">
      <w:start w:val="1"/>
      <w:numFmt w:val="lowerLetter"/>
      <w:lvlText w:val="%2"/>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D2FE115A">
      <w:start w:val="1"/>
      <w:numFmt w:val="lowerRoman"/>
      <w:lvlText w:val="%3"/>
      <w:lvlJc w:val="left"/>
      <w:pPr>
        <w:ind w:left="18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EF40FB24">
      <w:start w:val="1"/>
      <w:numFmt w:val="decimal"/>
      <w:lvlText w:val="%4"/>
      <w:lvlJc w:val="left"/>
      <w:pPr>
        <w:ind w:left="25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1ADEF6DA">
      <w:start w:val="1"/>
      <w:numFmt w:val="lowerLetter"/>
      <w:lvlText w:val="%5"/>
      <w:lvlJc w:val="left"/>
      <w:pPr>
        <w:ind w:left="32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A380F392">
      <w:start w:val="1"/>
      <w:numFmt w:val="lowerRoman"/>
      <w:lvlText w:val="%6"/>
      <w:lvlJc w:val="left"/>
      <w:pPr>
        <w:ind w:left="39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B5DE8340">
      <w:start w:val="1"/>
      <w:numFmt w:val="decimal"/>
      <w:lvlText w:val="%7"/>
      <w:lvlJc w:val="left"/>
      <w:pPr>
        <w:ind w:left="46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D1F080F8">
      <w:start w:val="1"/>
      <w:numFmt w:val="lowerLetter"/>
      <w:lvlText w:val="%8"/>
      <w:lvlJc w:val="left"/>
      <w:pPr>
        <w:ind w:left="54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249A8996">
      <w:start w:val="1"/>
      <w:numFmt w:val="lowerRoman"/>
      <w:lvlText w:val="%9"/>
      <w:lvlJc w:val="left"/>
      <w:pPr>
        <w:ind w:left="61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FA359DE"/>
    <w:multiLevelType w:val="hybridMultilevel"/>
    <w:tmpl w:val="FDC4DDC4"/>
    <w:lvl w:ilvl="0" w:tplc="3502E856">
      <w:start w:val="1"/>
      <w:numFmt w:val="bullet"/>
      <w:lvlText w:val="•"/>
      <w:lvlJc w:val="left"/>
      <w:pPr>
        <w:ind w:left="1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E66B3A">
      <w:start w:val="1"/>
      <w:numFmt w:val="bullet"/>
      <w:lvlText w:val="o"/>
      <w:lvlJc w:val="left"/>
      <w:pPr>
        <w:ind w:left="2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18074E">
      <w:start w:val="1"/>
      <w:numFmt w:val="bullet"/>
      <w:lvlText w:val="▪"/>
      <w:lvlJc w:val="left"/>
      <w:pPr>
        <w:ind w:left="3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4C29F0">
      <w:start w:val="1"/>
      <w:numFmt w:val="bullet"/>
      <w:lvlText w:val="•"/>
      <w:lvlJc w:val="left"/>
      <w:pPr>
        <w:ind w:left="3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E2D446">
      <w:start w:val="1"/>
      <w:numFmt w:val="bullet"/>
      <w:lvlText w:val="o"/>
      <w:lvlJc w:val="left"/>
      <w:pPr>
        <w:ind w:left="4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28433A">
      <w:start w:val="1"/>
      <w:numFmt w:val="bullet"/>
      <w:lvlText w:val="▪"/>
      <w:lvlJc w:val="left"/>
      <w:pPr>
        <w:ind w:left="5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52EBB8">
      <w:start w:val="1"/>
      <w:numFmt w:val="bullet"/>
      <w:lvlText w:val="•"/>
      <w:lvlJc w:val="left"/>
      <w:pPr>
        <w:ind w:left="6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2AC642">
      <w:start w:val="1"/>
      <w:numFmt w:val="bullet"/>
      <w:lvlText w:val="o"/>
      <w:lvlJc w:val="left"/>
      <w:pPr>
        <w:ind w:left="67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D65F4C">
      <w:start w:val="1"/>
      <w:numFmt w:val="bullet"/>
      <w:lvlText w:val="▪"/>
      <w:lvlJc w:val="left"/>
      <w:pPr>
        <w:ind w:left="7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8C7882"/>
    <w:multiLevelType w:val="hybridMultilevel"/>
    <w:tmpl w:val="D7C43CBC"/>
    <w:lvl w:ilvl="0" w:tplc="73FE6FB4">
      <w:start w:val="1"/>
      <w:numFmt w:val="upperLetter"/>
      <w:lvlText w:val="%1)"/>
      <w:lvlJc w:val="left"/>
      <w:pPr>
        <w:ind w:left="10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BAD87A6C">
      <w:start w:val="1"/>
      <w:numFmt w:val="lowerLetter"/>
      <w:lvlText w:val="%2"/>
      <w:lvlJc w:val="left"/>
      <w:pPr>
        <w:ind w:left="136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209C8466">
      <w:start w:val="1"/>
      <w:numFmt w:val="lowerRoman"/>
      <w:lvlText w:val="%3"/>
      <w:lvlJc w:val="left"/>
      <w:pPr>
        <w:ind w:left="20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C5FCCE8C">
      <w:start w:val="1"/>
      <w:numFmt w:val="decimal"/>
      <w:lvlText w:val="%4"/>
      <w:lvlJc w:val="left"/>
      <w:pPr>
        <w:ind w:left="28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46DE2FB4">
      <w:start w:val="1"/>
      <w:numFmt w:val="lowerLetter"/>
      <w:lvlText w:val="%5"/>
      <w:lvlJc w:val="left"/>
      <w:pPr>
        <w:ind w:left="352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59E6D24">
      <w:start w:val="1"/>
      <w:numFmt w:val="lowerRoman"/>
      <w:lvlText w:val="%6"/>
      <w:lvlJc w:val="left"/>
      <w:pPr>
        <w:ind w:left="424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4623602">
      <w:start w:val="1"/>
      <w:numFmt w:val="decimal"/>
      <w:lvlText w:val="%7"/>
      <w:lvlJc w:val="left"/>
      <w:pPr>
        <w:ind w:left="496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3E7EC07A">
      <w:start w:val="1"/>
      <w:numFmt w:val="lowerLetter"/>
      <w:lvlText w:val="%8"/>
      <w:lvlJc w:val="left"/>
      <w:pPr>
        <w:ind w:left="568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899EEAB4">
      <w:start w:val="1"/>
      <w:numFmt w:val="lowerRoman"/>
      <w:lvlText w:val="%9"/>
      <w:lvlJc w:val="left"/>
      <w:pPr>
        <w:ind w:left="640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7730E19"/>
    <w:multiLevelType w:val="hybridMultilevel"/>
    <w:tmpl w:val="008E992C"/>
    <w:lvl w:ilvl="0" w:tplc="DC5C3E9E">
      <w:start w:val="1"/>
      <w:numFmt w:val="bullet"/>
      <w:lvlText w:val="-"/>
      <w:lvlJc w:val="left"/>
      <w:pPr>
        <w:ind w:left="119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BA026A6E">
      <w:start w:val="1"/>
      <w:numFmt w:val="bullet"/>
      <w:lvlText w:val="o"/>
      <w:lvlJc w:val="left"/>
      <w:pPr>
        <w:ind w:left="129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71DA1DA4">
      <w:start w:val="1"/>
      <w:numFmt w:val="bullet"/>
      <w:lvlText w:val="▪"/>
      <w:lvlJc w:val="left"/>
      <w:pPr>
        <w:ind w:left="201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97C8754A">
      <w:start w:val="1"/>
      <w:numFmt w:val="bullet"/>
      <w:lvlText w:val="•"/>
      <w:lvlJc w:val="left"/>
      <w:pPr>
        <w:ind w:left="273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08B2E320">
      <w:start w:val="1"/>
      <w:numFmt w:val="bullet"/>
      <w:lvlText w:val="o"/>
      <w:lvlJc w:val="left"/>
      <w:pPr>
        <w:ind w:left="345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C25E46F6">
      <w:start w:val="1"/>
      <w:numFmt w:val="bullet"/>
      <w:lvlText w:val="▪"/>
      <w:lvlJc w:val="left"/>
      <w:pPr>
        <w:ind w:left="417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CD189F2E">
      <w:start w:val="1"/>
      <w:numFmt w:val="bullet"/>
      <w:lvlText w:val="•"/>
      <w:lvlJc w:val="left"/>
      <w:pPr>
        <w:ind w:left="489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EC26C8C">
      <w:start w:val="1"/>
      <w:numFmt w:val="bullet"/>
      <w:lvlText w:val="o"/>
      <w:lvlJc w:val="left"/>
      <w:pPr>
        <w:ind w:left="561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D1AC7130">
      <w:start w:val="1"/>
      <w:numFmt w:val="bullet"/>
      <w:lvlText w:val="▪"/>
      <w:lvlJc w:val="left"/>
      <w:pPr>
        <w:ind w:left="633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num w:numId="1" w16cid:durableId="662245827">
    <w:abstractNumId w:val="3"/>
  </w:num>
  <w:num w:numId="2" w16cid:durableId="1917324832">
    <w:abstractNumId w:val="2"/>
  </w:num>
  <w:num w:numId="3" w16cid:durableId="2016885020">
    <w:abstractNumId w:val="4"/>
  </w:num>
  <w:num w:numId="4" w16cid:durableId="372392983">
    <w:abstractNumId w:val="5"/>
  </w:num>
  <w:num w:numId="5" w16cid:durableId="186019097">
    <w:abstractNumId w:val="1"/>
  </w:num>
  <w:num w:numId="6" w16cid:durableId="1425569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BE8"/>
    <w:rsid w:val="00334BE8"/>
    <w:rsid w:val="0044000E"/>
    <w:rsid w:val="009A181E"/>
    <w:rsid w:val="00C857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FB53"/>
  <w15:docId w15:val="{23020095-9E64-478E-9CA6-F258853E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25" w:line="259" w:lineRule="auto"/>
      <w:ind w:left="1004" w:hanging="10"/>
      <w:outlineLvl w:val="0"/>
    </w:pPr>
    <w:rPr>
      <w:rFonts w:ascii="Times New Roman" w:eastAsia="Times New Roman" w:hAnsi="Times New Roman" w:cs="Times New Roman"/>
      <w:b/>
      <w:color w:val="000000"/>
      <w:sz w:val="22"/>
    </w:rPr>
  </w:style>
  <w:style w:type="paragraph" w:styleId="Ttulo2">
    <w:name w:val="heading 2"/>
    <w:next w:val="Normal"/>
    <w:link w:val="Ttulo2Car"/>
    <w:uiPriority w:val="9"/>
    <w:unhideWhenUsed/>
    <w:qFormat/>
    <w:pPr>
      <w:keepNext/>
      <w:keepLines/>
      <w:spacing w:after="56" w:line="259" w:lineRule="auto"/>
      <w:ind w:left="44"/>
      <w:outlineLvl w:val="1"/>
    </w:pPr>
    <w:rPr>
      <w:rFonts w:ascii="Arial" w:eastAsia="Arial" w:hAnsi="Arial" w:cs="Arial"/>
      <w:b/>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000000"/>
      <w:sz w:val="18"/>
    </w:rPr>
  </w:style>
  <w:style w:type="character" w:customStyle="1" w:styleId="Ttulo1Car">
    <w:name w:val="Título 1 Car"/>
    <w:link w:val="Ttu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C857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579D"/>
    <w:rPr>
      <w:rFonts w:ascii="Calibri" w:eastAsia="Calibri" w:hAnsi="Calibri" w:cs="Calibri"/>
      <w:color w:val="000000"/>
      <w:sz w:val="22"/>
    </w:rPr>
  </w:style>
  <w:style w:type="paragraph" w:styleId="Piedepgina">
    <w:name w:val="footer"/>
    <w:basedOn w:val="Normal"/>
    <w:link w:val="PiedepginaCar"/>
    <w:uiPriority w:val="99"/>
    <w:unhideWhenUsed/>
    <w:rsid w:val="00C857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579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8" Type="http://schemas.openxmlformats.org/officeDocument/2006/relationships/image" Target="media/image4.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8" Type="http://schemas.openxmlformats.org/officeDocument/2006/relationships/image" Target="media/image4.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8" Type="http://schemas.openxmlformats.org/officeDocument/2006/relationships/image" Target="media/image4.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8" Type="http://schemas.openxmlformats.org/officeDocument/2006/relationships/image" Target="media/image4.jp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2153</Words>
  <Characters>11847</Characters>
  <Application>Microsoft Office Word</Application>
  <DocSecurity>0</DocSecurity>
  <Lines>98</Lines>
  <Paragraphs>27</Paragraphs>
  <ScaleCrop>false</ScaleCrop>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3</cp:revision>
  <dcterms:created xsi:type="dcterms:W3CDTF">2026-04-30T11:56:00Z</dcterms:created>
  <dcterms:modified xsi:type="dcterms:W3CDTF">2026-04-30T12:01:00Z</dcterms:modified>
</cp:coreProperties>
</file>