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5" w:type="dxa"/>
        <w:tblLayout w:type="fixed"/>
        <w:tblCellMar>
          <w:left w:w="0" w:type="dxa"/>
          <w:right w:w="0" w:type="dxa"/>
        </w:tblCellMar>
        <w:tblLook w:val="0000" w:firstRow="0" w:lastRow="0" w:firstColumn="0" w:lastColumn="0" w:noHBand="0" w:noVBand="0"/>
      </w:tblPr>
      <w:tblGrid>
        <w:gridCol w:w="4365"/>
        <w:gridCol w:w="29"/>
        <w:gridCol w:w="539"/>
        <w:gridCol w:w="29"/>
        <w:gridCol w:w="4364"/>
        <w:gridCol w:w="29"/>
      </w:tblGrid>
      <w:tr w:rsidR="00AD6A23" w14:paraId="4D0465E5" w14:textId="77777777" w:rsidTr="000002AA">
        <w:tc>
          <w:tcPr>
            <w:tcW w:w="4394" w:type="dxa"/>
            <w:gridSpan w:val="2"/>
          </w:tcPr>
          <w:p w14:paraId="674605D2" w14:textId="50EC8710" w:rsidR="00AD6A23" w:rsidRPr="00AD48EE" w:rsidRDefault="003901EE" w:rsidP="004C4BA2">
            <w:pPr>
              <w:rPr>
                <w:rFonts w:cs="Times New Roman"/>
                <w:b/>
                <w:sz w:val="24"/>
                <w:szCs w:val="24"/>
                <w:u w:val="single"/>
              </w:rPr>
            </w:pPr>
            <w:r w:rsidRPr="00E7731D">
              <w:rPr>
                <w:rFonts w:cs="Times New Roman"/>
                <w:b/>
                <w:sz w:val="24"/>
                <w:szCs w:val="24"/>
              </w:rPr>
              <w:t>EBAZPENA</w:t>
            </w:r>
          </w:p>
          <w:p w14:paraId="127829DA" w14:textId="59886316" w:rsidR="007428C0" w:rsidRPr="007428C0" w:rsidRDefault="004A2DDC" w:rsidP="004C4BA2">
            <w:pPr>
              <w:spacing w:before="480"/>
              <w:rPr>
                <w:rFonts w:eastAsia="Calibri"/>
                <w:b/>
                <w:sz w:val="22"/>
                <w:szCs w:val="22"/>
                <w:lang w:val="es-ES" w:eastAsia="en-US"/>
              </w:rPr>
            </w:pPr>
            <w:proofErr w:type="spellStart"/>
            <w:r w:rsidRPr="004A2DDC">
              <w:rPr>
                <w:rFonts w:eastAsia="Calibri"/>
                <w:b/>
                <w:sz w:val="22"/>
                <w:szCs w:val="22"/>
                <w:highlight w:val="black"/>
                <w:lang w:val="es-ES" w:eastAsia="en-US"/>
              </w:rPr>
              <w:t>XXXXX</w:t>
            </w:r>
            <w:r>
              <w:rPr>
                <w:rFonts w:eastAsia="Calibri"/>
                <w:b/>
                <w:sz w:val="22"/>
                <w:szCs w:val="22"/>
                <w:lang w:val="es-ES" w:eastAsia="en-US"/>
              </w:rPr>
              <w:t>k</w:t>
            </w:r>
            <w:proofErr w:type="spellEnd"/>
            <w:r w:rsidR="0003379A" w:rsidRPr="0003379A">
              <w:rPr>
                <w:rFonts w:eastAsia="Calibri"/>
                <w:b/>
                <w:sz w:val="22"/>
                <w:szCs w:val="22"/>
                <w:lang w:val="es-ES" w:eastAsia="en-US"/>
              </w:rPr>
              <w:t xml:space="preserve"> </w:t>
            </w:r>
            <w:proofErr w:type="spellStart"/>
            <w:r w:rsidR="0003379A" w:rsidRPr="0003379A">
              <w:rPr>
                <w:rFonts w:eastAsia="Calibri"/>
                <w:b/>
                <w:sz w:val="22"/>
                <w:szCs w:val="22"/>
                <w:lang w:val="es-ES" w:eastAsia="en-US"/>
              </w:rPr>
              <w:t>informazio</w:t>
            </w:r>
            <w:proofErr w:type="spellEnd"/>
            <w:r w:rsidR="0003379A" w:rsidRPr="0003379A">
              <w:rPr>
                <w:rFonts w:eastAsia="Calibri"/>
                <w:b/>
                <w:sz w:val="22"/>
                <w:szCs w:val="22"/>
                <w:lang w:val="es-ES" w:eastAsia="en-US"/>
              </w:rPr>
              <w:t xml:space="preserve"> </w:t>
            </w:r>
            <w:proofErr w:type="spellStart"/>
            <w:r w:rsidR="0003379A" w:rsidRPr="0003379A">
              <w:rPr>
                <w:rFonts w:eastAsia="Calibri"/>
                <w:b/>
                <w:sz w:val="22"/>
                <w:szCs w:val="22"/>
                <w:lang w:val="es-ES" w:eastAsia="en-US"/>
              </w:rPr>
              <w:t>publikoa</w:t>
            </w:r>
            <w:proofErr w:type="spellEnd"/>
            <w:r w:rsidR="0003379A" w:rsidRPr="0003379A">
              <w:rPr>
                <w:rFonts w:eastAsia="Calibri"/>
                <w:b/>
                <w:sz w:val="22"/>
                <w:szCs w:val="22"/>
                <w:lang w:val="es-ES" w:eastAsia="en-US"/>
              </w:rPr>
              <w:t xml:space="preserve"> </w:t>
            </w:r>
            <w:proofErr w:type="spellStart"/>
            <w:r w:rsidR="0003379A" w:rsidRPr="0003379A">
              <w:rPr>
                <w:rFonts w:eastAsia="Calibri"/>
                <w:b/>
                <w:sz w:val="22"/>
                <w:szCs w:val="22"/>
                <w:lang w:val="es-ES" w:eastAsia="en-US"/>
              </w:rPr>
              <w:t>eskuratzeko</w:t>
            </w:r>
            <w:proofErr w:type="spellEnd"/>
            <w:r w:rsidR="0003379A" w:rsidRPr="0003379A">
              <w:rPr>
                <w:rFonts w:eastAsia="Calibri"/>
                <w:b/>
                <w:sz w:val="22"/>
                <w:szCs w:val="22"/>
                <w:lang w:val="es-ES" w:eastAsia="en-US"/>
              </w:rPr>
              <w:t xml:space="preserve"> aurkeztutako eskaera</w:t>
            </w:r>
            <w:r w:rsidR="002F4322">
              <w:rPr>
                <w:rFonts w:eastAsia="Calibri"/>
                <w:b/>
                <w:sz w:val="22"/>
                <w:szCs w:val="22"/>
                <w:lang w:val="es-ES" w:eastAsia="en-US"/>
              </w:rPr>
              <w:t xml:space="preserve"> </w:t>
            </w:r>
            <w:r w:rsidR="002F4322" w:rsidRPr="00F92595">
              <w:rPr>
                <w:rFonts w:eastAsia="Calibri"/>
                <w:b/>
                <w:sz w:val="22"/>
                <w:szCs w:val="22"/>
                <w:lang w:val="es-ES" w:eastAsia="en-US"/>
              </w:rPr>
              <w:t>ezeztea</w:t>
            </w:r>
            <w:r w:rsidR="00FD58ED" w:rsidRPr="00F92595">
              <w:rPr>
                <w:rFonts w:eastAsia="Calibri"/>
                <w:b/>
                <w:sz w:val="22"/>
                <w:szCs w:val="22"/>
                <w:lang w:val="es-ES" w:eastAsia="en-US"/>
              </w:rPr>
              <w:t>.</w:t>
            </w:r>
          </w:p>
          <w:p w14:paraId="26EA4492" w14:textId="77777777" w:rsidR="007428C0" w:rsidRPr="00710BDF" w:rsidRDefault="007428C0" w:rsidP="004C4BA2">
            <w:pPr>
              <w:rPr>
                <w:rFonts w:cs="Times New Roman"/>
                <w:b/>
                <w:sz w:val="22"/>
                <w:szCs w:val="22"/>
                <w:u w:val="single"/>
                <w:lang w:val="es-ES"/>
              </w:rPr>
            </w:pPr>
          </w:p>
        </w:tc>
        <w:tc>
          <w:tcPr>
            <w:tcW w:w="568" w:type="dxa"/>
            <w:gridSpan w:val="2"/>
          </w:tcPr>
          <w:p w14:paraId="04556D9C" w14:textId="77777777" w:rsidR="00AD6A23" w:rsidRDefault="00AD6A23" w:rsidP="004C4BA2">
            <w:pPr>
              <w:spacing w:before="240" w:after="480"/>
              <w:rPr>
                <w:sz w:val="24"/>
              </w:rPr>
            </w:pPr>
          </w:p>
        </w:tc>
        <w:tc>
          <w:tcPr>
            <w:tcW w:w="4393" w:type="dxa"/>
            <w:gridSpan w:val="2"/>
          </w:tcPr>
          <w:p w14:paraId="5C5AA19B" w14:textId="2AC7F46A" w:rsidR="00AD6A23" w:rsidRPr="00AD48EE" w:rsidRDefault="00530C62" w:rsidP="004C4BA2">
            <w:pPr>
              <w:rPr>
                <w:rFonts w:cs="Times New Roman"/>
                <w:b/>
                <w:sz w:val="24"/>
                <w:szCs w:val="24"/>
                <w:u w:val="single"/>
              </w:rPr>
            </w:pPr>
            <w:r w:rsidRPr="00E7731D">
              <w:rPr>
                <w:rFonts w:cs="Times New Roman"/>
                <w:b/>
                <w:sz w:val="24"/>
                <w:szCs w:val="24"/>
              </w:rPr>
              <w:t>RESOLUCIÓN</w:t>
            </w:r>
          </w:p>
          <w:p w14:paraId="61D9DA8C" w14:textId="784ABF84" w:rsidR="00D821D6" w:rsidRDefault="00C65889" w:rsidP="004C4BA2">
            <w:pPr>
              <w:spacing w:before="480"/>
              <w:rPr>
                <w:rFonts w:cs="Times New Roman"/>
                <w:b/>
                <w:sz w:val="24"/>
                <w:szCs w:val="24"/>
                <w:u w:val="single"/>
              </w:rPr>
            </w:pPr>
            <w:r w:rsidRPr="003C4880">
              <w:rPr>
                <w:rFonts w:eastAsia="Calibri"/>
                <w:b/>
                <w:sz w:val="22"/>
                <w:szCs w:val="22"/>
                <w:lang w:val="es-ES" w:eastAsia="en-US"/>
              </w:rPr>
              <w:t xml:space="preserve">Denegar </w:t>
            </w:r>
            <w:r w:rsidR="004F4AF2" w:rsidRPr="003C4880">
              <w:rPr>
                <w:rFonts w:eastAsia="Calibri"/>
                <w:b/>
                <w:sz w:val="22"/>
                <w:szCs w:val="22"/>
                <w:lang w:val="es-ES" w:eastAsia="en-US"/>
              </w:rPr>
              <w:t xml:space="preserve">la solicitud </w:t>
            </w:r>
            <w:r w:rsidR="004F4AF2" w:rsidRPr="004F4AF2">
              <w:rPr>
                <w:rFonts w:eastAsia="Calibri"/>
                <w:b/>
                <w:sz w:val="22"/>
                <w:szCs w:val="22"/>
                <w:lang w:val="es-ES" w:eastAsia="en-US"/>
              </w:rPr>
              <w:t xml:space="preserve">de acceso a información pública </w:t>
            </w:r>
            <w:r w:rsidR="0003379A">
              <w:rPr>
                <w:rFonts w:eastAsia="Calibri"/>
                <w:b/>
                <w:sz w:val="22"/>
                <w:szCs w:val="22"/>
                <w:lang w:val="es-ES" w:eastAsia="en-US"/>
              </w:rPr>
              <w:t xml:space="preserve">presentada por </w:t>
            </w:r>
            <w:r w:rsidR="004A2DDC" w:rsidRPr="004A2DDC">
              <w:rPr>
                <w:rFonts w:eastAsia="Calibri"/>
                <w:b/>
                <w:sz w:val="22"/>
                <w:szCs w:val="22"/>
                <w:highlight w:val="black"/>
                <w:lang w:val="es-ES" w:eastAsia="en-US"/>
              </w:rPr>
              <w:t>XXXXX</w:t>
            </w:r>
            <w:r w:rsidR="00FD58ED">
              <w:rPr>
                <w:rFonts w:eastAsia="Calibri"/>
                <w:b/>
                <w:sz w:val="22"/>
                <w:szCs w:val="22"/>
                <w:lang w:val="es-ES" w:eastAsia="en-US"/>
              </w:rPr>
              <w:t>.</w:t>
            </w:r>
          </w:p>
          <w:p w14:paraId="7DA20E1D" w14:textId="77777777" w:rsidR="00D821D6" w:rsidRPr="00D821D6" w:rsidRDefault="00D821D6" w:rsidP="004C4BA2">
            <w:pPr>
              <w:rPr>
                <w:rFonts w:cs="Times New Roman"/>
                <w:b/>
                <w:sz w:val="24"/>
                <w:szCs w:val="24"/>
                <w:u w:val="single"/>
              </w:rPr>
            </w:pPr>
          </w:p>
        </w:tc>
      </w:tr>
      <w:tr w:rsidR="00AD6A23" w14:paraId="7BC1BAFC" w14:textId="77777777" w:rsidTr="000002AA">
        <w:trPr>
          <w:gridAfter w:val="1"/>
          <w:wAfter w:w="29" w:type="dxa"/>
        </w:trPr>
        <w:tc>
          <w:tcPr>
            <w:tcW w:w="4365" w:type="dxa"/>
          </w:tcPr>
          <w:p w14:paraId="3CC5E9AB" w14:textId="5C374442" w:rsidR="00163B62" w:rsidRDefault="00D27CC8" w:rsidP="004C4BA2">
            <w:pPr>
              <w:tabs>
                <w:tab w:val="right" w:pos="8789"/>
              </w:tabs>
              <w:spacing w:after="600"/>
              <w:rPr>
                <w:rFonts w:cs="Times New Roman"/>
                <w:sz w:val="22"/>
                <w:lang w:val="eu-ES" w:bidi="ar-SA"/>
              </w:rPr>
            </w:pPr>
            <w:r w:rsidRPr="00D27CC8">
              <w:rPr>
                <w:rFonts w:cs="Times New Roman"/>
                <w:sz w:val="22"/>
                <w:lang w:val="eu-ES" w:bidi="ar-SA"/>
              </w:rPr>
              <w:t>Ogasun, Finantza eta Aurrekontu Saila</w:t>
            </w:r>
            <w:r w:rsidR="00163B62" w:rsidRPr="00163B62">
              <w:rPr>
                <w:rFonts w:cs="Times New Roman"/>
                <w:sz w:val="22"/>
                <w:lang w:val="eu-ES" w:bidi="ar-SA"/>
              </w:rPr>
              <w:t xml:space="preserve"> </w:t>
            </w:r>
            <w:r w:rsidR="00163B62" w:rsidRPr="00163B62">
              <w:rPr>
                <w:rFonts w:cs="Times New Roman"/>
                <w:sz w:val="22"/>
                <w:lang w:val="eu-ES" w:bidi="ar-SA"/>
              </w:rPr>
              <w:br/>
            </w:r>
            <w:r w:rsidRPr="00D27CC8">
              <w:rPr>
                <w:rFonts w:cs="Times New Roman"/>
                <w:sz w:val="22"/>
                <w:lang w:val="eu-ES" w:bidi="ar-SA"/>
              </w:rPr>
              <w:t>Ogasun, Finantza eta Aurrekontuetako Idazkaritza Teknikoko Zerbitzua</w:t>
            </w:r>
            <w:r w:rsidR="00163B62" w:rsidRPr="00163B62">
              <w:rPr>
                <w:rFonts w:cs="Times New Roman"/>
                <w:sz w:val="22"/>
                <w:lang w:val="eu-ES" w:bidi="ar-SA"/>
              </w:rPr>
              <w:br/>
            </w:r>
            <w:r w:rsidR="00163B62" w:rsidRPr="00130F3D">
              <w:rPr>
                <w:rFonts w:cs="Times New Roman"/>
                <w:sz w:val="22"/>
                <w:lang w:val="eu-ES" w:bidi="ar-SA"/>
              </w:rPr>
              <w:t>Espediente zk</w:t>
            </w:r>
            <w:r w:rsidR="00550EC9">
              <w:rPr>
                <w:rFonts w:cs="Times New Roman"/>
                <w:sz w:val="22"/>
                <w:lang w:val="eu-ES" w:bidi="ar-SA"/>
              </w:rPr>
              <w:t xml:space="preserve">, INFOPU: </w:t>
            </w:r>
            <w:r>
              <w:rPr>
                <w:rFonts w:cs="Times New Roman"/>
                <w:sz w:val="22"/>
                <w:lang w:val="eu-ES" w:bidi="ar-SA"/>
              </w:rPr>
              <w:t>202</w:t>
            </w:r>
            <w:r w:rsidR="00306BF6">
              <w:rPr>
                <w:rFonts w:cs="Times New Roman"/>
                <w:sz w:val="22"/>
                <w:lang w:val="eu-ES" w:bidi="ar-SA"/>
              </w:rPr>
              <w:t>6</w:t>
            </w:r>
            <w:r>
              <w:rPr>
                <w:rFonts w:cs="Times New Roman"/>
                <w:sz w:val="22"/>
                <w:lang w:val="eu-ES" w:bidi="ar-SA"/>
              </w:rPr>
              <w:t>/000</w:t>
            </w:r>
            <w:r w:rsidR="00306BF6">
              <w:rPr>
                <w:rFonts w:cs="Times New Roman"/>
                <w:sz w:val="22"/>
                <w:lang w:val="eu-ES" w:bidi="ar-SA"/>
              </w:rPr>
              <w:t>18</w:t>
            </w:r>
            <w:r w:rsidR="00D821D6">
              <w:rPr>
                <w:rFonts w:cs="Times New Roman"/>
                <w:sz w:val="22"/>
                <w:lang w:val="eu-ES" w:bidi="ar-SA"/>
              </w:rPr>
              <w:t xml:space="preserve">                                     </w:t>
            </w:r>
          </w:p>
          <w:p w14:paraId="0FA2190B" w14:textId="5BC4BCCC" w:rsidR="007428C0" w:rsidRDefault="00A85CA4" w:rsidP="004C4BA2">
            <w:pPr>
              <w:rPr>
                <w:rFonts w:eastAsia="Calibri" w:cs="Times New Roman"/>
                <w:sz w:val="22"/>
                <w:szCs w:val="22"/>
                <w:lang w:val="eu-ES" w:eastAsia="en-US" w:bidi="ar-SA"/>
              </w:rPr>
            </w:pPr>
            <w:r w:rsidRPr="00A85CA4">
              <w:rPr>
                <w:rFonts w:eastAsia="Calibri" w:cs="Times New Roman"/>
                <w:sz w:val="22"/>
                <w:szCs w:val="22"/>
                <w:lang w:val="eu-ES" w:eastAsia="en-US" w:bidi="ar-SA"/>
              </w:rPr>
              <w:t>202</w:t>
            </w:r>
            <w:r w:rsidR="004B75F6">
              <w:rPr>
                <w:rFonts w:eastAsia="Calibri" w:cs="Times New Roman"/>
                <w:sz w:val="22"/>
                <w:szCs w:val="22"/>
                <w:lang w:val="eu-ES" w:eastAsia="en-US" w:bidi="ar-SA"/>
              </w:rPr>
              <w:t>6</w:t>
            </w:r>
            <w:r w:rsidRPr="00A85CA4">
              <w:rPr>
                <w:rFonts w:eastAsia="Calibri" w:cs="Times New Roman"/>
                <w:sz w:val="22"/>
                <w:szCs w:val="22"/>
                <w:lang w:val="eu-ES" w:eastAsia="en-US" w:bidi="ar-SA"/>
              </w:rPr>
              <w:t xml:space="preserve">ko </w:t>
            </w:r>
            <w:r w:rsidR="004B75F6">
              <w:rPr>
                <w:rFonts w:eastAsia="Calibri" w:cs="Times New Roman"/>
                <w:sz w:val="22"/>
                <w:szCs w:val="22"/>
                <w:lang w:val="eu-ES" w:eastAsia="en-US" w:bidi="ar-SA"/>
              </w:rPr>
              <w:t>otsailar</w:t>
            </w:r>
            <w:r w:rsidRPr="00A85CA4">
              <w:rPr>
                <w:rFonts w:eastAsia="Calibri" w:cs="Times New Roman"/>
                <w:sz w:val="22"/>
                <w:szCs w:val="22"/>
                <w:lang w:val="eu-ES" w:eastAsia="en-US" w:bidi="ar-SA"/>
              </w:rPr>
              <w:t xml:space="preserve">en </w:t>
            </w:r>
            <w:r w:rsidR="004B75F6">
              <w:rPr>
                <w:rFonts w:eastAsia="Calibri" w:cs="Times New Roman"/>
                <w:sz w:val="22"/>
                <w:szCs w:val="22"/>
                <w:lang w:val="eu-ES" w:eastAsia="en-US" w:bidi="ar-SA"/>
              </w:rPr>
              <w:t>16</w:t>
            </w:r>
            <w:r w:rsidRPr="005E103C">
              <w:rPr>
                <w:rFonts w:eastAsia="Calibri" w:cs="Times New Roman"/>
                <w:sz w:val="22"/>
                <w:szCs w:val="22"/>
                <w:lang w:val="eu-ES" w:eastAsia="en-US" w:bidi="ar-SA"/>
              </w:rPr>
              <w:t>an</w:t>
            </w:r>
            <w:r w:rsidR="007428C0" w:rsidRPr="005E103C">
              <w:rPr>
                <w:rFonts w:eastAsia="Calibri" w:cs="Times New Roman"/>
                <w:sz w:val="22"/>
                <w:szCs w:val="22"/>
                <w:lang w:val="eu-ES" w:eastAsia="en-US" w:bidi="ar-SA"/>
              </w:rPr>
              <w:t xml:space="preserve"> </w:t>
            </w:r>
            <w:r w:rsidR="00FD2030" w:rsidRPr="00692AD6">
              <w:rPr>
                <w:rFonts w:eastAsia="Calibri" w:cs="Times New Roman"/>
                <w:sz w:val="22"/>
                <w:szCs w:val="22"/>
                <w:lang w:val="eu-ES" w:eastAsia="en-US" w:bidi="ar-SA"/>
              </w:rPr>
              <w:t>Arabako Foru</w:t>
            </w:r>
            <w:r w:rsidR="00C03611">
              <w:rPr>
                <w:rFonts w:eastAsia="Calibri" w:cs="Times New Roman"/>
                <w:sz w:val="22"/>
                <w:szCs w:val="22"/>
                <w:lang w:val="eu-ES" w:eastAsia="en-US" w:bidi="ar-SA"/>
              </w:rPr>
              <w:t xml:space="preserve"> </w:t>
            </w:r>
            <w:r w:rsidR="00FD2030" w:rsidRPr="00FD2030">
              <w:rPr>
                <w:rFonts w:eastAsia="Calibri" w:cs="Times New Roman"/>
                <w:sz w:val="22"/>
                <w:szCs w:val="22"/>
                <w:lang w:val="eu-ES" w:eastAsia="en-US" w:bidi="ar-SA"/>
              </w:rPr>
              <w:t>Aldundiaren Egoitza</w:t>
            </w:r>
            <w:r w:rsidR="00FD2030" w:rsidRPr="005F4F0E">
              <w:rPr>
                <w:rFonts w:eastAsia="Calibri" w:cs="Times New Roman"/>
                <w:sz w:val="22"/>
                <w:szCs w:val="22"/>
                <w:lang w:val="eu-ES" w:eastAsia="en-US" w:bidi="ar-SA"/>
              </w:rPr>
              <w:t xml:space="preserve"> Elektronikoan</w:t>
            </w:r>
            <w:r w:rsidR="00767117">
              <w:rPr>
                <w:rFonts w:eastAsia="Calibri" w:cs="Times New Roman"/>
                <w:sz w:val="22"/>
                <w:szCs w:val="22"/>
                <w:lang w:val="eu-ES" w:eastAsia="en-US" w:bidi="ar-SA"/>
              </w:rPr>
              <w:t xml:space="preserve"> </w:t>
            </w:r>
            <w:r w:rsidR="007428C0" w:rsidRPr="005E103C">
              <w:rPr>
                <w:rFonts w:eastAsia="Calibri" w:cs="Times New Roman"/>
                <w:sz w:val="22"/>
                <w:szCs w:val="22"/>
                <w:lang w:val="eu-ES" w:eastAsia="en-US" w:bidi="ar-SA"/>
              </w:rPr>
              <w:t xml:space="preserve">jaso da </w:t>
            </w:r>
            <w:proofErr w:type="spellStart"/>
            <w:r w:rsidR="004A2DDC" w:rsidRPr="004A2DDC">
              <w:rPr>
                <w:rFonts w:eastAsia="Calibri" w:cs="Times New Roman"/>
                <w:sz w:val="22"/>
                <w:szCs w:val="22"/>
                <w:highlight w:val="black"/>
                <w:lang w:val="eu-ES" w:eastAsia="en-US" w:bidi="ar-SA"/>
              </w:rPr>
              <w:t>XXXXX</w:t>
            </w:r>
            <w:r w:rsidR="004A2DDC">
              <w:rPr>
                <w:rFonts w:eastAsia="Calibri" w:cs="Times New Roman"/>
                <w:sz w:val="22"/>
                <w:szCs w:val="22"/>
                <w:lang w:val="eu-ES" w:eastAsia="en-US" w:bidi="ar-SA"/>
              </w:rPr>
              <w:t>k</w:t>
            </w:r>
            <w:proofErr w:type="spellEnd"/>
            <w:r w:rsidR="006A1B85">
              <w:rPr>
                <w:rFonts w:eastAsia="Calibri" w:cs="Times New Roman"/>
                <w:sz w:val="22"/>
                <w:szCs w:val="22"/>
                <w:lang w:val="eu-ES" w:eastAsia="en-US" w:bidi="ar-SA"/>
              </w:rPr>
              <w:t xml:space="preserve"> </w:t>
            </w:r>
            <w:r w:rsidR="007428C0" w:rsidRPr="005E103C">
              <w:rPr>
                <w:rFonts w:eastAsia="Calibri" w:cs="Times New Roman"/>
                <w:sz w:val="22"/>
                <w:szCs w:val="22"/>
                <w:lang w:val="eu-ES" w:eastAsia="en-US" w:bidi="ar-SA"/>
              </w:rPr>
              <w:t>Arab</w:t>
            </w:r>
            <w:r w:rsidR="007428C0" w:rsidRPr="007428C0">
              <w:rPr>
                <w:rFonts w:eastAsia="Calibri" w:cs="Times New Roman"/>
                <w:sz w:val="22"/>
                <w:szCs w:val="22"/>
                <w:lang w:val="eu-ES" w:eastAsia="en-US" w:bidi="ar-SA"/>
              </w:rPr>
              <w:t>ako Lurralde Historikoko sektore publikoaren gardentasunaren, herritarren parte-hartzearen eta gobernu onaren otsailaren 8ko 1/2017 Foru Arauaren itzalpean informazio publikoa eskuratzeko aurkeztutako eskaera</w:t>
            </w:r>
            <w:r w:rsidR="002D5B93">
              <w:rPr>
                <w:rFonts w:eastAsia="Calibri" w:cs="Times New Roman"/>
                <w:sz w:val="22"/>
                <w:szCs w:val="22"/>
                <w:lang w:val="eu-ES" w:eastAsia="en-US" w:bidi="ar-SA"/>
              </w:rPr>
              <w:t>.</w:t>
            </w:r>
          </w:p>
          <w:p w14:paraId="2071E926" w14:textId="76B4AF2B" w:rsidR="00A95A0E" w:rsidRPr="00F80F09" w:rsidRDefault="009F6944" w:rsidP="00321012">
            <w:pPr>
              <w:spacing w:before="120"/>
              <w:rPr>
                <w:rFonts w:eastAsia="Calibri" w:cs="Times New Roman"/>
                <w:i/>
                <w:iCs/>
                <w:sz w:val="22"/>
                <w:szCs w:val="22"/>
                <w:lang w:val="eu-ES" w:eastAsia="en-US" w:bidi="ar-SA"/>
              </w:rPr>
            </w:pPr>
            <w:r>
              <w:rPr>
                <w:rFonts w:eastAsia="Calibri" w:cs="Times New Roman"/>
                <w:sz w:val="22"/>
                <w:szCs w:val="22"/>
                <w:lang w:val="eu-ES" w:eastAsia="en-US" w:bidi="ar-SA"/>
              </w:rPr>
              <w:t>I</w:t>
            </w:r>
            <w:r w:rsidRPr="00D81957">
              <w:rPr>
                <w:rFonts w:eastAsia="Calibri" w:cs="Times New Roman"/>
                <w:sz w:val="22"/>
                <w:szCs w:val="22"/>
                <w:lang w:val="eu-ES" w:eastAsia="en-US" w:bidi="ar-SA"/>
              </w:rPr>
              <w:t xml:space="preserve">nformazio publikoa eskatzen </w:t>
            </w:r>
            <w:r>
              <w:rPr>
                <w:rFonts w:eastAsia="Calibri" w:cs="Times New Roman"/>
                <w:sz w:val="22"/>
                <w:szCs w:val="22"/>
                <w:lang w:val="eu-ES" w:eastAsia="en-US" w:bidi="ar-SA"/>
              </w:rPr>
              <w:t>zuen, hain zuzen</w:t>
            </w:r>
            <w:r w:rsidRPr="009F6944">
              <w:rPr>
                <w:rFonts w:eastAsia="Calibri" w:cs="Times New Roman"/>
                <w:i/>
                <w:iCs/>
                <w:sz w:val="22"/>
                <w:szCs w:val="22"/>
                <w:lang w:val="eu-ES" w:eastAsia="en-US" w:bidi="ar-SA"/>
              </w:rPr>
              <w:t xml:space="preserve"> </w:t>
            </w:r>
            <w:r w:rsidR="00E31BAE">
              <w:rPr>
                <w:rFonts w:eastAsia="Calibri" w:cs="Times New Roman"/>
                <w:i/>
                <w:iCs/>
                <w:sz w:val="22"/>
                <w:szCs w:val="22"/>
                <w:lang w:val="eu-ES" w:eastAsia="en-US" w:bidi="ar-SA"/>
              </w:rPr>
              <w:t>“</w:t>
            </w:r>
            <w:r w:rsidRPr="009F6944">
              <w:rPr>
                <w:rFonts w:eastAsia="Calibri" w:cs="Times New Roman"/>
                <w:i/>
                <w:iCs/>
                <w:sz w:val="22"/>
                <w:szCs w:val="22"/>
                <w:lang w:val="eu-ES" w:eastAsia="en-US" w:bidi="ar-SA"/>
              </w:rPr>
              <w:t xml:space="preserve">2008, 2009, 2010, 2011, 2012 eta 2020, 2021, 2022, 2023 eta 2024 ekitaldiei buruzko honako </w:t>
            </w:r>
            <w:r w:rsidRPr="00F80F09">
              <w:rPr>
                <w:rFonts w:eastAsia="Calibri" w:cs="Times New Roman"/>
                <w:i/>
                <w:iCs/>
                <w:sz w:val="22"/>
                <w:szCs w:val="22"/>
                <w:lang w:val="eu-ES" w:eastAsia="en-US" w:bidi="ar-SA"/>
              </w:rPr>
              <w:t>estatistika-informazio hau:</w:t>
            </w:r>
          </w:p>
          <w:p w14:paraId="3436898D" w14:textId="7C08B0C2" w:rsidR="00B13EE0" w:rsidRPr="00F80F09" w:rsidRDefault="00F80F09" w:rsidP="00321012">
            <w:pPr>
              <w:spacing w:before="120"/>
              <w:rPr>
                <w:rFonts w:eastAsia="Calibri" w:cs="Times New Roman"/>
                <w:i/>
                <w:iCs/>
                <w:sz w:val="22"/>
                <w:szCs w:val="22"/>
                <w:lang w:val="eu-ES" w:eastAsia="en-US" w:bidi="ar-SA"/>
              </w:rPr>
            </w:pPr>
            <w:r w:rsidRPr="00F80F09">
              <w:rPr>
                <w:rFonts w:eastAsia="Calibri" w:cs="Times New Roman"/>
                <w:i/>
                <w:iCs/>
                <w:sz w:val="22"/>
                <w:szCs w:val="22"/>
                <w:lang w:val="eu-ES" w:eastAsia="en-US" w:bidi="ar-SA"/>
              </w:rPr>
              <w:t>1. Urtero formalizatutako ikuskapen-akten kopurua, izaeraren arabera banakatuta: a) Adostasun-aktak (6/2005 FA, 151. art.) b) Desadostasun-aktak (061/2005 FA, 152. art.)</w:t>
            </w:r>
          </w:p>
          <w:p w14:paraId="769AE5C8" w14:textId="03FC07ED" w:rsidR="00B13EE0" w:rsidRDefault="00432EBD" w:rsidP="00F80F09">
            <w:pPr>
              <w:spacing w:before="120"/>
              <w:rPr>
                <w:rFonts w:eastAsia="Calibri" w:cs="Times New Roman"/>
                <w:i/>
                <w:iCs/>
                <w:sz w:val="22"/>
                <w:szCs w:val="22"/>
                <w:lang w:val="eu-ES" w:eastAsia="en-US" w:bidi="ar-SA"/>
              </w:rPr>
            </w:pPr>
            <w:r w:rsidRPr="00432EBD">
              <w:rPr>
                <w:rFonts w:eastAsia="Calibri" w:cs="Times New Roman"/>
                <w:i/>
                <w:iCs/>
                <w:sz w:val="22"/>
                <w:szCs w:val="22"/>
                <w:lang w:val="eu-ES" w:eastAsia="en-US" w:bidi="ar-SA"/>
              </w:rPr>
              <w:t>2. Zerga Ikuskaritzak emandako egintzen aurka Arabako Foru Auzitegi Ekonomiko Administratiboan urtero aurkeztutako erreklamazio ekonomiko-administratiboen kopurua.</w:t>
            </w:r>
          </w:p>
          <w:p w14:paraId="0FEB86EC" w14:textId="48C0B6D3" w:rsidR="00432EBD" w:rsidRDefault="00FA6DFC" w:rsidP="00F80F09">
            <w:pPr>
              <w:spacing w:before="120"/>
              <w:rPr>
                <w:rFonts w:eastAsia="Calibri" w:cs="Times New Roman"/>
                <w:i/>
                <w:iCs/>
                <w:sz w:val="22"/>
                <w:szCs w:val="22"/>
                <w:lang w:val="eu-ES" w:eastAsia="en-US" w:bidi="ar-SA"/>
              </w:rPr>
            </w:pPr>
            <w:r w:rsidRPr="00FA6DFC">
              <w:rPr>
                <w:rFonts w:eastAsia="Calibri" w:cs="Times New Roman"/>
                <w:i/>
                <w:iCs/>
                <w:sz w:val="22"/>
                <w:szCs w:val="22"/>
                <w:lang w:val="eu-ES" w:eastAsia="en-US" w:bidi="ar-SA"/>
              </w:rPr>
              <w:t>3. Erreklamazio horien banakapena, aurkaratutako egintza adostasun- edo desadostasun-akta baten ondorio ote zen kontuan hartuta.</w:t>
            </w:r>
          </w:p>
          <w:p w14:paraId="447C292B" w14:textId="50AFAFFD" w:rsidR="00FA6DFC" w:rsidRPr="00F80F09" w:rsidRDefault="00FA6DFC" w:rsidP="00321012">
            <w:pPr>
              <w:spacing w:before="120" w:after="360"/>
              <w:rPr>
                <w:rFonts w:eastAsia="Calibri" w:cs="Times New Roman"/>
                <w:i/>
                <w:iCs/>
                <w:sz w:val="22"/>
                <w:szCs w:val="22"/>
                <w:lang w:val="eu-ES" w:eastAsia="en-US" w:bidi="ar-SA"/>
              </w:rPr>
            </w:pPr>
            <w:r w:rsidRPr="00FA6DFC">
              <w:rPr>
                <w:rFonts w:eastAsia="Calibri" w:cs="Times New Roman"/>
                <w:i/>
                <w:iCs/>
                <w:sz w:val="22"/>
                <w:szCs w:val="22"/>
                <w:lang w:val="eu-ES" w:eastAsia="en-US" w:bidi="ar-SA"/>
              </w:rPr>
              <w:t>4. FAEAk desadostasun-aktetatik eratorritako likidazioak ezeztatzeko tasa (balioespen osoa edo partziala), adostasun-akten aldean.</w:t>
            </w:r>
            <w:r>
              <w:rPr>
                <w:rFonts w:eastAsia="Calibri" w:cs="Times New Roman"/>
                <w:i/>
                <w:iCs/>
                <w:sz w:val="22"/>
                <w:szCs w:val="22"/>
                <w:lang w:val="eu-ES" w:eastAsia="en-US" w:bidi="ar-SA"/>
              </w:rPr>
              <w:t>”</w:t>
            </w:r>
          </w:p>
          <w:p w14:paraId="1FD09D97" w14:textId="57F082E3" w:rsidR="003E5602" w:rsidRDefault="00561359" w:rsidP="00321012">
            <w:pPr>
              <w:rPr>
                <w:rFonts w:eastAsia="Calibri" w:cs="Times New Roman"/>
                <w:sz w:val="22"/>
                <w:szCs w:val="22"/>
                <w:lang w:val="eu-ES" w:eastAsia="en-US" w:bidi="ar-SA"/>
              </w:rPr>
            </w:pPr>
            <w:r>
              <w:rPr>
                <w:rFonts w:eastAsia="Calibri" w:cs="Times New Roman"/>
                <w:sz w:val="22"/>
                <w:szCs w:val="22"/>
                <w:lang w:val="eu-ES" w:eastAsia="en-US" w:bidi="ar-SA"/>
              </w:rPr>
              <w:t>Otsail</w:t>
            </w:r>
            <w:r w:rsidR="003E5602">
              <w:rPr>
                <w:rFonts w:eastAsia="Calibri" w:cs="Times New Roman"/>
                <w:sz w:val="22"/>
                <w:szCs w:val="22"/>
                <w:lang w:val="eu-ES" w:eastAsia="en-US" w:bidi="ar-SA"/>
              </w:rPr>
              <w:t xml:space="preserve">aren </w:t>
            </w:r>
            <w:r>
              <w:rPr>
                <w:rFonts w:eastAsia="Calibri" w:cs="Times New Roman"/>
                <w:sz w:val="22"/>
                <w:szCs w:val="22"/>
                <w:lang w:val="eu-ES" w:eastAsia="en-US" w:bidi="ar-SA"/>
              </w:rPr>
              <w:t>17</w:t>
            </w:r>
            <w:r w:rsidR="003E5602">
              <w:rPr>
                <w:rFonts w:eastAsia="Calibri" w:cs="Times New Roman"/>
                <w:sz w:val="22"/>
                <w:szCs w:val="22"/>
                <w:lang w:val="eu-ES" w:eastAsia="en-US" w:bidi="ar-SA"/>
              </w:rPr>
              <w:t>a</w:t>
            </w:r>
            <w:r w:rsidR="003E5602" w:rsidRPr="003E5602">
              <w:rPr>
                <w:rFonts w:eastAsia="Calibri" w:cs="Times New Roman"/>
                <w:sz w:val="22"/>
                <w:szCs w:val="22"/>
                <w:lang w:val="eu-ES" w:eastAsia="en-US" w:bidi="ar-SA"/>
              </w:rPr>
              <w:t>n eskaera Ogasun, Finantza eta Aurrekontuen Idazkaritza Teknikoa</w:t>
            </w:r>
            <w:r w:rsidR="003E5602">
              <w:rPr>
                <w:rFonts w:eastAsia="Calibri" w:cs="Times New Roman"/>
                <w:sz w:val="22"/>
                <w:szCs w:val="22"/>
                <w:lang w:val="eu-ES" w:eastAsia="en-US" w:bidi="ar-SA"/>
              </w:rPr>
              <w:t>n</w:t>
            </w:r>
            <w:r w:rsidR="003E5602" w:rsidRPr="003E5602">
              <w:rPr>
                <w:rFonts w:eastAsia="Calibri" w:cs="Times New Roman"/>
                <w:sz w:val="22"/>
                <w:szCs w:val="22"/>
                <w:lang w:val="eu-ES" w:eastAsia="en-US" w:bidi="ar-SA"/>
              </w:rPr>
              <w:t xml:space="preserve"> jaso zen. </w:t>
            </w:r>
            <w:r w:rsidR="003E5602" w:rsidRPr="003E5602">
              <w:rPr>
                <w:rFonts w:eastAsia="Calibri" w:cs="Times New Roman"/>
                <w:sz w:val="22"/>
                <w:szCs w:val="22"/>
                <w:lang w:val="eu-ES" w:eastAsia="en-US" w:bidi="ar-SA"/>
              </w:rPr>
              <w:lastRenderedPageBreak/>
              <w:t>Izan ere, horixe da izapideen ardura daukan unitate administratiboa.</w:t>
            </w:r>
          </w:p>
          <w:p w14:paraId="77D635B7" w14:textId="7BF248D6" w:rsidR="0040099E" w:rsidRDefault="009231F2" w:rsidP="00321012">
            <w:pPr>
              <w:spacing w:before="120"/>
              <w:rPr>
                <w:rFonts w:eastAsia="Calibri" w:cs="Times New Roman"/>
                <w:sz w:val="22"/>
                <w:szCs w:val="22"/>
                <w:lang w:val="eu-ES" w:eastAsia="en-US" w:bidi="ar-SA"/>
              </w:rPr>
            </w:pPr>
            <w:r w:rsidRPr="009231F2">
              <w:rPr>
                <w:rFonts w:eastAsia="Calibri" w:cs="Times New Roman"/>
                <w:sz w:val="22"/>
                <w:szCs w:val="22"/>
                <w:lang w:val="eu-ES" w:eastAsia="en-US" w:bidi="ar-SA"/>
              </w:rPr>
              <w:t>Eskaera Ogasun, Finantza eta Aurrekontu Saileko Ogasun Zuzendaritzari helarazi ondoren, Ogasun zuzendariak txostena egin zuen, eta bertan honako hau adierazi zen:</w:t>
            </w:r>
          </w:p>
          <w:p w14:paraId="59DB4D04" w14:textId="77777777" w:rsidR="003A3838" w:rsidRDefault="003A3838" w:rsidP="004C4BA2">
            <w:pPr>
              <w:spacing w:before="120"/>
              <w:rPr>
                <w:rFonts w:eastAsia="Calibri" w:cs="Times New Roman"/>
                <w:sz w:val="22"/>
                <w:szCs w:val="22"/>
                <w:lang w:val="eu-ES" w:eastAsia="en-US" w:bidi="ar-SA"/>
              </w:rPr>
            </w:pPr>
          </w:p>
          <w:p w14:paraId="1044ABE8" w14:textId="3F359330" w:rsidR="006C0E68" w:rsidRPr="006C0E68" w:rsidRDefault="006C0E68" w:rsidP="0069173D">
            <w:pPr>
              <w:rPr>
                <w:rFonts w:eastAsia="Calibri" w:cs="Times New Roman"/>
                <w:i/>
                <w:iCs/>
                <w:sz w:val="22"/>
                <w:szCs w:val="22"/>
                <w:lang w:val="eu-ES" w:eastAsia="en-US" w:bidi="ar-SA"/>
              </w:rPr>
            </w:pPr>
            <w:r w:rsidRPr="006C0E68">
              <w:rPr>
                <w:rFonts w:eastAsia="Calibri" w:cs="Times New Roman"/>
                <w:i/>
                <w:iCs/>
                <w:sz w:val="22"/>
                <w:szCs w:val="22"/>
                <w:lang w:val="eu-ES" w:eastAsia="en-US" w:bidi="ar-SA"/>
              </w:rPr>
              <w:t xml:space="preserve">Eskaeraren xedea ez da dauden eta dagoeneko finkatuta dauden dokumentu edo serie estatistikoak zuzenean eta berehala eskuragarri dagoen biltegi edo urteko txosten bakar batean eskatzera mugatzen, baizik eta, ondoz ondokoak ez diren urte askotarako, </w:t>
            </w:r>
            <w:r w:rsidR="004164EC" w:rsidRPr="006C0E68">
              <w:rPr>
                <w:rFonts w:eastAsia="Calibri" w:cs="Times New Roman"/>
                <w:i/>
                <w:iCs/>
                <w:sz w:val="22"/>
                <w:szCs w:val="22"/>
                <w:lang w:val="eu-ES" w:eastAsia="en-US" w:bidi="ar-SA"/>
              </w:rPr>
              <w:t>output</w:t>
            </w:r>
            <w:r w:rsidRPr="006C0E68">
              <w:rPr>
                <w:rFonts w:eastAsia="Calibri" w:cs="Times New Roman"/>
                <w:i/>
                <w:iCs/>
                <w:sz w:val="22"/>
                <w:szCs w:val="22"/>
                <w:lang w:val="eu-ES" w:eastAsia="en-US" w:bidi="ar-SA"/>
              </w:rPr>
              <w:t xml:space="preserve"> estatistiko desberdinak eskatzen ditu (motaren araberako aktak;</w:t>
            </w:r>
            <w:r>
              <w:rPr>
                <w:rFonts w:eastAsia="Calibri" w:cs="Times New Roman"/>
                <w:i/>
                <w:iCs/>
                <w:sz w:val="22"/>
                <w:szCs w:val="22"/>
                <w:lang w:val="eu-ES" w:eastAsia="en-US" w:bidi="ar-SA"/>
              </w:rPr>
              <w:t xml:space="preserve"> </w:t>
            </w:r>
            <w:r w:rsidRPr="006C0E68">
              <w:rPr>
                <w:rFonts w:eastAsia="Calibri" w:cs="Times New Roman"/>
                <w:i/>
                <w:iCs/>
                <w:sz w:val="22"/>
                <w:szCs w:val="22"/>
                <w:lang w:val="eu-ES" w:eastAsia="en-US" w:bidi="ar-SA"/>
              </w:rPr>
              <w:t>REA</w:t>
            </w:r>
            <w:r>
              <w:rPr>
                <w:rFonts w:eastAsia="Calibri" w:cs="Times New Roman"/>
                <w:i/>
                <w:iCs/>
                <w:sz w:val="22"/>
                <w:szCs w:val="22"/>
                <w:lang w:val="eu-ES" w:eastAsia="en-US" w:bidi="ar-SA"/>
              </w:rPr>
              <w:t xml:space="preserve"> urtearen arabera</w:t>
            </w:r>
            <w:r w:rsidRPr="006C0E68">
              <w:rPr>
                <w:rFonts w:eastAsia="Calibri" w:cs="Times New Roman"/>
                <w:i/>
                <w:iCs/>
                <w:sz w:val="22"/>
                <w:szCs w:val="22"/>
                <w:lang w:val="eu-ES" w:eastAsia="en-US" w:bidi="ar-SA"/>
              </w:rPr>
              <w:t>; aktaren motaren araberako REA gurutzaketa; eta, gainera, bi akten arteko konparazioa egiten duen organo berrikuslearen “deuseztatze/</w:t>
            </w:r>
            <w:r w:rsidR="004164EC">
              <w:rPr>
                <w:rFonts w:eastAsia="Calibri" w:cs="Times New Roman"/>
                <w:i/>
                <w:iCs/>
                <w:sz w:val="22"/>
                <w:szCs w:val="22"/>
                <w:lang w:val="eu-ES" w:eastAsia="en-US" w:bidi="ar-SA"/>
              </w:rPr>
              <w:t>balioeste</w:t>
            </w:r>
            <w:r w:rsidRPr="006C0E68">
              <w:rPr>
                <w:rFonts w:eastAsia="Calibri" w:cs="Times New Roman"/>
                <w:i/>
                <w:iCs/>
                <w:sz w:val="22"/>
                <w:szCs w:val="22"/>
                <w:lang w:val="eu-ES" w:eastAsia="en-US" w:bidi="ar-SA"/>
              </w:rPr>
              <w:t xml:space="preserve"> tasa”)</w:t>
            </w:r>
            <w:r w:rsidR="004164EC">
              <w:rPr>
                <w:rFonts w:eastAsia="Calibri" w:cs="Times New Roman"/>
                <w:i/>
                <w:iCs/>
                <w:sz w:val="22"/>
                <w:szCs w:val="22"/>
                <w:lang w:val="eu-ES" w:eastAsia="en-US" w:bidi="ar-SA"/>
              </w:rPr>
              <w:t>.</w:t>
            </w:r>
          </w:p>
          <w:p w14:paraId="7546F7DE" w14:textId="4BB3F117" w:rsidR="00B86F17" w:rsidRPr="004164EC" w:rsidRDefault="004164EC" w:rsidP="004C4BA2">
            <w:pPr>
              <w:spacing w:before="120"/>
              <w:rPr>
                <w:rFonts w:eastAsia="Calibri" w:cs="Times New Roman"/>
                <w:i/>
                <w:iCs/>
                <w:sz w:val="22"/>
                <w:szCs w:val="22"/>
                <w:lang w:val="eu-ES" w:eastAsia="en-US" w:bidi="ar-SA"/>
              </w:rPr>
            </w:pPr>
            <w:r w:rsidRPr="004164EC">
              <w:rPr>
                <w:rFonts w:eastAsia="Calibri" w:cs="Times New Roman"/>
                <w:i/>
                <w:iCs/>
                <w:sz w:val="22"/>
                <w:szCs w:val="22"/>
                <w:lang w:val="eu-ES" w:eastAsia="en-US" w:bidi="ar-SA"/>
              </w:rPr>
              <w:t>Barne-antolamenduari dagokionez, erantzuten saiatzeko behar den informazioa zatikatuta egongo litzateke, eta, beraz, eskatutakoaren arabera erantzuteko, beharrezkoa izango litzateke jarduera konplexu bat egitea, ez lehendik dagoen dokumentu bat ematea, ezta aurrez konfiguratutako zerrenda edo txosten bat zuzenean eta linealki ateratzea ere, baizik eta sakabanatutako datuak biltzea, ordenatzea eta bereiztea, elkarrekikotasuna eta trinkotasuna egiaztatzea (urteka, akta-motaren arabera, aurkaratutako egintzaren arabera eta emaitzaren arabera), serie homogeneoak sortzeko sistematizatzea, eta, azkenik, emaitza estatistiko erantsi bat egitea eta zabaltzea ("deuseztatzeko/balioesteko tasa osoa edo partziala" ratioak barne), zeinak, bere izaeragatik, ad hoc eraikitzea eskatuko bailuke.</w:t>
            </w:r>
          </w:p>
          <w:p w14:paraId="17614B66" w14:textId="138449E7" w:rsidR="00B86F17" w:rsidRPr="004164EC" w:rsidRDefault="005975D4" w:rsidP="004C4BA2">
            <w:pPr>
              <w:spacing w:before="120"/>
              <w:rPr>
                <w:rFonts w:eastAsia="Calibri" w:cs="Times New Roman"/>
                <w:i/>
                <w:iCs/>
                <w:sz w:val="22"/>
                <w:szCs w:val="22"/>
                <w:lang w:val="eu-ES" w:eastAsia="en-US" w:bidi="ar-SA"/>
              </w:rPr>
            </w:pPr>
            <w:r w:rsidRPr="005975D4">
              <w:rPr>
                <w:rFonts w:eastAsia="Calibri" w:cs="Times New Roman"/>
                <w:i/>
                <w:iCs/>
                <w:sz w:val="22"/>
                <w:szCs w:val="22"/>
                <w:lang w:val="eu-ES" w:eastAsia="en-US" w:bidi="ar-SA"/>
              </w:rPr>
              <w:t xml:space="preserve">Eskabideak, ekitaldi multzo zabal baterako, estatistika eta gurutzaketa sorta bat eskatzen du, honako hauek eskatzen dituztenak: (i) akten kokapena urteko tipologiaren arabera, (ii) erreklamazioen kokapena FAEAn urtearen eta jatorriaren arabera (ikuskapen-egintza), (iii) erreklamazio bakoitzaren eta aurkaratutako egintzaren jatorrian dagoen akta-motaren arteko lotura, eta (iv) irizpide homogeneoekin, baiespen-emaitza osoa edo partziala zehaztea eta "tasa" gisa eranstea, akta-motaren arabera segmentatuta. Laugarren bloke honek, gainera, adierazle bat (ratioa) eraikitzea eskatzen du, zeina ez baita dagoeneko argitaratuta dagoen </w:t>
            </w:r>
            <w:r w:rsidRPr="005975D4">
              <w:rPr>
                <w:rFonts w:eastAsia="Calibri" w:cs="Times New Roman"/>
                <w:i/>
                <w:iCs/>
                <w:sz w:val="22"/>
                <w:szCs w:val="22"/>
                <w:lang w:val="eu-ES" w:eastAsia="en-US" w:bidi="ar-SA"/>
              </w:rPr>
              <w:lastRenderedPageBreak/>
              <w:t>serie bat entregatze hutsaren baliokidea, baizik eta estatistika lanketa finalista baten baliokidea.</w:t>
            </w:r>
          </w:p>
          <w:p w14:paraId="04CB2CF6" w14:textId="4C2E518F" w:rsidR="00B86F17" w:rsidRDefault="00AA4519" w:rsidP="004C4BA2">
            <w:pPr>
              <w:spacing w:before="120"/>
              <w:rPr>
                <w:rFonts w:eastAsia="Calibri" w:cs="Times New Roman"/>
                <w:i/>
                <w:iCs/>
                <w:sz w:val="22"/>
                <w:szCs w:val="22"/>
                <w:lang w:val="eu-ES" w:eastAsia="en-US" w:bidi="ar-SA"/>
              </w:rPr>
            </w:pPr>
            <w:r w:rsidRPr="00AA4519">
              <w:rPr>
                <w:rFonts w:eastAsia="Calibri" w:cs="Times New Roman"/>
                <w:i/>
                <w:iCs/>
                <w:sz w:val="22"/>
                <w:szCs w:val="22"/>
                <w:lang w:val="eu-ES" w:eastAsia="en-US" w:bidi="ar-SA"/>
              </w:rPr>
              <w:t xml:space="preserve">Beraz, legezko zentzuan </w:t>
            </w:r>
            <w:r w:rsidRPr="007E5415">
              <w:rPr>
                <w:rFonts w:eastAsia="Calibri" w:cs="Times New Roman"/>
                <w:b/>
                <w:bCs/>
                <w:i/>
                <w:iCs/>
                <w:sz w:val="22"/>
                <w:szCs w:val="22"/>
                <w:lang w:val="eu-ES" w:eastAsia="en-US" w:bidi="ar-SA"/>
              </w:rPr>
              <w:t>birlantzeko</w:t>
            </w:r>
            <w:r w:rsidRPr="00AA4519">
              <w:rPr>
                <w:rFonts w:eastAsia="Calibri" w:cs="Times New Roman"/>
                <w:i/>
                <w:iCs/>
                <w:sz w:val="22"/>
                <w:szCs w:val="22"/>
                <w:lang w:val="eu-ES" w:eastAsia="en-US" w:bidi="ar-SA"/>
              </w:rPr>
              <w:t xml:space="preserve"> aurretiazko ekintza baten beharra dago: </w:t>
            </w:r>
            <w:r w:rsidR="00F94229" w:rsidRPr="00F94229">
              <w:rPr>
                <w:rFonts w:eastAsia="Calibri" w:cs="Times New Roman"/>
                <w:i/>
                <w:iCs/>
                <w:sz w:val="22"/>
                <w:szCs w:val="22"/>
                <w:lang w:val="eu-ES" w:eastAsia="en-US" w:bidi="ar-SA"/>
              </w:rPr>
              <w:t xml:space="preserve">Administrazioak eskaerari erantzuteko modu bakarra izango luke sakabanatuta eta </w:t>
            </w:r>
            <w:r w:rsidR="00F94229">
              <w:rPr>
                <w:rFonts w:eastAsia="Calibri" w:cs="Times New Roman"/>
                <w:i/>
                <w:iCs/>
                <w:sz w:val="22"/>
                <w:szCs w:val="22"/>
                <w:lang w:val="eu-ES" w:eastAsia="en-US" w:bidi="ar-SA"/>
              </w:rPr>
              <w:t>barreiatua</w:t>
            </w:r>
            <w:r w:rsidR="00F94229" w:rsidRPr="00F94229">
              <w:rPr>
                <w:rFonts w:eastAsia="Calibri" w:cs="Times New Roman"/>
                <w:i/>
                <w:iCs/>
                <w:sz w:val="22"/>
                <w:szCs w:val="22"/>
                <w:lang w:val="eu-ES" w:eastAsia="en-US" w:bidi="ar-SA"/>
              </w:rPr>
              <w:t xml:space="preserve"> dagoen informazioa biltzea (hainbat espediente eta oinarritan, euskarri fisiko eta/edo informatikoetan)</w:t>
            </w:r>
            <w:r w:rsidRPr="00AA4519">
              <w:rPr>
                <w:rFonts w:eastAsia="Calibri" w:cs="Times New Roman"/>
                <w:i/>
                <w:iCs/>
                <w:sz w:val="22"/>
                <w:szCs w:val="22"/>
                <w:lang w:val="eu-ES" w:eastAsia="en-US" w:bidi="ar-SA"/>
              </w:rPr>
              <w:t>, datuak ordenatu eta arazteko, aldagai berriak sortzeko datuak gurutzatzeko (erreklamazioaren jatorria akta-motaren arabera; mota bateko edo besteko aktetatik eratorritako likidazioei egotz dakiekeen baiespen-emaitza), eta, azkenik, estatistika-produktu bat sistematizatu eta zabaltzeko. Produktu hori, eskatutako moduan, ez dator bat existitzen den dokumentu batekin, ezta irteera estandar batekin ere.</w:t>
            </w:r>
          </w:p>
          <w:p w14:paraId="3AFA596F" w14:textId="7D878B1E" w:rsidR="008619CF" w:rsidRDefault="001C7B8D" w:rsidP="00321012">
            <w:pPr>
              <w:spacing w:before="120"/>
              <w:rPr>
                <w:sz w:val="22"/>
                <w:szCs w:val="22"/>
                <w:lang w:val="eu-ES"/>
              </w:rPr>
            </w:pPr>
            <w:r w:rsidRPr="001C7B8D">
              <w:rPr>
                <w:sz w:val="22"/>
                <w:szCs w:val="22"/>
                <w:lang w:val="eu-ES"/>
              </w:rPr>
              <w:t>Kasu hori onartezintzat jotzen da Gardentasunari, informazio publikoa eskuratzeko bideari eta gobernu onari buruzko abenduaren 9ko 19/2013 Legearen 18.1 c) artikuluan, aldez aurretik berregitea behar duten informazio-eskaerak jasotzen baititu.</w:t>
            </w:r>
          </w:p>
          <w:p w14:paraId="1E923CE0" w14:textId="77777777" w:rsidR="00B86F17" w:rsidRDefault="00B86F17" w:rsidP="004C4BA2">
            <w:pPr>
              <w:spacing w:before="120"/>
              <w:rPr>
                <w:sz w:val="22"/>
                <w:szCs w:val="22"/>
                <w:lang w:val="eu-ES"/>
              </w:rPr>
            </w:pPr>
          </w:p>
          <w:p w14:paraId="4D284158" w14:textId="4C4BBE78" w:rsidR="00E61B73" w:rsidRDefault="005B49D7" w:rsidP="004C4BA2">
            <w:pPr>
              <w:spacing w:before="120"/>
              <w:rPr>
                <w:sz w:val="22"/>
                <w:szCs w:val="22"/>
                <w:lang w:val="eu-ES"/>
              </w:rPr>
            </w:pPr>
            <w:r w:rsidRPr="005B49D7">
              <w:rPr>
                <w:sz w:val="22"/>
                <w:szCs w:val="22"/>
                <w:lang w:val="eu-ES"/>
              </w:rPr>
              <w:t>Bestalde, agerian jartzen da, halaber, Arabako Lurralde Historikoko sektore publikoaren gardentasunar</w:t>
            </w:r>
            <w:r w:rsidR="006A5614">
              <w:rPr>
                <w:sz w:val="22"/>
                <w:szCs w:val="22"/>
                <w:lang w:val="eu-ES"/>
              </w:rPr>
              <w:t>en</w:t>
            </w:r>
            <w:r w:rsidRPr="005B49D7">
              <w:rPr>
                <w:sz w:val="22"/>
                <w:szCs w:val="22"/>
                <w:lang w:val="eu-ES"/>
              </w:rPr>
              <w:t>, herritarren parte-hartzear</w:t>
            </w:r>
            <w:r w:rsidR="006A5614">
              <w:rPr>
                <w:sz w:val="22"/>
                <w:szCs w:val="22"/>
                <w:lang w:val="eu-ES"/>
              </w:rPr>
              <w:t>en</w:t>
            </w:r>
            <w:r w:rsidRPr="005B49D7">
              <w:rPr>
                <w:sz w:val="22"/>
                <w:szCs w:val="22"/>
                <w:lang w:val="eu-ES"/>
              </w:rPr>
              <w:t xml:space="preserve"> eta gobernu onar</w:t>
            </w:r>
            <w:r w:rsidR="006A5614">
              <w:rPr>
                <w:sz w:val="22"/>
                <w:szCs w:val="22"/>
                <w:lang w:val="eu-ES"/>
              </w:rPr>
              <w:t>en</w:t>
            </w:r>
            <w:r w:rsidRPr="005B49D7">
              <w:rPr>
                <w:sz w:val="22"/>
                <w:szCs w:val="22"/>
                <w:lang w:val="eu-ES"/>
              </w:rPr>
              <w:t xml:space="preserve"> otsailaren 8ko 1/2017 Foru Arauaren 31.4 artikuluaren c) letran aurreikusitako sarbide-muga betetzen dela, bai eta, termino berdinetan, </w:t>
            </w:r>
            <w:r w:rsidR="006A5614">
              <w:rPr>
                <w:sz w:val="22"/>
                <w:szCs w:val="22"/>
                <w:lang w:val="eu-ES"/>
              </w:rPr>
              <w:t>G</w:t>
            </w:r>
            <w:r w:rsidRPr="005B49D7">
              <w:rPr>
                <w:sz w:val="22"/>
                <w:szCs w:val="22"/>
                <w:lang w:val="eu-ES"/>
              </w:rPr>
              <w:t xml:space="preserve">ardentasunari, informazio publikoa eskuratzeko bideari eta gobernu onari buruzko abenduaren 9ko 19/2013 Legearen 14.1 g) artikuluan aurreikusitakoa ere, hau da, informazioa eskuratzeak </w:t>
            </w:r>
            <w:r w:rsidRPr="006A5614">
              <w:rPr>
                <w:b/>
                <w:bCs/>
                <w:sz w:val="22"/>
                <w:szCs w:val="22"/>
                <w:lang w:val="eu-ES"/>
              </w:rPr>
              <w:t>zaintza, ikuskaritza eta kontroleko administrazio-funtzioei kalte egiten dienean</w:t>
            </w:r>
            <w:r w:rsidRPr="005B49D7">
              <w:rPr>
                <w:sz w:val="22"/>
                <w:szCs w:val="22"/>
                <w:lang w:val="eu-ES"/>
              </w:rPr>
              <w:t>.</w:t>
            </w:r>
          </w:p>
          <w:p w14:paraId="1CD84C92" w14:textId="6F5C00E5" w:rsidR="006A5614" w:rsidRDefault="003E7E0C" w:rsidP="00321012">
            <w:pPr>
              <w:spacing w:before="120"/>
              <w:rPr>
                <w:sz w:val="22"/>
                <w:szCs w:val="22"/>
                <w:lang w:val="eu-ES"/>
              </w:rPr>
            </w:pPr>
            <w:r w:rsidRPr="003E7E0C">
              <w:rPr>
                <w:sz w:val="22"/>
                <w:szCs w:val="22"/>
                <w:lang w:val="eu-ES"/>
              </w:rPr>
              <w:t>Izan ere, kasu</w:t>
            </w:r>
            <w:r>
              <w:rPr>
                <w:sz w:val="22"/>
                <w:szCs w:val="22"/>
                <w:lang w:val="eu-ES"/>
              </w:rPr>
              <w:t xml:space="preserve"> honet</w:t>
            </w:r>
            <w:r w:rsidRPr="003E7E0C">
              <w:rPr>
                <w:sz w:val="22"/>
                <w:szCs w:val="22"/>
                <w:lang w:val="eu-ES"/>
              </w:rPr>
              <w:t xml:space="preserve">an, </w:t>
            </w:r>
            <w:r w:rsidRPr="00F577D4">
              <w:rPr>
                <w:i/>
                <w:iCs/>
                <w:sz w:val="22"/>
                <w:szCs w:val="22"/>
                <w:lang w:val="eu-ES"/>
              </w:rPr>
              <w:t>eskatutako informazioaren izaera bera (ikuskaritza-jarduera eta horren "emaitza" bide ekonomiko-administratiboan) zuzenean lotzen da Administrazioak bere kontrol-jarduerak modu eraginkorrean diseinatzeko eta gauzatzeko duen gaitasunarekin</w:t>
            </w:r>
            <w:r w:rsidRPr="003E7E0C">
              <w:rPr>
                <w:sz w:val="22"/>
                <w:szCs w:val="22"/>
                <w:lang w:val="eu-ES"/>
              </w:rPr>
              <w:t>.</w:t>
            </w:r>
          </w:p>
          <w:p w14:paraId="11410A1A" w14:textId="43DACDE3" w:rsidR="00124778" w:rsidRPr="00124778" w:rsidRDefault="00124778" w:rsidP="00EF4074">
            <w:pPr>
              <w:spacing w:before="120"/>
              <w:rPr>
                <w:i/>
                <w:iCs/>
                <w:sz w:val="22"/>
                <w:szCs w:val="22"/>
                <w:lang w:val="eu-ES"/>
              </w:rPr>
            </w:pPr>
            <w:r w:rsidRPr="00124778">
              <w:rPr>
                <w:i/>
                <w:iCs/>
                <w:sz w:val="22"/>
                <w:szCs w:val="22"/>
                <w:lang w:val="eu-ES"/>
              </w:rPr>
              <w:t xml:space="preserve">Are gehiago, informazioaren izaera agregatua artikulatzeak ez du arriskua ezabatzen: agregazioa denbora-serie zabalekin eta erabaki operatiboak islatzen dituzten aldagaiekin konbinatzen denean (adibidez, akten tipologia </w:t>
            </w:r>
            <w:r w:rsidRPr="00124778">
              <w:rPr>
                <w:i/>
                <w:iCs/>
                <w:sz w:val="22"/>
                <w:szCs w:val="22"/>
                <w:lang w:val="eu-ES"/>
              </w:rPr>
              <w:lastRenderedPageBreak/>
              <w:t xml:space="preserve">eta </w:t>
            </w:r>
            <w:r w:rsidR="000E516A" w:rsidRPr="000E516A">
              <w:rPr>
                <w:i/>
                <w:iCs/>
                <w:sz w:val="22"/>
                <w:szCs w:val="22"/>
                <w:lang w:val="eu-ES"/>
              </w:rPr>
              <w:t>balioeste</w:t>
            </w:r>
            <w:r w:rsidRPr="00124778">
              <w:rPr>
                <w:i/>
                <w:iCs/>
                <w:sz w:val="22"/>
                <w:szCs w:val="22"/>
                <w:lang w:val="eu-ES"/>
              </w:rPr>
              <w:t>/</w:t>
            </w:r>
            <w:r w:rsidR="000E516A" w:rsidRPr="000E516A">
              <w:rPr>
                <w:i/>
                <w:iCs/>
                <w:sz w:val="22"/>
                <w:szCs w:val="22"/>
                <w:lang w:val="eu-ES"/>
              </w:rPr>
              <w:t>deuseztatze</w:t>
            </w:r>
            <w:r w:rsidRPr="00124778">
              <w:rPr>
                <w:i/>
                <w:iCs/>
                <w:sz w:val="22"/>
                <w:szCs w:val="22"/>
                <w:lang w:val="eu-ES"/>
              </w:rPr>
              <w:t xml:space="preserve"> tas</w:t>
            </w:r>
            <w:r w:rsidR="000E516A">
              <w:rPr>
                <w:i/>
                <w:iCs/>
                <w:sz w:val="22"/>
                <w:szCs w:val="22"/>
                <w:lang w:val="eu-ES"/>
              </w:rPr>
              <w:t>ak</w:t>
            </w:r>
            <w:r w:rsidRPr="00124778">
              <w:rPr>
                <w:i/>
                <w:iCs/>
                <w:sz w:val="22"/>
                <w:szCs w:val="22"/>
                <w:lang w:val="eu-ES"/>
              </w:rPr>
              <w:t>), analisi inferentzial erabilgarriak gaitu ditzake kontrol-estrategiak aurreratzeko edo saihesteko, ikuskapen- eta zaintza-funtzioari eraginez. Horregatik, eragina objektiboa eta egungoa da muga babesteko xedeari dagokionez, eta ukatzeko neurria kasuaren inguruabarrak kontuan hartuta justifikatzen da (xedea, denbora-irismena, xehetasun-maila eta ikuskapen-funtzioarekiko zuzeneko lotura).</w:t>
            </w:r>
          </w:p>
          <w:p w14:paraId="69461DCF" w14:textId="644DA1B2" w:rsidR="00871EA8" w:rsidRDefault="0040099E" w:rsidP="00124778">
            <w:pPr>
              <w:spacing w:before="360" w:after="360"/>
              <w:rPr>
                <w:sz w:val="22"/>
                <w:szCs w:val="22"/>
                <w:lang w:val="eu-ES"/>
              </w:rPr>
            </w:pPr>
            <w:r w:rsidRPr="0040099E">
              <w:rPr>
                <w:sz w:val="22"/>
                <w:szCs w:val="22"/>
                <w:lang w:val="eu-ES"/>
              </w:rPr>
              <w:t>Hori dela-eta, 146/2020 Foru Aginduak ematen dizkidan eskumenak erabiliz (146/2020 Foru Agindua, martxoaren 18koa; honen bidez Ogasuneko Zuzendaritzaren titularrari eskuordetzen zaio zuzendaritza horrek izapidetzen dituen informazioa eskuratzeko eskaerak ebazteko eskumena), honako hau</w:t>
            </w:r>
          </w:p>
          <w:p w14:paraId="04414D00" w14:textId="545AB3AB" w:rsidR="007428C0" w:rsidRPr="000C49D1" w:rsidRDefault="007428C0" w:rsidP="004C4BA2">
            <w:pPr>
              <w:pStyle w:val="Default"/>
              <w:jc w:val="center"/>
              <w:rPr>
                <w:rFonts w:eastAsia="Calibri"/>
                <w:b/>
                <w:sz w:val="22"/>
                <w:szCs w:val="22"/>
                <w:lang w:val="eu-ES" w:eastAsia="en-US"/>
              </w:rPr>
            </w:pPr>
            <w:r w:rsidRPr="000C49D1">
              <w:rPr>
                <w:rFonts w:eastAsia="Calibri"/>
                <w:b/>
                <w:sz w:val="22"/>
                <w:szCs w:val="22"/>
                <w:lang w:val="eu-ES" w:eastAsia="en-US"/>
              </w:rPr>
              <w:t>EBAZTEN DUT</w:t>
            </w:r>
          </w:p>
          <w:p w14:paraId="749472CD" w14:textId="1A8D8C70" w:rsidR="001632E4" w:rsidRPr="006D6E4E" w:rsidRDefault="007428C0" w:rsidP="004C4BA2">
            <w:pPr>
              <w:spacing w:before="240"/>
              <w:rPr>
                <w:rFonts w:eastAsia="Calibri"/>
                <w:bCs/>
                <w:sz w:val="22"/>
                <w:szCs w:val="22"/>
                <w:lang w:val="eu-ES" w:eastAsia="en-US"/>
              </w:rPr>
            </w:pPr>
            <w:r w:rsidRPr="00FD58ED">
              <w:rPr>
                <w:rFonts w:eastAsia="Calibri"/>
                <w:b/>
                <w:sz w:val="22"/>
                <w:szCs w:val="22"/>
                <w:lang w:val="eu-ES" w:eastAsia="en-US"/>
              </w:rPr>
              <w:t>LEHENENGOA</w:t>
            </w:r>
            <w:r w:rsidRPr="005A2B91">
              <w:rPr>
                <w:rFonts w:eastAsia="Calibri"/>
                <w:bCs/>
                <w:sz w:val="22"/>
                <w:szCs w:val="22"/>
                <w:lang w:val="eu-ES" w:eastAsia="en-US"/>
              </w:rPr>
              <w:t>.</w:t>
            </w:r>
            <w:r w:rsidR="005A2B91" w:rsidRPr="005A2B91">
              <w:rPr>
                <w:rFonts w:eastAsia="Calibri"/>
                <w:bCs/>
                <w:sz w:val="22"/>
                <w:szCs w:val="22"/>
                <w:lang w:val="eu-ES" w:eastAsia="en-US"/>
              </w:rPr>
              <w:t xml:space="preserve"> </w:t>
            </w:r>
            <w:proofErr w:type="spellStart"/>
            <w:r w:rsidR="004A2DDC" w:rsidRPr="004A2DDC">
              <w:rPr>
                <w:rFonts w:eastAsia="Calibri"/>
                <w:bCs/>
                <w:sz w:val="22"/>
                <w:szCs w:val="22"/>
                <w:highlight w:val="black"/>
                <w:lang w:val="eu-ES" w:eastAsia="en-US"/>
              </w:rPr>
              <w:t>XXXXX</w:t>
            </w:r>
            <w:r w:rsidR="005A2B91" w:rsidRPr="006D6E4E">
              <w:rPr>
                <w:rFonts w:eastAsia="Calibri"/>
                <w:bCs/>
                <w:sz w:val="22"/>
                <w:szCs w:val="22"/>
                <w:lang w:val="eu-ES" w:eastAsia="en-US"/>
              </w:rPr>
              <w:t>k</w:t>
            </w:r>
            <w:proofErr w:type="spellEnd"/>
            <w:r w:rsidR="005A2B91" w:rsidRPr="006D6E4E">
              <w:rPr>
                <w:rFonts w:eastAsia="Calibri"/>
                <w:bCs/>
                <w:sz w:val="22"/>
                <w:szCs w:val="22"/>
                <w:lang w:val="eu-ES" w:eastAsia="en-US"/>
              </w:rPr>
              <w:t xml:space="preserve"> 202</w:t>
            </w:r>
            <w:r w:rsidR="00711C80" w:rsidRPr="006D6E4E">
              <w:rPr>
                <w:rFonts w:eastAsia="Calibri"/>
                <w:bCs/>
                <w:sz w:val="22"/>
                <w:szCs w:val="22"/>
                <w:lang w:val="eu-ES" w:eastAsia="en-US"/>
              </w:rPr>
              <w:t>6</w:t>
            </w:r>
            <w:r w:rsidR="005A2B91" w:rsidRPr="006D6E4E">
              <w:rPr>
                <w:rFonts w:eastAsia="Calibri"/>
                <w:bCs/>
                <w:sz w:val="22"/>
                <w:szCs w:val="22"/>
                <w:lang w:val="eu-ES" w:eastAsia="en-US"/>
              </w:rPr>
              <w:t xml:space="preserve">ko </w:t>
            </w:r>
            <w:r w:rsidR="00711C80" w:rsidRPr="006D6E4E">
              <w:rPr>
                <w:rFonts w:eastAsia="Calibri"/>
                <w:bCs/>
                <w:sz w:val="22"/>
                <w:szCs w:val="22"/>
                <w:lang w:val="eu-ES" w:eastAsia="en-US"/>
              </w:rPr>
              <w:t>otsail</w:t>
            </w:r>
            <w:r w:rsidR="005603A7" w:rsidRPr="006D6E4E">
              <w:rPr>
                <w:rFonts w:eastAsia="Calibri"/>
                <w:bCs/>
                <w:sz w:val="22"/>
                <w:szCs w:val="22"/>
                <w:lang w:val="eu-ES" w:eastAsia="en-US"/>
              </w:rPr>
              <w:t>a</w:t>
            </w:r>
            <w:r w:rsidR="005A2B91" w:rsidRPr="006D6E4E">
              <w:rPr>
                <w:rFonts w:eastAsia="Calibri"/>
                <w:bCs/>
                <w:sz w:val="22"/>
                <w:szCs w:val="22"/>
                <w:lang w:val="eu-ES" w:eastAsia="en-US"/>
              </w:rPr>
              <w:t xml:space="preserve">ren </w:t>
            </w:r>
            <w:r w:rsidR="00711C80" w:rsidRPr="006D6E4E">
              <w:rPr>
                <w:rFonts w:eastAsia="Calibri"/>
                <w:bCs/>
                <w:sz w:val="22"/>
                <w:szCs w:val="22"/>
                <w:lang w:val="eu-ES" w:eastAsia="en-US"/>
              </w:rPr>
              <w:t>16</w:t>
            </w:r>
            <w:r w:rsidR="005A2B91" w:rsidRPr="006D6E4E">
              <w:rPr>
                <w:rFonts w:eastAsia="Calibri"/>
                <w:bCs/>
                <w:sz w:val="22"/>
                <w:szCs w:val="22"/>
                <w:lang w:val="eu-ES" w:eastAsia="en-US"/>
              </w:rPr>
              <w:t>an informazio publikoa eskuratzeko aurkeztutako eskaera</w:t>
            </w:r>
            <w:r w:rsidR="001632E4" w:rsidRPr="006D6E4E">
              <w:rPr>
                <w:rFonts w:eastAsia="Calibri"/>
                <w:bCs/>
                <w:sz w:val="22"/>
                <w:szCs w:val="22"/>
                <w:lang w:val="eu-ES" w:eastAsia="en-US"/>
              </w:rPr>
              <w:t xml:space="preserve"> ezeztea</w:t>
            </w:r>
            <w:r w:rsidR="00032C64" w:rsidRPr="006D6E4E">
              <w:rPr>
                <w:rFonts w:eastAsia="Calibri"/>
                <w:bCs/>
                <w:sz w:val="22"/>
                <w:szCs w:val="22"/>
                <w:lang w:val="eu-ES" w:eastAsia="en-US"/>
              </w:rPr>
              <w:t xml:space="preserve">, </w:t>
            </w:r>
            <w:r w:rsidR="001632E4" w:rsidRPr="006D6E4E">
              <w:rPr>
                <w:rFonts w:eastAsia="Calibri"/>
                <w:bCs/>
                <w:sz w:val="22"/>
                <w:szCs w:val="22"/>
                <w:lang w:val="eu-ES" w:eastAsia="en-US"/>
              </w:rPr>
              <w:t>ebazpenaren azalpen zatian zehazten diren arrazoiengatik.</w:t>
            </w:r>
          </w:p>
          <w:p w14:paraId="19E370C4" w14:textId="098AD533" w:rsidR="00660503" w:rsidRPr="005D0B87" w:rsidRDefault="001F3207" w:rsidP="008A5B73">
            <w:pPr>
              <w:spacing w:before="240"/>
              <w:rPr>
                <w:sz w:val="22"/>
                <w:lang w:val="eu-ES"/>
              </w:rPr>
            </w:pPr>
            <w:r>
              <w:rPr>
                <w:rFonts w:eastAsia="Calibri" w:cs="Times New Roman"/>
                <w:b/>
                <w:bCs/>
                <w:sz w:val="22"/>
                <w:szCs w:val="22"/>
                <w:lang w:val="eu-ES" w:eastAsia="en-US" w:bidi="ar-SA"/>
              </w:rPr>
              <w:t>BIGARRENA</w:t>
            </w:r>
            <w:r w:rsidR="007428C0" w:rsidRPr="007428C0">
              <w:rPr>
                <w:rFonts w:eastAsia="Calibri" w:cs="Times New Roman"/>
                <w:sz w:val="22"/>
                <w:szCs w:val="22"/>
                <w:lang w:val="eu-ES" w:eastAsia="en-US" w:bidi="ar-SA"/>
              </w:rPr>
              <w:t>. Ebazpen honek</w:t>
            </w:r>
            <w:r w:rsidR="00173F3C">
              <w:rPr>
                <w:rFonts w:eastAsia="Calibri" w:cs="Times New Roman"/>
                <w:sz w:val="22"/>
                <w:szCs w:val="22"/>
                <w:lang w:val="eu-ES" w:eastAsia="en-US" w:bidi="ar-SA"/>
              </w:rPr>
              <w:t xml:space="preserve"> </w:t>
            </w:r>
            <w:r w:rsidR="007428C0" w:rsidRPr="007428C0">
              <w:rPr>
                <w:rFonts w:eastAsia="Calibri" w:cs="Times New Roman"/>
                <w:sz w:val="22"/>
                <w:szCs w:val="22"/>
                <w:lang w:val="eu-ES" w:eastAsia="en-US" w:bidi="ar-SA"/>
              </w:rPr>
              <w:t>administrazio bidea amaitzen du. Beraren kontra administrazioarekiko auzi errekurtsoa aurkeztu ahal izango da Gasteizko administrazioarekiko auzien epaitegietan jakinarazten den egunaren biharamunetik bi hilabete pasatu baino lehen edo, bestela, errekurtso horren aurretik, erreklamazioa aurkeztu ahal izango da Gardentasunaren eta Gobernu Onaren Foru Kontseiluaren aurrean aurreko egun beretik hilabete pasatu baino lehen.</w:t>
            </w:r>
          </w:p>
          <w:p w14:paraId="4569DAE1" w14:textId="77777777" w:rsidR="00660503" w:rsidRPr="005D0B87" w:rsidRDefault="00660503" w:rsidP="004C4BA2">
            <w:pPr>
              <w:rPr>
                <w:sz w:val="22"/>
                <w:lang w:val="eu-ES"/>
              </w:rPr>
            </w:pPr>
          </w:p>
        </w:tc>
        <w:tc>
          <w:tcPr>
            <w:tcW w:w="568" w:type="dxa"/>
            <w:gridSpan w:val="2"/>
          </w:tcPr>
          <w:p w14:paraId="08FED51D" w14:textId="77777777" w:rsidR="00AD6A23" w:rsidRPr="005D0B87" w:rsidRDefault="00AD6A23" w:rsidP="004C4BA2">
            <w:pPr>
              <w:spacing w:after="360"/>
              <w:rPr>
                <w:sz w:val="22"/>
                <w:lang w:val="eu-ES"/>
              </w:rPr>
            </w:pPr>
          </w:p>
        </w:tc>
        <w:tc>
          <w:tcPr>
            <w:tcW w:w="4393" w:type="dxa"/>
            <w:gridSpan w:val="2"/>
          </w:tcPr>
          <w:p w14:paraId="3342782D" w14:textId="7E386688" w:rsidR="00AD6A23" w:rsidRPr="000F5E56" w:rsidRDefault="00163B62" w:rsidP="004C4BA2">
            <w:pPr>
              <w:tabs>
                <w:tab w:val="right" w:pos="8789"/>
              </w:tabs>
              <w:spacing w:after="360"/>
              <w:rPr>
                <w:rFonts w:cs="Times New Roman"/>
                <w:sz w:val="22"/>
                <w:lang w:val="es-ES" w:bidi="ar-SA"/>
              </w:rPr>
            </w:pPr>
            <w:r w:rsidRPr="00AD48EE">
              <w:rPr>
                <w:rFonts w:cs="Times New Roman"/>
                <w:sz w:val="22"/>
                <w:lang w:val="es-ES" w:bidi="ar-SA"/>
              </w:rPr>
              <w:t xml:space="preserve">Departamento </w:t>
            </w:r>
            <w:r w:rsidR="00AD48EE" w:rsidRPr="00AD48EE">
              <w:rPr>
                <w:rFonts w:cs="Times New Roman"/>
                <w:sz w:val="22"/>
                <w:lang w:val="es-ES" w:bidi="ar-SA"/>
              </w:rPr>
              <w:t>de Hacienda, Finanzas y Presupuestos</w:t>
            </w:r>
            <w:r w:rsidRPr="000F5E56">
              <w:rPr>
                <w:rFonts w:cs="Times New Roman"/>
                <w:sz w:val="22"/>
                <w:lang w:val="es-ES" w:bidi="ar-SA"/>
              </w:rPr>
              <w:br/>
              <w:t xml:space="preserve">Servicio de </w:t>
            </w:r>
            <w:r w:rsidR="00AD48EE">
              <w:rPr>
                <w:rFonts w:cs="Times New Roman"/>
                <w:sz w:val="22"/>
                <w:lang w:val="es-ES" w:bidi="ar-SA"/>
              </w:rPr>
              <w:t>Secretaría Técnica de Hacienda, Finanzas y Presupuestos</w:t>
            </w:r>
            <w:r w:rsidRPr="000F5E56">
              <w:rPr>
                <w:rFonts w:cs="Times New Roman"/>
                <w:sz w:val="22"/>
                <w:lang w:val="es-ES" w:bidi="ar-SA"/>
              </w:rPr>
              <w:br/>
            </w:r>
            <w:r w:rsidR="00130F3D" w:rsidRPr="000F5E56">
              <w:rPr>
                <w:rFonts w:cs="Times New Roman"/>
                <w:sz w:val="22"/>
                <w:lang w:val="es-ES" w:bidi="ar-SA"/>
              </w:rPr>
              <w:t>Nº Expte</w:t>
            </w:r>
            <w:r w:rsidR="00550EC9">
              <w:rPr>
                <w:rFonts w:cs="Times New Roman"/>
                <w:sz w:val="22"/>
                <w:lang w:val="es-ES" w:bidi="ar-SA"/>
              </w:rPr>
              <w:t>, INFOPU</w:t>
            </w:r>
            <w:r w:rsidR="00550EC9" w:rsidRPr="00AD48EE">
              <w:rPr>
                <w:rFonts w:cs="Times New Roman"/>
                <w:sz w:val="22"/>
                <w:lang w:val="es-ES" w:bidi="ar-SA"/>
              </w:rPr>
              <w:t xml:space="preserve">: </w:t>
            </w:r>
            <w:r w:rsidR="00AD48EE" w:rsidRPr="00AD48EE">
              <w:rPr>
                <w:rFonts w:cs="Times New Roman"/>
                <w:sz w:val="22"/>
                <w:lang w:val="es-ES" w:bidi="ar-SA"/>
              </w:rPr>
              <w:t>202</w:t>
            </w:r>
            <w:r w:rsidR="00306BF6">
              <w:rPr>
                <w:rFonts w:cs="Times New Roman"/>
                <w:sz w:val="22"/>
                <w:lang w:val="es-ES" w:bidi="ar-SA"/>
              </w:rPr>
              <w:t>6</w:t>
            </w:r>
            <w:r w:rsidR="00AD48EE" w:rsidRPr="00AD48EE">
              <w:rPr>
                <w:rFonts w:cs="Times New Roman"/>
                <w:sz w:val="22"/>
                <w:lang w:val="es-ES" w:bidi="ar-SA"/>
              </w:rPr>
              <w:t>/000</w:t>
            </w:r>
            <w:r w:rsidR="00306BF6">
              <w:rPr>
                <w:rFonts w:cs="Times New Roman"/>
                <w:sz w:val="22"/>
                <w:lang w:val="es-ES" w:bidi="ar-SA"/>
              </w:rPr>
              <w:t>18</w:t>
            </w:r>
            <w:r w:rsidR="00D821D6" w:rsidRPr="000F5E56">
              <w:rPr>
                <w:rFonts w:cs="Times New Roman"/>
                <w:sz w:val="22"/>
                <w:lang w:val="es-ES" w:bidi="ar-SA"/>
              </w:rPr>
              <w:t xml:space="preserve">                                             </w:t>
            </w:r>
          </w:p>
          <w:p w14:paraId="602A207D" w14:textId="2FBAE755" w:rsidR="00A95A0E" w:rsidRDefault="008916A0" w:rsidP="004C4BA2">
            <w:pPr>
              <w:rPr>
                <w:rFonts w:cs="Times New Roman"/>
                <w:sz w:val="22"/>
                <w:szCs w:val="22"/>
              </w:rPr>
            </w:pPr>
            <w:r>
              <w:rPr>
                <w:rFonts w:cs="Times New Roman"/>
                <w:sz w:val="22"/>
                <w:szCs w:val="22"/>
              </w:rPr>
              <w:t>El</w:t>
            </w:r>
            <w:r w:rsidR="00D821D6" w:rsidRPr="005A67AA">
              <w:rPr>
                <w:rFonts w:cs="Times New Roman"/>
                <w:sz w:val="22"/>
                <w:szCs w:val="22"/>
              </w:rPr>
              <w:t xml:space="preserve"> </w:t>
            </w:r>
            <w:r w:rsidR="004B75F6">
              <w:rPr>
                <w:rFonts w:cs="Times New Roman"/>
                <w:sz w:val="22"/>
                <w:szCs w:val="22"/>
              </w:rPr>
              <w:t>16</w:t>
            </w:r>
            <w:r w:rsidR="00A41FD8">
              <w:rPr>
                <w:rFonts w:cs="Times New Roman"/>
                <w:sz w:val="22"/>
                <w:szCs w:val="22"/>
              </w:rPr>
              <w:t xml:space="preserve"> de </w:t>
            </w:r>
            <w:r w:rsidR="004B75F6">
              <w:rPr>
                <w:rFonts w:cs="Times New Roman"/>
                <w:sz w:val="22"/>
                <w:szCs w:val="22"/>
              </w:rPr>
              <w:t>febrero</w:t>
            </w:r>
            <w:r w:rsidR="00A41FD8">
              <w:rPr>
                <w:rFonts w:cs="Times New Roman"/>
                <w:sz w:val="22"/>
                <w:szCs w:val="22"/>
              </w:rPr>
              <w:t xml:space="preserve"> de 202</w:t>
            </w:r>
            <w:r w:rsidR="004B75F6">
              <w:rPr>
                <w:rFonts w:cs="Times New Roman"/>
                <w:sz w:val="22"/>
                <w:szCs w:val="22"/>
              </w:rPr>
              <w:t>6</w:t>
            </w:r>
            <w:r w:rsidR="00D821D6" w:rsidRPr="005A67AA">
              <w:rPr>
                <w:rFonts w:cs="Times New Roman"/>
                <w:sz w:val="22"/>
                <w:szCs w:val="22"/>
              </w:rPr>
              <w:t xml:space="preserve"> tuvo entrada en </w:t>
            </w:r>
            <w:r w:rsidR="00FD2030">
              <w:rPr>
                <w:rFonts w:cs="Times New Roman"/>
                <w:sz w:val="22"/>
                <w:szCs w:val="22"/>
              </w:rPr>
              <w:t>la Sede Electrónica de la Diputación Foral de Álava</w:t>
            </w:r>
            <w:r>
              <w:rPr>
                <w:rFonts w:cs="Times New Roman"/>
                <w:sz w:val="22"/>
                <w:szCs w:val="22"/>
              </w:rPr>
              <w:t xml:space="preserve"> una</w:t>
            </w:r>
            <w:r w:rsidR="00D821D6" w:rsidRPr="005A67AA">
              <w:rPr>
                <w:rFonts w:cs="Times New Roman"/>
                <w:sz w:val="22"/>
                <w:szCs w:val="22"/>
              </w:rPr>
              <w:t xml:space="preserve"> solicitud de acceso a la información pública </w:t>
            </w:r>
            <w:r w:rsidR="006A1B85">
              <w:rPr>
                <w:rFonts w:cs="Times New Roman"/>
                <w:sz w:val="22"/>
                <w:szCs w:val="22"/>
              </w:rPr>
              <w:t xml:space="preserve">presentada por </w:t>
            </w:r>
            <w:r w:rsidR="004A2DDC" w:rsidRPr="004A2DDC">
              <w:rPr>
                <w:rFonts w:cs="Times New Roman"/>
                <w:sz w:val="22"/>
                <w:szCs w:val="22"/>
                <w:highlight w:val="black"/>
              </w:rPr>
              <w:t>XXXXX</w:t>
            </w:r>
            <w:r w:rsidR="004B75F6" w:rsidRPr="004B75F6">
              <w:rPr>
                <w:rFonts w:cs="Times New Roman"/>
                <w:sz w:val="22"/>
                <w:szCs w:val="22"/>
              </w:rPr>
              <w:t xml:space="preserve"> </w:t>
            </w:r>
            <w:r w:rsidRPr="008916A0">
              <w:rPr>
                <w:rFonts w:cs="Times New Roman"/>
                <w:sz w:val="22"/>
                <w:szCs w:val="22"/>
              </w:rPr>
              <w:t>al amparo de la Norma Foral 1/2017, de 8 de febrero, de transparencia, participación ciudadana y buen gobierno</w:t>
            </w:r>
            <w:r w:rsidR="00550EC9">
              <w:rPr>
                <w:rFonts w:cs="Times New Roman"/>
                <w:sz w:val="22"/>
                <w:szCs w:val="22"/>
              </w:rPr>
              <w:t>.</w:t>
            </w:r>
          </w:p>
          <w:p w14:paraId="4B8A69C2" w14:textId="30D32117" w:rsidR="00A90788" w:rsidRPr="00A90788" w:rsidRDefault="00D81957" w:rsidP="002A7030">
            <w:pPr>
              <w:spacing w:before="360"/>
              <w:rPr>
                <w:rFonts w:cs="Times New Roman"/>
                <w:i/>
                <w:iCs/>
                <w:sz w:val="22"/>
                <w:szCs w:val="22"/>
              </w:rPr>
            </w:pPr>
            <w:r w:rsidRPr="00D81957">
              <w:rPr>
                <w:rFonts w:cs="Times New Roman"/>
                <w:sz w:val="22"/>
                <w:szCs w:val="22"/>
              </w:rPr>
              <w:t>La información pública a la que solicitó acceso consistía en</w:t>
            </w:r>
            <w:r>
              <w:rPr>
                <w:rFonts w:cs="Times New Roman"/>
                <w:sz w:val="22"/>
                <w:szCs w:val="22"/>
              </w:rPr>
              <w:t xml:space="preserve"> </w:t>
            </w:r>
            <w:r w:rsidR="00E31BAE">
              <w:rPr>
                <w:rFonts w:cs="Times New Roman"/>
                <w:sz w:val="22"/>
                <w:szCs w:val="22"/>
              </w:rPr>
              <w:t>“</w:t>
            </w:r>
            <w:r w:rsidR="00A90788" w:rsidRPr="00A90788">
              <w:rPr>
                <w:rFonts w:cs="Times New Roman"/>
                <w:i/>
                <w:iCs/>
                <w:sz w:val="22"/>
                <w:szCs w:val="22"/>
              </w:rPr>
              <w:t xml:space="preserve">la aportación de la siguiente información estadística en relación con los ejercicios 2008, 2009, 2010, 2011, 2012 y 2020, 2021, 2022, 2023, 2024: </w:t>
            </w:r>
          </w:p>
          <w:p w14:paraId="1808052E" w14:textId="77777777" w:rsidR="00A90788" w:rsidRPr="00A90788" w:rsidRDefault="00A90788" w:rsidP="00A90788">
            <w:pPr>
              <w:spacing w:before="120"/>
              <w:rPr>
                <w:rFonts w:cs="Times New Roman"/>
                <w:i/>
                <w:iCs/>
                <w:sz w:val="22"/>
                <w:szCs w:val="22"/>
              </w:rPr>
            </w:pPr>
            <w:r w:rsidRPr="00A90788">
              <w:rPr>
                <w:rFonts w:cs="Times New Roman"/>
                <w:i/>
                <w:iCs/>
                <w:sz w:val="22"/>
                <w:szCs w:val="22"/>
              </w:rPr>
              <w:t xml:space="preserve">1. Número de actas de inspección formalizadas anualmente, desglosadas por su naturaleza: a) Actas de conformidad (Art. 151 NF 6/2005) b) Actas de disconformidad (Art. 152 NF 061/2005) </w:t>
            </w:r>
          </w:p>
          <w:p w14:paraId="06BB770D" w14:textId="77777777" w:rsidR="00A90788" w:rsidRPr="00A90788" w:rsidRDefault="00A90788" w:rsidP="00A90788">
            <w:pPr>
              <w:spacing w:before="120"/>
              <w:rPr>
                <w:rFonts w:cs="Times New Roman"/>
                <w:i/>
                <w:iCs/>
                <w:sz w:val="22"/>
                <w:szCs w:val="22"/>
              </w:rPr>
            </w:pPr>
            <w:r w:rsidRPr="00A90788">
              <w:rPr>
                <w:rFonts w:cs="Times New Roman"/>
                <w:i/>
                <w:iCs/>
                <w:sz w:val="22"/>
                <w:szCs w:val="22"/>
              </w:rPr>
              <w:t xml:space="preserve">2. Número de Reclamaciones Económico-Administrativas (REA) interpuestas anualmente ante Tribunal Económico-Administrativo Foral de Alava contra actos dictados por la Inspección Tributaria. </w:t>
            </w:r>
          </w:p>
          <w:p w14:paraId="60D2F02F" w14:textId="77777777" w:rsidR="00A90788" w:rsidRPr="00A90788" w:rsidRDefault="00A90788" w:rsidP="00C87920">
            <w:pPr>
              <w:spacing w:before="120"/>
              <w:rPr>
                <w:rFonts w:cs="Times New Roman"/>
                <w:i/>
                <w:iCs/>
                <w:sz w:val="22"/>
                <w:szCs w:val="22"/>
              </w:rPr>
            </w:pPr>
            <w:r w:rsidRPr="00A90788">
              <w:rPr>
                <w:rFonts w:cs="Times New Roman"/>
                <w:i/>
                <w:iCs/>
                <w:sz w:val="22"/>
                <w:szCs w:val="22"/>
              </w:rPr>
              <w:t xml:space="preserve">3. Desglose de dichas reclamaciones en función de si el acto impugnado traía causa de un acta de conformidad o de disconformidad. </w:t>
            </w:r>
          </w:p>
          <w:p w14:paraId="2DC3B2A9" w14:textId="71862A81" w:rsidR="00195C07" w:rsidRPr="00073E66" w:rsidRDefault="00A90788" w:rsidP="00321012">
            <w:pPr>
              <w:spacing w:before="100" w:beforeAutospacing="1" w:after="120"/>
              <w:rPr>
                <w:rFonts w:cs="Times New Roman"/>
                <w:i/>
                <w:iCs/>
                <w:sz w:val="22"/>
                <w:szCs w:val="22"/>
              </w:rPr>
            </w:pPr>
            <w:r w:rsidRPr="00A90788">
              <w:rPr>
                <w:rFonts w:cs="Times New Roman"/>
                <w:i/>
                <w:iCs/>
                <w:sz w:val="22"/>
                <w:szCs w:val="22"/>
              </w:rPr>
              <w:t>4. Tasa de anulación (estimación total o parcial) por parte del TEAF de las liquidaciones derivadas de actas de disconformidad frente a las de conformidad.”</w:t>
            </w:r>
          </w:p>
          <w:p w14:paraId="12594FEA" w14:textId="54A89981" w:rsidR="00F40F7D" w:rsidRPr="00CD77CB" w:rsidRDefault="00F40F7D" w:rsidP="00321012">
            <w:pPr>
              <w:rPr>
                <w:rFonts w:cs="Times New Roman"/>
                <w:sz w:val="22"/>
                <w:szCs w:val="22"/>
              </w:rPr>
            </w:pPr>
            <w:r>
              <w:rPr>
                <w:rFonts w:cs="Times New Roman"/>
                <w:sz w:val="22"/>
                <w:szCs w:val="22"/>
              </w:rPr>
              <w:t xml:space="preserve">El </w:t>
            </w:r>
            <w:r w:rsidR="00561359">
              <w:rPr>
                <w:rFonts w:cs="Times New Roman"/>
                <w:sz w:val="22"/>
                <w:szCs w:val="22"/>
              </w:rPr>
              <w:t>17</w:t>
            </w:r>
            <w:r>
              <w:rPr>
                <w:rFonts w:cs="Times New Roman"/>
                <w:sz w:val="22"/>
                <w:szCs w:val="22"/>
              </w:rPr>
              <w:t xml:space="preserve"> de </w:t>
            </w:r>
            <w:r w:rsidR="00561359">
              <w:rPr>
                <w:rFonts w:cs="Times New Roman"/>
                <w:sz w:val="22"/>
                <w:szCs w:val="22"/>
              </w:rPr>
              <w:t>febre</w:t>
            </w:r>
            <w:r w:rsidR="00532B46">
              <w:rPr>
                <w:rFonts w:cs="Times New Roman"/>
                <w:sz w:val="22"/>
                <w:szCs w:val="22"/>
              </w:rPr>
              <w:t>r</w:t>
            </w:r>
            <w:r w:rsidR="00561359">
              <w:rPr>
                <w:rFonts w:cs="Times New Roman"/>
                <w:sz w:val="22"/>
                <w:szCs w:val="22"/>
              </w:rPr>
              <w:t>o</w:t>
            </w:r>
            <w:r w:rsidRPr="00F40F7D">
              <w:rPr>
                <w:rFonts w:cs="Times New Roman"/>
                <w:sz w:val="22"/>
                <w:szCs w:val="22"/>
              </w:rPr>
              <w:t xml:space="preserve"> la solicitud tuvo entrada en</w:t>
            </w:r>
            <w:r>
              <w:rPr>
                <w:rFonts w:cs="Times New Roman"/>
                <w:sz w:val="22"/>
                <w:szCs w:val="22"/>
              </w:rPr>
              <w:t xml:space="preserve"> la </w:t>
            </w:r>
            <w:r w:rsidRPr="00E562EB">
              <w:rPr>
                <w:rFonts w:cs="Times New Roman"/>
                <w:sz w:val="22"/>
                <w:szCs w:val="22"/>
              </w:rPr>
              <w:t xml:space="preserve">Secretaría Técnica de Hacienda, Finanzas y </w:t>
            </w:r>
            <w:r w:rsidRPr="00E562EB">
              <w:rPr>
                <w:rFonts w:cs="Times New Roman"/>
                <w:sz w:val="22"/>
                <w:szCs w:val="22"/>
              </w:rPr>
              <w:lastRenderedPageBreak/>
              <w:t>Presupuestos</w:t>
            </w:r>
            <w:r w:rsidRPr="00CD77CB">
              <w:rPr>
                <w:rFonts w:cs="Times New Roman"/>
                <w:sz w:val="22"/>
                <w:szCs w:val="22"/>
              </w:rPr>
              <w:t>, unidad administrativa responsable de su tramitación.</w:t>
            </w:r>
          </w:p>
          <w:p w14:paraId="7B30B89C" w14:textId="00A6531C" w:rsidR="004171A5" w:rsidRPr="00CD77CB" w:rsidRDefault="00BE226B" w:rsidP="00321012">
            <w:pPr>
              <w:spacing w:before="120"/>
              <w:rPr>
                <w:rFonts w:cs="Times New Roman"/>
                <w:sz w:val="22"/>
                <w:szCs w:val="22"/>
              </w:rPr>
            </w:pPr>
            <w:r w:rsidRPr="00CD77CB">
              <w:rPr>
                <w:rFonts w:cs="Times New Roman"/>
                <w:sz w:val="22"/>
                <w:szCs w:val="22"/>
              </w:rPr>
              <w:t xml:space="preserve">Trasladada la solicitud a la Dirección de Hacienda del Departamento de Hacienda, Finanzas y Presupuestos, desde ésta se emite informe de la directora </w:t>
            </w:r>
            <w:r w:rsidR="002174F3" w:rsidRPr="00CD77CB">
              <w:rPr>
                <w:rFonts w:cs="Times New Roman"/>
                <w:sz w:val="22"/>
                <w:szCs w:val="22"/>
              </w:rPr>
              <w:t xml:space="preserve">de Hacienda </w:t>
            </w:r>
            <w:r w:rsidR="004171A5" w:rsidRPr="00CD77CB">
              <w:rPr>
                <w:rFonts w:cs="Times New Roman"/>
                <w:sz w:val="22"/>
                <w:szCs w:val="22"/>
              </w:rPr>
              <w:t>poniendo de manifiesto lo siguiente:</w:t>
            </w:r>
          </w:p>
          <w:p w14:paraId="3CEE46A9" w14:textId="501DF067" w:rsidR="004171A5" w:rsidRPr="00CD77CB" w:rsidRDefault="004171A5" w:rsidP="0069173D">
            <w:pPr>
              <w:spacing w:before="120"/>
              <w:rPr>
                <w:rFonts w:cs="Times New Roman"/>
                <w:i/>
                <w:iCs/>
                <w:sz w:val="22"/>
                <w:szCs w:val="22"/>
              </w:rPr>
            </w:pPr>
            <w:r w:rsidRPr="00CD77CB">
              <w:rPr>
                <w:rFonts w:cs="Times New Roman"/>
                <w:i/>
                <w:iCs/>
                <w:sz w:val="22"/>
                <w:szCs w:val="22"/>
              </w:rPr>
              <w:t>Que el objeto de la solicitud no se limita a pedir documentos o series estadísticas existentes y ya consolidadas en un único repositorio o informe anual accesible de forma directa e inmediata, sino que reclama, para múltiples años no consecutivos, distintos outputs estadísticos (actas por tipo; REA por año; cruce REA–tipo de acta; y, además, una “tasa de anulación/estimación” por el órgano revisor comparada entre ambos tipos de actas).</w:t>
            </w:r>
          </w:p>
          <w:p w14:paraId="092441AC" w14:textId="76021E52" w:rsidR="00324902" w:rsidRPr="00CD77CB" w:rsidRDefault="00324902" w:rsidP="004164EC">
            <w:pPr>
              <w:spacing w:before="360"/>
              <w:rPr>
                <w:rFonts w:cs="Times New Roman"/>
                <w:i/>
                <w:iCs/>
                <w:sz w:val="22"/>
                <w:szCs w:val="22"/>
              </w:rPr>
            </w:pPr>
            <w:r w:rsidRPr="00CD77CB">
              <w:rPr>
                <w:rFonts w:cs="Times New Roman"/>
                <w:i/>
                <w:iCs/>
                <w:sz w:val="22"/>
                <w:szCs w:val="22"/>
              </w:rPr>
              <w:t>A efectos organizativos internos, la información necesaria para intentar responder se encontraría fragmentada, de tal forma que, para contestar conforme a lo solicitado, sería necesaria una actuación compleja que no consiste en facilitar un documento existente, ni en una mera extracción directa y lineal de un listado o informe preconfigurado, sino en recabar datos dispersos, ordenarlos y separarlos, verificar su correspondencia y consistencia (por años, por tipo de acta, por acto impugnado y por resultado), sistematizarlos para producir series homogéneas, y finalmente elaborar y divulgar un resultado estadístico agregado (incluyendo ratios de “tasa de anulación/estimación total o parcial”) que, por su propia naturaleza, requeriría una construcción ad hoc.</w:t>
            </w:r>
          </w:p>
          <w:p w14:paraId="1641E22A" w14:textId="7DB8A6BB" w:rsidR="004171A5" w:rsidRPr="00CD77CB" w:rsidRDefault="00324902" w:rsidP="005975D4">
            <w:pPr>
              <w:spacing w:before="400"/>
              <w:rPr>
                <w:rFonts w:cs="Times New Roman"/>
                <w:i/>
                <w:iCs/>
                <w:sz w:val="22"/>
                <w:szCs w:val="22"/>
              </w:rPr>
            </w:pPr>
            <w:r w:rsidRPr="00CD77CB">
              <w:rPr>
                <w:rFonts w:cs="Times New Roman"/>
                <w:i/>
                <w:iCs/>
                <w:sz w:val="22"/>
                <w:szCs w:val="22"/>
              </w:rPr>
              <w:t xml:space="preserve">La solicitud demanda, para un conjunto amplio de ejercicios, un paquete de estadísticas y cruces que requieren: (i) localización de actas por tipología anual, (ii) localización de reclamaciones ante el TEAF por año y por procedencia (acto de inspección), (iii) conexión de cada reclamación con el tipo de acta que está en el origen del acto impugnado, y (iv) determinación, con criterios homogéneos, del resultado estimatorio total o parcial y su agregación como “tasa” segmentada por tipo de acta. Este cuarto bloque, además, exige construir un indicador (ratio) que no equivale a la simple </w:t>
            </w:r>
            <w:r w:rsidRPr="00CD77CB">
              <w:rPr>
                <w:rFonts w:cs="Times New Roman"/>
                <w:i/>
                <w:iCs/>
                <w:sz w:val="22"/>
                <w:szCs w:val="22"/>
              </w:rPr>
              <w:lastRenderedPageBreak/>
              <w:t>entrega de una serie ya publicada, sino a una elaboración estadística finalista.</w:t>
            </w:r>
          </w:p>
          <w:p w14:paraId="6F0CFB00" w14:textId="745B9C99" w:rsidR="00324902" w:rsidRPr="00CD77CB" w:rsidRDefault="00324902" w:rsidP="009464A9">
            <w:pPr>
              <w:spacing w:before="360"/>
              <w:rPr>
                <w:rFonts w:cs="Times New Roman"/>
                <w:i/>
                <w:iCs/>
                <w:sz w:val="22"/>
                <w:szCs w:val="22"/>
              </w:rPr>
            </w:pPr>
            <w:r w:rsidRPr="00CD77CB">
              <w:rPr>
                <w:rFonts w:cs="Times New Roman"/>
                <w:i/>
                <w:iCs/>
                <w:sz w:val="22"/>
                <w:szCs w:val="22"/>
              </w:rPr>
              <w:t xml:space="preserve">Por tanto, concurre la necesidad de una acción previa de </w:t>
            </w:r>
            <w:r w:rsidRPr="00CD77CB">
              <w:rPr>
                <w:rFonts w:cs="Times New Roman"/>
                <w:b/>
                <w:bCs/>
                <w:i/>
                <w:iCs/>
                <w:sz w:val="22"/>
                <w:szCs w:val="22"/>
              </w:rPr>
              <w:t>reelaboración</w:t>
            </w:r>
            <w:r w:rsidRPr="00CD77CB">
              <w:rPr>
                <w:rFonts w:cs="Times New Roman"/>
                <w:i/>
                <w:iCs/>
                <w:sz w:val="22"/>
                <w:szCs w:val="22"/>
              </w:rPr>
              <w:t xml:space="preserve"> en el sentido legal: la Administración solo podría atender la solicitud efectuando una labor de recabar información dispersa y diseminada (en expedientes y bases diversas, en soportes físicos y/o informáticos), ordenar y depurar los datos, cruzarlos para generar nuevas variables (procedencia de la reclamación según tipo de acta; resultado estimatorio imputable a liquidaciones derivadas de actas de una u otra clase) y, finalmente, sistematizar y divulgar un producto estadístico que, en los términos solicitados, no se corresponde con un documento existente ni con una salida estándar.</w:t>
            </w:r>
          </w:p>
          <w:p w14:paraId="3EB4693A" w14:textId="62846F74" w:rsidR="00BD74E9" w:rsidRDefault="00E43F96" w:rsidP="00321012">
            <w:pPr>
              <w:spacing w:before="120"/>
              <w:rPr>
                <w:rFonts w:cs="Times New Roman"/>
                <w:sz w:val="22"/>
                <w:szCs w:val="22"/>
              </w:rPr>
            </w:pPr>
            <w:r w:rsidRPr="00E43F96">
              <w:rPr>
                <w:rFonts w:cs="Times New Roman"/>
                <w:sz w:val="22"/>
                <w:szCs w:val="22"/>
              </w:rPr>
              <w:t>Supuesto este previsto como de inadmisión en el</w:t>
            </w:r>
            <w:r w:rsidR="00F6102E" w:rsidRPr="00E43F96">
              <w:rPr>
                <w:rFonts w:cs="Times New Roman"/>
                <w:sz w:val="22"/>
                <w:szCs w:val="22"/>
              </w:rPr>
              <w:t xml:space="preserve"> </w:t>
            </w:r>
            <w:r w:rsidR="00F6102E" w:rsidRPr="00F721B3">
              <w:rPr>
                <w:rFonts w:cs="Times New Roman"/>
                <w:sz w:val="22"/>
                <w:szCs w:val="22"/>
              </w:rPr>
              <w:t>artículo 1</w:t>
            </w:r>
            <w:r w:rsidRPr="00F721B3">
              <w:rPr>
                <w:rFonts w:cs="Times New Roman"/>
                <w:sz w:val="22"/>
                <w:szCs w:val="22"/>
              </w:rPr>
              <w:t>8</w:t>
            </w:r>
            <w:r w:rsidR="00F25936">
              <w:rPr>
                <w:rFonts w:cs="Times New Roman"/>
                <w:sz w:val="22"/>
                <w:szCs w:val="22"/>
              </w:rPr>
              <w:t>.1 c)</w:t>
            </w:r>
            <w:r w:rsidR="00F6102E" w:rsidRPr="00F721B3">
              <w:rPr>
                <w:rFonts w:cs="Times New Roman"/>
                <w:sz w:val="22"/>
                <w:szCs w:val="22"/>
              </w:rPr>
              <w:t xml:space="preserve"> de la Le</w:t>
            </w:r>
            <w:r w:rsidR="00F6102E" w:rsidRPr="00E43F96">
              <w:rPr>
                <w:rFonts w:cs="Times New Roman"/>
                <w:sz w:val="22"/>
                <w:szCs w:val="22"/>
              </w:rPr>
              <w:t>y 19/2013, de 9 de diciembre, de transparencia, acceso a la información pública y buen gobierno</w:t>
            </w:r>
            <w:r w:rsidR="007B5534">
              <w:rPr>
                <w:rFonts w:cs="Times New Roman"/>
                <w:sz w:val="22"/>
                <w:szCs w:val="22"/>
              </w:rPr>
              <w:t>, al incluir las solicitudes relativas a información para cuya divulgación sea necesaria una acción previa de reelaboración</w:t>
            </w:r>
            <w:r w:rsidRPr="00E43F96">
              <w:rPr>
                <w:rFonts w:cs="Times New Roman"/>
                <w:sz w:val="22"/>
                <w:szCs w:val="22"/>
              </w:rPr>
              <w:t>.</w:t>
            </w:r>
          </w:p>
          <w:p w14:paraId="63C07F57" w14:textId="58B80EF0" w:rsidR="00F92595" w:rsidRDefault="00F92595" w:rsidP="00BD74E9">
            <w:pPr>
              <w:spacing w:before="240"/>
              <w:rPr>
                <w:rFonts w:cs="Times New Roman"/>
                <w:sz w:val="22"/>
                <w:szCs w:val="22"/>
              </w:rPr>
            </w:pPr>
            <w:r>
              <w:rPr>
                <w:rFonts w:cs="Times New Roman"/>
                <w:sz w:val="22"/>
                <w:szCs w:val="22"/>
              </w:rPr>
              <w:t xml:space="preserve">Por otra parte, también se pone de manifiesto que concurre el </w:t>
            </w:r>
            <w:r w:rsidRPr="00F92595">
              <w:rPr>
                <w:rFonts w:cs="Times New Roman"/>
                <w:sz w:val="22"/>
                <w:szCs w:val="22"/>
              </w:rPr>
              <w:t xml:space="preserve">límite de acceso previsto en </w:t>
            </w:r>
            <w:r>
              <w:rPr>
                <w:rFonts w:cs="Times New Roman"/>
                <w:sz w:val="22"/>
                <w:szCs w:val="22"/>
              </w:rPr>
              <w:t>la letra c) d</w:t>
            </w:r>
            <w:r w:rsidRPr="00F92595">
              <w:rPr>
                <w:rFonts w:cs="Times New Roman"/>
                <w:sz w:val="22"/>
                <w:szCs w:val="22"/>
              </w:rPr>
              <w:t>el artículo 31.4 de la Norma Foral 1/2017, de 8 de febrero, de transparencia, participación ciudadana y buen gobierno del sector público del Territorio Histórico de Álava</w:t>
            </w:r>
            <w:r>
              <w:rPr>
                <w:rFonts w:cs="Times New Roman"/>
                <w:sz w:val="22"/>
                <w:szCs w:val="22"/>
              </w:rPr>
              <w:t xml:space="preserve"> y</w:t>
            </w:r>
            <w:r w:rsidRPr="00F92595">
              <w:rPr>
                <w:rFonts w:cs="Times New Roman"/>
                <w:sz w:val="22"/>
                <w:szCs w:val="22"/>
              </w:rPr>
              <w:t>, en términos idénticos</w:t>
            </w:r>
            <w:r>
              <w:rPr>
                <w:rFonts w:cs="Times New Roman"/>
                <w:sz w:val="22"/>
                <w:szCs w:val="22"/>
              </w:rPr>
              <w:t xml:space="preserve">, en el </w:t>
            </w:r>
            <w:r w:rsidR="00E61B73">
              <w:rPr>
                <w:rFonts w:cs="Times New Roman"/>
                <w:sz w:val="22"/>
                <w:szCs w:val="22"/>
              </w:rPr>
              <w:t xml:space="preserve">artículo </w:t>
            </w:r>
            <w:r w:rsidRPr="00F92595">
              <w:rPr>
                <w:rFonts w:cs="Times New Roman"/>
                <w:sz w:val="22"/>
                <w:szCs w:val="22"/>
              </w:rPr>
              <w:t xml:space="preserve">14.1 </w:t>
            </w:r>
            <w:r>
              <w:rPr>
                <w:rFonts w:cs="Times New Roman"/>
                <w:sz w:val="22"/>
                <w:szCs w:val="22"/>
              </w:rPr>
              <w:t>g</w:t>
            </w:r>
            <w:r w:rsidRPr="00F92595">
              <w:rPr>
                <w:rFonts w:cs="Times New Roman"/>
                <w:sz w:val="22"/>
                <w:szCs w:val="22"/>
              </w:rPr>
              <w:t xml:space="preserve">) de la Ley 19/2013, de 9 de diciembre, de transparencia, acceso a la información pública y buen gobierno, </w:t>
            </w:r>
            <w:r>
              <w:rPr>
                <w:rFonts w:cs="Times New Roman"/>
                <w:sz w:val="22"/>
                <w:szCs w:val="22"/>
              </w:rPr>
              <w:t xml:space="preserve">esto es, </w:t>
            </w:r>
            <w:r w:rsidR="005E0368" w:rsidRPr="005E0368">
              <w:rPr>
                <w:rFonts w:cs="Times New Roman"/>
                <w:sz w:val="22"/>
                <w:szCs w:val="22"/>
              </w:rPr>
              <w:t xml:space="preserve">cuando acceder a la información suponga </w:t>
            </w:r>
            <w:r w:rsidR="005E0368" w:rsidRPr="00631011">
              <w:rPr>
                <w:rFonts w:cs="Times New Roman"/>
                <w:b/>
                <w:bCs/>
                <w:sz w:val="22"/>
                <w:szCs w:val="22"/>
              </w:rPr>
              <w:t>perjuicio para las</w:t>
            </w:r>
            <w:r w:rsidR="005E0368" w:rsidRPr="00E61B73">
              <w:rPr>
                <w:rFonts w:cs="Times New Roman"/>
                <w:b/>
                <w:bCs/>
                <w:sz w:val="22"/>
                <w:szCs w:val="22"/>
              </w:rPr>
              <w:t xml:space="preserve"> funciones</w:t>
            </w:r>
            <w:r w:rsidR="00631011">
              <w:rPr>
                <w:rFonts w:cs="Times New Roman"/>
                <w:b/>
                <w:bCs/>
                <w:sz w:val="22"/>
                <w:szCs w:val="22"/>
              </w:rPr>
              <w:t xml:space="preserve"> </w:t>
            </w:r>
            <w:r w:rsidR="005E0368" w:rsidRPr="00E61B73">
              <w:rPr>
                <w:rFonts w:cs="Times New Roman"/>
                <w:b/>
                <w:bCs/>
                <w:sz w:val="22"/>
                <w:szCs w:val="22"/>
              </w:rPr>
              <w:t>administrativas de vigilancia, inspección y control</w:t>
            </w:r>
            <w:r w:rsidR="005E0368" w:rsidRPr="006E3F52">
              <w:rPr>
                <w:rFonts w:cs="Times New Roman"/>
                <w:sz w:val="22"/>
                <w:szCs w:val="22"/>
              </w:rPr>
              <w:t>.</w:t>
            </w:r>
          </w:p>
          <w:p w14:paraId="042DD815" w14:textId="27A4A0B0" w:rsidR="007F2DF3" w:rsidRPr="007F2DF3" w:rsidRDefault="007F2DF3" w:rsidP="00321012">
            <w:pPr>
              <w:spacing w:before="360"/>
              <w:rPr>
                <w:rFonts w:cs="Times New Roman"/>
                <w:i/>
                <w:iCs/>
                <w:sz w:val="22"/>
                <w:szCs w:val="22"/>
              </w:rPr>
            </w:pPr>
            <w:r>
              <w:rPr>
                <w:rFonts w:cs="Times New Roman"/>
                <w:sz w:val="22"/>
                <w:szCs w:val="22"/>
              </w:rPr>
              <w:t>De hecho, en el</w:t>
            </w:r>
            <w:r w:rsidRPr="007F2DF3">
              <w:rPr>
                <w:rFonts w:cs="Times New Roman"/>
                <w:sz w:val="22"/>
                <w:szCs w:val="22"/>
              </w:rPr>
              <w:t xml:space="preserve"> caso que nos ocupa, </w:t>
            </w:r>
            <w:r w:rsidRPr="007F2DF3">
              <w:rPr>
                <w:rFonts w:cs="Times New Roman"/>
                <w:i/>
                <w:iCs/>
                <w:sz w:val="22"/>
                <w:szCs w:val="22"/>
              </w:rPr>
              <w:t>la propia naturaleza de la información pedida (actividad inspectora y su “resultado” en vía económico-administrativa) se conecta directamente con la capacidad de la Administración para diseñar y ejecutar de forma eficaz sus actuaciones de control.</w:t>
            </w:r>
          </w:p>
          <w:p w14:paraId="2E9BDA5B" w14:textId="25A58EB5" w:rsidR="007F2DF3" w:rsidRPr="007F2DF3" w:rsidRDefault="007F2DF3" w:rsidP="00EF4074">
            <w:pPr>
              <w:spacing w:before="120"/>
              <w:rPr>
                <w:rFonts w:cs="Times New Roman"/>
                <w:i/>
                <w:iCs/>
                <w:sz w:val="22"/>
                <w:szCs w:val="22"/>
              </w:rPr>
            </w:pPr>
            <w:r w:rsidRPr="007F2DF3">
              <w:rPr>
                <w:rFonts w:cs="Times New Roman"/>
                <w:i/>
                <w:iCs/>
                <w:sz w:val="22"/>
                <w:szCs w:val="22"/>
              </w:rPr>
              <w:t xml:space="preserve">Es más, articular el carácter agregado de la información no elimina el riesgo: cuando la agregación se combina con series temporales extensas y variables que reflejan decisiones </w:t>
            </w:r>
            <w:r w:rsidRPr="007F2DF3">
              <w:rPr>
                <w:rFonts w:cs="Times New Roman"/>
                <w:i/>
                <w:iCs/>
                <w:sz w:val="22"/>
                <w:szCs w:val="22"/>
              </w:rPr>
              <w:lastRenderedPageBreak/>
              <w:t>operativas (p. ej., tipología de actas y tasas de estimación/anulación), puede habilitar análisis inferenciales útiles para anticipar o eludir estrategias de control, afectando a la función inspectora y de vigilancia. Por ello, la afectación es objetiva y actual en relación con la finalidad de protección del límite, y la medida de denegación se justifica atendiendo a las circunstancias del caso (objeto, alcance temporal, nivel de detalle y conexión directa con la función inspectora)</w:t>
            </w:r>
            <w:r w:rsidR="00005A36">
              <w:rPr>
                <w:rFonts w:cs="Times New Roman"/>
                <w:i/>
                <w:iCs/>
                <w:sz w:val="22"/>
                <w:szCs w:val="22"/>
              </w:rPr>
              <w:t>.</w:t>
            </w:r>
          </w:p>
          <w:p w14:paraId="04C48207" w14:textId="25D17788" w:rsidR="0040099E" w:rsidRDefault="0040099E" w:rsidP="007A33A3">
            <w:pPr>
              <w:spacing w:before="360" w:after="360"/>
              <w:rPr>
                <w:sz w:val="22"/>
                <w:szCs w:val="22"/>
              </w:rPr>
            </w:pPr>
            <w:r w:rsidRPr="0040099E">
              <w:rPr>
                <w:sz w:val="22"/>
                <w:szCs w:val="22"/>
              </w:rPr>
              <w:t>En su virtud, haciendo uso de las competencias que me han sido otorgadas por la Orden Foral 146/2020, de 18 de marzo por la que se delega en la persona titular de la Dirección de Hacienda la competencia para resolver las solicitudes en materia de acceso a la información pública que se tramiten en dicha Dirección,</w:t>
            </w:r>
          </w:p>
          <w:p w14:paraId="39DF9DE9" w14:textId="77259A36" w:rsidR="00841D3F" w:rsidRPr="00BF1FB1" w:rsidRDefault="00344C25" w:rsidP="004C4BA2">
            <w:pPr>
              <w:pStyle w:val="Default"/>
              <w:jc w:val="center"/>
              <w:rPr>
                <w:rFonts w:eastAsia="Calibri"/>
                <w:b/>
                <w:color w:val="auto"/>
                <w:sz w:val="22"/>
                <w:szCs w:val="22"/>
                <w:lang w:eastAsia="en-US"/>
              </w:rPr>
            </w:pPr>
            <w:r w:rsidRPr="00BF1FB1">
              <w:rPr>
                <w:rFonts w:eastAsia="Calibri"/>
                <w:b/>
                <w:color w:val="auto"/>
                <w:sz w:val="22"/>
                <w:szCs w:val="22"/>
                <w:lang w:eastAsia="en-US"/>
              </w:rPr>
              <w:t>RESUELVO</w:t>
            </w:r>
          </w:p>
          <w:p w14:paraId="616388BD" w14:textId="5FFFFF79" w:rsidR="0079190C" w:rsidRDefault="00841D3F" w:rsidP="004C4BA2">
            <w:pPr>
              <w:spacing w:before="240"/>
              <w:rPr>
                <w:rFonts w:cs="Times New Roman"/>
                <w:sz w:val="22"/>
                <w:szCs w:val="22"/>
              </w:rPr>
            </w:pPr>
            <w:r w:rsidRPr="009E24B7">
              <w:rPr>
                <w:rFonts w:eastAsia="Calibri"/>
                <w:b/>
                <w:sz w:val="22"/>
                <w:szCs w:val="22"/>
                <w:lang w:val="es-ES" w:eastAsia="en-US"/>
              </w:rPr>
              <w:t>PRIMERO</w:t>
            </w:r>
            <w:r w:rsidRPr="007848F0">
              <w:rPr>
                <w:rFonts w:eastAsia="Calibri"/>
                <w:sz w:val="22"/>
                <w:szCs w:val="22"/>
                <w:lang w:val="es-ES" w:eastAsia="en-US"/>
              </w:rPr>
              <w:t>.</w:t>
            </w:r>
            <w:r w:rsidR="001B1581" w:rsidRPr="007848F0">
              <w:t xml:space="preserve"> </w:t>
            </w:r>
            <w:r w:rsidR="009E08F0" w:rsidRPr="007848F0">
              <w:rPr>
                <w:sz w:val="22"/>
                <w:szCs w:val="22"/>
              </w:rPr>
              <w:t>Denegar</w:t>
            </w:r>
            <w:r w:rsidR="009E24B7" w:rsidRPr="007848F0">
              <w:rPr>
                <w:sz w:val="22"/>
                <w:szCs w:val="22"/>
              </w:rPr>
              <w:t xml:space="preserve"> la solicitud de acceso a la información presentada por </w:t>
            </w:r>
            <w:r w:rsidR="004A2DDC" w:rsidRPr="004A2DDC">
              <w:rPr>
                <w:sz w:val="22"/>
                <w:szCs w:val="22"/>
                <w:highlight w:val="black"/>
              </w:rPr>
              <w:t>XXXXX</w:t>
            </w:r>
            <w:r w:rsidR="008475EB" w:rsidRPr="007848F0">
              <w:rPr>
                <w:sz w:val="22"/>
                <w:szCs w:val="22"/>
              </w:rPr>
              <w:t xml:space="preserve"> </w:t>
            </w:r>
            <w:r w:rsidR="003A1D70" w:rsidRPr="007848F0">
              <w:rPr>
                <w:sz w:val="22"/>
                <w:szCs w:val="22"/>
              </w:rPr>
              <w:t>de</w:t>
            </w:r>
            <w:r w:rsidR="008475EB" w:rsidRPr="007848F0">
              <w:rPr>
                <w:sz w:val="22"/>
                <w:szCs w:val="22"/>
              </w:rPr>
              <w:t xml:space="preserve"> </w:t>
            </w:r>
            <w:r w:rsidR="00711C80" w:rsidRPr="007848F0">
              <w:rPr>
                <w:sz w:val="22"/>
                <w:szCs w:val="22"/>
              </w:rPr>
              <w:t>16</w:t>
            </w:r>
            <w:r w:rsidR="008475EB" w:rsidRPr="007848F0">
              <w:rPr>
                <w:sz w:val="22"/>
                <w:szCs w:val="22"/>
              </w:rPr>
              <w:t xml:space="preserve"> de </w:t>
            </w:r>
            <w:r w:rsidR="00711C80" w:rsidRPr="007848F0">
              <w:rPr>
                <w:sz w:val="22"/>
                <w:szCs w:val="22"/>
              </w:rPr>
              <w:t>febrero</w:t>
            </w:r>
            <w:r w:rsidR="008475EB" w:rsidRPr="007848F0">
              <w:rPr>
                <w:sz w:val="22"/>
                <w:szCs w:val="22"/>
              </w:rPr>
              <w:t xml:space="preserve"> de 202</w:t>
            </w:r>
            <w:r w:rsidR="00711C80" w:rsidRPr="007848F0">
              <w:rPr>
                <w:sz w:val="22"/>
                <w:szCs w:val="22"/>
              </w:rPr>
              <w:t>6</w:t>
            </w:r>
            <w:r w:rsidR="00DC078D">
              <w:rPr>
                <w:sz w:val="22"/>
                <w:szCs w:val="22"/>
              </w:rPr>
              <w:t xml:space="preserve"> </w:t>
            </w:r>
            <w:r w:rsidR="009E08F0" w:rsidRPr="007848F0">
              <w:rPr>
                <w:rFonts w:cs="Times New Roman"/>
                <w:sz w:val="22"/>
                <w:szCs w:val="22"/>
              </w:rPr>
              <w:t>por los motivos expuestos en la parte expositiva de la presente resolución.</w:t>
            </w:r>
          </w:p>
          <w:p w14:paraId="6BF04631" w14:textId="046DCEEF" w:rsidR="00841D3F" w:rsidRPr="00841D3F" w:rsidRDefault="001F3207" w:rsidP="004C4BA2">
            <w:pPr>
              <w:pStyle w:val="Normal0"/>
              <w:spacing w:before="240" w:after="240"/>
              <w:ind w:right="-1"/>
              <w:rPr>
                <w:sz w:val="22"/>
                <w:highlight w:val="yellow"/>
                <w:lang w:val="es-ES"/>
              </w:rPr>
            </w:pPr>
            <w:r>
              <w:rPr>
                <w:rFonts w:eastAsia="Arial"/>
                <w:b/>
                <w:sz w:val="22"/>
                <w:szCs w:val="22"/>
                <w:lang w:val="es-ES" w:eastAsia="en-US"/>
              </w:rPr>
              <w:t>SEGUNDO</w:t>
            </w:r>
            <w:r w:rsidR="005A67AA">
              <w:rPr>
                <w:rFonts w:eastAsia="Arial"/>
                <w:sz w:val="22"/>
                <w:szCs w:val="22"/>
                <w:lang w:val="es-ES" w:eastAsia="en-US"/>
              </w:rPr>
              <w:t xml:space="preserve">. </w:t>
            </w:r>
            <w:r w:rsidR="00957D07">
              <w:rPr>
                <w:rFonts w:eastAsia="Arial"/>
                <w:sz w:val="22"/>
                <w:szCs w:val="22"/>
                <w:lang w:val="es-ES" w:eastAsia="en-US"/>
              </w:rPr>
              <w:t xml:space="preserve">Contra la presente resolución, que pone fin a la vía administrativa, podrá interponer recurso </w:t>
            </w:r>
            <w:r w:rsidR="00304CE8">
              <w:rPr>
                <w:rFonts w:eastAsia="Arial"/>
                <w:sz w:val="22"/>
                <w:szCs w:val="22"/>
                <w:lang w:val="es-ES" w:eastAsia="en-US"/>
              </w:rPr>
              <w:t>c</w:t>
            </w:r>
            <w:r w:rsidR="00957D07">
              <w:rPr>
                <w:rFonts w:eastAsia="Arial"/>
                <w:sz w:val="22"/>
                <w:szCs w:val="22"/>
                <w:lang w:val="es-ES" w:eastAsia="en-US"/>
              </w:rPr>
              <w:t>ontencioso-</w:t>
            </w:r>
            <w:r w:rsidR="00304CE8">
              <w:rPr>
                <w:rFonts w:eastAsia="Arial"/>
                <w:sz w:val="22"/>
                <w:szCs w:val="22"/>
                <w:lang w:val="es-ES" w:eastAsia="en-US"/>
              </w:rPr>
              <w:t>a</w:t>
            </w:r>
            <w:r w:rsidR="00957D07">
              <w:rPr>
                <w:rFonts w:eastAsia="Arial"/>
                <w:sz w:val="22"/>
                <w:szCs w:val="22"/>
                <w:lang w:val="es-ES" w:eastAsia="en-US"/>
              </w:rPr>
              <w:t xml:space="preserve">dministrativo ante los </w:t>
            </w:r>
            <w:r w:rsidR="00304CE8">
              <w:rPr>
                <w:rFonts w:eastAsia="Arial"/>
                <w:sz w:val="22"/>
                <w:szCs w:val="22"/>
                <w:lang w:val="es-ES" w:eastAsia="en-US"/>
              </w:rPr>
              <w:t>j</w:t>
            </w:r>
            <w:r w:rsidR="00957D07">
              <w:rPr>
                <w:rFonts w:eastAsia="Arial"/>
                <w:sz w:val="22"/>
                <w:szCs w:val="22"/>
                <w:lang w:val="es-ES" w:eastAsia="en-US"/>
              </w:rPr>
              <w:t xml:space="preserve">uzgados de lo </w:t>
            </w:r>
            <w:r w:rsidR="00304CE8">
              <w:rPr>
                <w:rFonts w:eastAsia="Arial"/>
                <w:sz w:val="22"/>
                <w:szCs w:val="22"/>
                <w:lang w:val="es-ES" w:eastAsia="en-US"/>
              </w:rPr>
              <w:t>c</w:t>
            </w:r>
            <w:r w:rsidR="00957D07">
              <w:rPr>
                <w:rFonts w:eastAsia="Arial"/>
                <w:sz w:val="22"/>
                <w:szCs w:val="22"/>
                <w:lang w:val="es-ES" w:eastAsia="en-US"/>
              </w:rPr>
              <w:t>ontencioso-</w:t>
            </w:r>
            <w:r w:rsidR="00304CE8">
              <w:rPr>
                <w:rFonts w:eastAsia="Arial"/>
                <w:sz w:val="22"/>
                <w:szCs w:val="22"/>
                <w:lang w:val="es-ES" w:eastAsia="en-US"/>
              </w:rPr>
              <w:t>a</w:t>
            </w:r>
            <w:r w:rsidR="00957D07">
              <w:rPr>
                <w:rFonts w:eastAsia="Arial"/>
                <w:sz w:val="22"/>
                <w:szCs w:val="22"/>
                <w:lang w:val="es-ES" w:eastAsia="en-US"/>
              </w:rPr>
              <w:t xml:space="preserve">dministrativo de Vitoria-Gasteiz en el plazo de dos meses o, previa y potestativamente, reclamación ante el Consejo </w:t>
            </w:r>
            <w:r w:rsidR="00CB6FE4">
              <w:rPr>
                <w:rFonts w:eastAsia="Arial"/>
                <w:sz w:val="22"/>
                <w:szCs w:val="22"/>
                <w:lang w:val="es-ES" w:eastAsia="en-US"/>
              </w:rPr>
              <w:t>F</w:t>
            </w:r>
            <w:r w:rsidR="00957D07">
              <w:rPr>
                <w:rFonts w:eastAsia="Arial"/>
                <w:sz w:val="22"/>
                <w:szCs w:val="22"/>
                <w:lang w:val="es-ES" w:eastAsia="en-US"/>
              </w:rPr>
              <w:t>oral de Transparencia y Buen Gobierno en el plazo de un mes; en ambos casos, el plazo se contará desde el día siguiente al de la notificación de la presente resolución.</w:t>
            </w:r>
          </w:p>
        </w:tc>
      </w:tr>
      <w:tr w:rsidR="00AD6A23" w14:paraId="18BC1B51" w14:textId="77777777" w:rsidTr="008A5B73">
        <w:trPr>
          <w:trHeight w:val="964"/>
        </w:trPr>
        <w:tc>
          <w:tcPr>
            <w:tcW w:w="4394" w:type="dxa"/>
            <w:gridSpan w:val="2"/>
          </w:tcPr>
          <w:p w14:paraId="522F590C" w14:textId="0BB1D7A9" w:rsidR="00B3082F" w:rsidRDefault="0064133B" w:rsidP="00321012">
            <w:pPr>
              <w:jc w:val="both"/>
              <w:rPr>
                <w:b/>
                <w:sz w:val="22"/>
              </w:rPr>
            </w:pPr>
            <w:r>
              <w:rPr>
                <w:sz w:val="22"/>
              </w:rPr>
              <w:lastRenderedPageBreak/>
              <w:t>Vitoria-Gasteiz,</w:t>
            </w:r>
          </w:p>
        </w:tc>
        <w:tc>
          <w:tcPr>
            <w:tcW w:w="568" w:type="dxa"/>
            <w:gridSpan w:val="2"/>
          </w:tcPr>
          <w:p w14:paraId="7D77F2CE" w14:textId="77777777" w:rsidR="00AD6A23" w:rsidRDefault="00AD6A23" w:rsidP="004D6998">
            <w:pPr>
              <w:spacing w:after="240"/>
              <w:jc w:val="both"/>
              <w:rPr>
                <w:b/>
                <w:sz w:val="22"/>
              </w:rPr>
            </w:pPr>
          </w:p>
        </w:tc>
        <w:tc>
          <w:tcPr>
            <w:tcW w:w="4393" w:type="dxa"/>
            <w:gridSpan w:val="2"/>
          </w:tcPr>
          <w:p w14:paraId="7DAAB3AE" w14:textId="77777777" w:rsidR="00AD6A23" w:rsidRDefault="00AD6A23" w:rsidP="004D6998">
            <w:pPr>
              <w:spacing w:after="240"/>
              <w:jc w:val="both"/>
              <w:rPr>
                <w:b/>
                <w:sz w:val="22"/>
              </w:rPr>
            </w:pPr>
          </w:p>
        </w:tc>
      </w:tr>
      <w:tr w:rsidR="00AD6A23" w14:paraId="062FE42F" w14:textId="77777777" w:rsidTr="000002AA">
        <w:tc>
          <w:tcPr>
            <w:tcW w:w="4394" w:type="dxa"/>
            <w:gridSpan w:val="2"/>
          </w:tcPr>
          <w:tbl>
            <w:tblPr>
              <w:tblW w:w="0" w:type="auto"/>
              <w:tblLayout w:type="fixed"/>
              <w:tblCellMar>
                <w:left w:w="0" w:type="dxa"/>
                <w:right w:w="0" w:type="dxa"/>
              </w:tblCellMar>
              <w:tblLook w:val="04A0" w:firstRow="1" w:lastRow="0" w:firstColumn="1" w:lastColumn="0" w:noHBand="0" w:noVBand="1"/>
            </w:tblPr>
            <w:tblGrid>
              <w:gridCol w:w="4394"/>
              <w:gridCol w:w="568"/>
            </w:tblGrid>
            <w:tr w:rsidR="002350D6" w14:paraId="491C9753" w14:textId="77777777" w:rsidTr="002350D6">
              <w:tc>
                <w:tcPr>
                  <w:tcW w:w="4394" w:type="dxa"/>
                  <w:hideMark/>
                </w:tcPr>
                <w:tbl>
                  <w:tblPr>
                    <w:tblW w:w="0" w:type="auto"/>
                    <w:tblLayout w:type="fixed"/>
                    <w:tblCellMar>
                      <w:left w:w="0" w:type="dxa"/>
                      <w:right w:w="0" w:type="dxa"/>
                    </w:tblCellMar>
                    <w:tblLook w:val="04A0" w:firstRow="1" w:lastRow="0" w:firstColumn="1" w:lastColumn="0" w:noHBand="0" w:noVBand="1"/>
                  </w:tblPr>
                  <w:tblGrid>
                    <w:gridCol w:w="4394"/>
                  </w:tblGrid>
                  <w:tr w:rsidR="002350D6" w14:paraId="445EA5F0" w14:textId="77777777">
                    <w:tc>
                      <w:tcPr>
                        <w:tcW w:w="4394" w:type="dxa"/>
                        <w:hideMark/>
                      </w:tcPr>
                      <w:p w14:paraId="305E3B63" w14:textId="0B1AEA3D" w:rsidR="002350D6" w:rsidRDefault="007134EE" w:rsidP="00321012">
                        <w:pPr>
                          <w:autoSpaceDE w:val="0"/>
                          <w:autoSpaceDN w:val="0"/>
                          <w:adjustRightInd w:val="0"/>
                          <w:spacing w:before="600"/>
                          <w:jc w:val="both"/>
                          <w:rPr>
                            <w:rFonts w:cs="Times New Roman"/>
                            <w:b/>
                            <w:bCs/>
                            <w:sz w:val="22"/>
                            <w:szCs w:val="22"/>
                            <w:lang w:val="es-ES" w:bidi="ar-SA"/>
                          </w:rPr>
                        </w:pPr>
                        <w:r w:rsidRPr="007134EE">
                          <w:rPr>
                            <w:rFonts w:cs="Times New Roman"/>
                            <w:b/>
                            <w:bCs/>
                            <w:sz w:val="22"/>
                            <w:szCs w:val="22"/>
                            <w:lang w:val="es-ES" w:bidi="ar-SA"/>
                          </w:rPr>
                          <w:t>María José Perea Urteaga</w:t>
                        </w:r>
                      </w:p>
                      <w:p w14:paraId="28D36A33" w14:textId="77777777" w:rsidR="007134EE" w:rsidRPr="007134EE" w:rsidRDefault="007134EE" w:rsidP="00321012">
                        <w:pPr>
                          <w:autoSpaceDE w:val="0"/>
                          <w:autoSpaceDN w:val="0"/>
                          <w:adjustRightInd w:val="0"/>
                          <w:jc w:val="both"/>
                          <w:rPr>
                            <w:rFonts w:cs="Times New Roman"/>
                            <w:sz w:val="22"/>
                            <w:szCs w:val="22"/>
                            <w:lang w:val="es-ES" w:bidi="ar-SA"/>
                          </w:rPr>
                        </w:pPr>
                        <w:r w:rsidRPr="007134EE">
                          <w:rPr>
                            <w:rFonts w:cs="Times New Roman"/>
                            <w:sz w:val="22"/>
                            <w:szCs w:val="22"/>
                            <w:lang w:val="es-ES" w:bidi="ar-SA"/>
                          </w:rPr>
                          <w:t>Ogasun zuzendaria</w:t>
                        </w:r>
                      </w:p>
                      <w:p w14:paraId="26E54396" w14:textId="519DF37A" w:rsidR="002350D6" w:rsidRDefault="007134EE" w:rsidP="00321012">
                        <w:pPr>
                          <w:widowControl w:val="0"/>
                          <w:jc w:val="both"/>
                          <w:rPr>
                            <w:rFonts w:cs="Times New Roman"/>
                            <w:sz w:val="22"/>
                          </w:rPr>
                        </w:pPr>
                        <w:r w:rsidRPr="007134EE">
                          <w:rPr>
                            <w:rFonts w:cs="Times New Roman"/>
                            <w:sz w:val="22"/>
                            <w:szCs w:val="22"/>
                            <w:lang w:val="es-ES" w:bidi="ar-SA"/>
                          </w:rPr>
                          <w:t>Directora de Hacienda</w:t>
                        </w:r>
                      </w:p>
                    </w:tc>
                  </w:tr>
                </w:tbl>
                <w:p w14:paraId="67796DBC" w14:textId="77777777" w:rsidR="002350D6" w:rsidRDefault="002350D6" w:rsidP="004D6998">
                  <w:pPr>
                    <w:spacing w:after="240"/>
                    <w:jc w:val="both"/>
                    <w:rPr>
                      <w:b/>
                      <w:sz w:val="22"/>
                    </w:rPr>
                  </w:pPr>
                </w:p>
              </w:tc>
              <w:tc>
                <w:tcPr>
                  <w:tcW w:w="568" w:type="dxa"/>
                </w:tcPr>
                <w:p w14:paraId="3873AF65" w14:textId="77777777" w:rsidR="002350D6" w:rsidRDefault="002350D6" w:rsidP="004D6998">
                  <w:pPr>
                    <w:spacing w:after="240"/>
                    <w:jc w:val="both"/>
                    <w:rPr>
                      <w:b/>
                      <w:sz w:val="22"/>
                    </w:rPr>
                  </w:pPr>
                </w:p>
              </w:tc>
            </w:tr>
          </w:tbl>
          <w:p w14:paraId="5E4BAB48" w14:textId="77777777" w:rsidR="00AD6A23" w:rsidRDefault="00AD6A23" w:rsidP="004D6998">
            <w:pPr>
              <w:spacing w:after="120"/>
              <w:jc w:val="both"/>
              <w:rPr>
                <w:rFonts w:ascii="Arial" w:hAnsi="Arial"/>
              </w:rPr>
            </w:pPr>
          </w:p>
        </w:tc>
        <w:tc>
          <w:tcPr>
            <w:tcW w:w="568" w:type="dxa"/>
            <w:gridSpan w:val="2"/>
          </w:tcPr>
          <w:p w14:paraId="17F6DE59" w14:textId="77777777" w:rsidR="00AD6A23" w:rsidRDefault="00AD6A23" w:rsidP="004D6998">
            <w:pPr>
              <w:spacing w:after="120"/>
              <w:jc w:val="both"/>
              <w:rPr>
                <w:sz w:val="22"/>
              </w:rPr>
            </w:pPr>
          </w:p>
        </w:tc>
        <w:tc>
          <w:tcPr>
            <w:tcW w:w="4393" w:type="dxa"/>
            <w:gridSpan w:val="2"/>
          </w:tcPr>
          <w:p w14:paraId="74BCB31A" w14:textId="77777777" w:rsidR="00AD6A23" w:rsidRDefault="00AD6A23" w:rsidP="004D6998">
            <w:pPr>
              <w:spacing w:after="120"/>
              <w:jc w:val="both"/>
              <w:rPr>
                <w:sz w:val="22"/>
              </w:rPr>
            </w:pPr>
          </w:p>
        </w:tc>
      </w:tr>
    </w:tbl>
    <w:p w14:paraId="18877C11" w14:textId="77777777" w:rsidR="00AD6A23" w:rsidRDefault="00AD6A23" w:rsidP="00321012">
      <w:pPr>
        <w:tabs>
          <w:tab w:val="right" w:pos="8789"/>
        </w:tabs>
        <w:jc w:val="both"/>
        <w:rPr>
          <w:sz w:val="22"/>
        </w:rPr>
      </w:pPr>
    </w:p>
    <w:sectPr w:rsidR="00AD6A23" w:rsidSect="00A95A0E">
      <w:headerReference w:type="default" r:id="rId8"/>
      <w:footerReference w:type="default" r:id="rId9"/>
      <w:headerReference w:type="first" r:id="rId10"/>
      <w:footerReference w:type="first" r:id="rId11"/>
      <w:pgSz w:w="11907" w:h="16840" w:code="9"/>
      <w:pgMar w:top="2269" w:right="851" w:bottom="1418" w:left="1701" w:header="851" w:footer="567" w:gutter="0"/>
      <w:cols w:space="720" w:equalWidth="0">
        <w:col w:w="9355" w:space="70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2E151" w14:textId="77777777" w:rsidR="00423D9E" w:rsidRDefault="00423D9E">
      <w:r>
        <w:separator/>
      </w:r>
    </w:p>
  </w:endnote>
  <w:endnote w:type="continuationSeparator" w:id="0">
    <w:p w14:paraId="7C32B9AD" w14:textId="77777777" w:rsidR="00423D9E" w:rsidRDefault="00423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F971" w14:textId="77777777" w:rsidR="00AD6A23" w:rsidRDefault="00AD6A23">
    <w:pPr>
      <w:pStyle w:val="Piedepgina"/>
      <w:tabs>
        <w:tab w:val="clear" w:pos="4252"/>
        <w:tab w:val="clear" w:pos="8504"/>
        <w:tab w:val="right" w:pos="9356"/>
      </w:tabs>
      <w:jc w:val="right"/>
    </w:pPr>
    <w:r>
      <w:rPr>
        <w:rStyle w:val="Nmerodepgina"/>
      </w:rPr>
      <w:fldChar w:fldCharType="begin"/>
    </w:r>
    <w:r>
      <w:rPr>
        <w:rStyle w:val="Nmerodepgina"/>
      </w:rPr>
      <w:instrText xml:space="preserve"> PAGE </w:instrText>
    </w:r>
    <w:r>
      <w:rPr>
        <w:rStyle w:val="Nmerodepgina"/>
      </w:rPr>
      <w:fldChar w:fldCharType="separate"/>
    </w:r>
    <w:r w:rsidR="00130F3D">
      <w:rPr>
        <w:rStyle w:val="Nmerodepgina"/>
        <w:noProof/>
      </w:rPr>
      <w:t>2</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30F3D">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3B0EA" w14:textId="77777777" w:rsidR="00AD6A23" w:rsidRDefault="00AD6A23">
    <w:pPr>
      <w:pStyle w:val="Piedepgina"/>
      <w:tabs>
        <w:tab w:val="clear" w:pos="4252"/>
        <w:tab w:val="clear" w:pos="8504"/>
        <w:tab w:val="right" w:pos="9356"/>
      </w:tabs>
      <w:rPr>
        <w:sz w:val="16"/>
      </w:rPr>
    </w:pPr>
    <w:r>
      <w:rPr>
        <w:sz w:val="16"/>
      </w:rPr>
      <w:tab/>
    </w:r>
    <w:r>
      <w:rPr>
        <w:rStyle w:val="Nmerodepgina"/>
      </w:rPr>
      <w:fldChar w:fldCharType="begin"/>
    </w:r>
    <w:r>
      <w:rPr>
        <w:rStyle w:val="Nmerodepgina"/>
      </w:rPr>
      <w:instrText xml:space="preserve"> PAGE </w:instrText>
    </w:r>
    <w:r>
      <w:rPr>
        <w:rStyle w:val="Nmerodepgina"/>
      </w:rPr>
      <w:fldChar w:fldCharType="separate"/>
    </w:r>
    <w:r w:rsidR="00130F3D">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30F3D">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F55C5" w14:textId="77777777" w:rsidR="00423D9E" w:rsidRDefault="00423D9E">
      <w:r>
        <w:separator/>
      </w:r>
    </w:p>
  </w:footnote>
  <w:footnote w:type="continuationSeparator" w:id="0">
    <w:p w14:paraId="460C153C" w14:textId="77777777" w:rsidR="00423D9E" w:rsidRDefault="00423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AD6A23" w14:paraId="48067B7B" w14:textId="77777777">
      <w:trPr>
        <w:cantSplit/>
        <w:trHeight w:val="338"/>
      </w:trPr>
      <w:tc>
        <w:tcPr>
          <w:tcW w:w="3997" w:type="dxa"/>
          <w:tcBorders>
            <w:top w:val="nil"/>
            <w:left w:val="nil"/>
            <w:bottom w:val="single" w:sz="4" w:space="0" w:color="auto"/>
          </w:tcBorders>
        </w:tcPr>
        <w:p w14:paraId="30FB9ECC" w14:textId="77777777" w:rsidR="00AD6A23" w:rsidRDefault="00AD6A23">
          <w:pPr>
            <w:pStyle w:val="Encabezado"/>
          </w:pPr>
        </w:p>
      </w:tc>
      <w:tc>
        <w:tcPr>
          <w:tcW w:w="1361" w:type="dxa"/>
          <w:vMerge w:val="restart"/>
        </w:tcPr>
        <w:p w14:paraId="4007B28E" w14:textId="3E031903" w:rsidR="00AD6A23" w:rsidRDefault="00E31A1B">
          <w:pPr>
            <w:pStyle w:val="Encabezado"/>
            <w:jc w:val="center"/>
          </w:pPr>
          <w:r>
            <w:rPr>
              <w:noProof/>
            </w:rPr>
            <w:drawing>
              <wp:inline distT="0" distB="0" distL="0" distR="0" wp14:anchorId="579DBF03" wp14:editId="61E23473">
                <wp:extent cx="428625" cy="428625"/>
                <wp:effectExtent l="0" t="0" r="0" b="0"/>
                <wp:docPr id="864309167" name="Imagen 864309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0259BF24" w14:textId="77777777" w:rsidR="00AD6A23" w:rsidRDefault="00AD6A23">
          <w:pPr>
            <w:pStyle w:val="Encabezado"/>
          </w:pPr>
        </w:p>
      </w:tc>
    </w:tr>
    <w:tr w:rsidR="00AD6A23" w14:paraId="49E574B1" w14:textId="77777777">
      <w:trPr>
        <w:cantSplit/>
        <w:trHeight w:val="337"/>
      </w:trPr>
      <w:tc>
        <w:tcPr>
          <w:tcW w:w="3997" w:type="dxa"/>
          <w:tcBorders>
            <w:top w:val="single" w:sz="4" w:space="0" w:color="auto"/>
            <w:left w:val="nil"/>
            <w:bottom w:val="nil"/>
          </w:tcBorders>
        </w:tcPr>
        <w:p w14:paraId="3BBBE864" w14:textId="77777777" w:rsidR="00AD6A23" w:rsidRDefault="00AD6A23">
          <w:pPr>
            <w:pStyle w:val="Encabezado"/>
          </w:pPr>
        </w:p>
      </w:tc>
      <w:tc>
        <w:tcPr>
          <w:tcW w:w="1361" w:type="dxa"/>
          <w:vMerge/>
        </w:tcPr>
        <w:p w14:paraId="32CF127B" w14:textId="77777777" w:rsidR="00AD6A23" w:rsidRDefault="00AD6A23">
          <w:pPr>
            <w:pStyle w:val="Encabezado"/>
            <w:jc w:val="center"/>
          </w:pPr>
        </w:p>
      </w:tc>
      <w:tc>
        <w:tcPr>
          <w:tcW w:w="3997" w:type="dxa"/>
          <w:tcBorders>
            <w:top w:val="single" w:sz="4" w:space="0" w:color="auto"/>
            <w:bottom w:val="nil"/>
            <w:right w:val="nil"/>
          </w:tcBorders>
        </w:tcPr>
        <w:p w14:paraId="4D04BD78" w14:textId="77777777" w:rsidR="00AD6A23" w:rsidRDefault="00AD6A23">
          <w:pPr>
            <w:pStyle w:val="Encabezado"/>
          </w:pPr>
        </w:p>
      </w:tc>
    </w:tr>
  </w:tbl>
  <w:p w14:paraId="02BA8AD0" w14:textId="77777777" w:rsidR="00AD6A23" w:rsidRDefault="00AD6A23">
    <w:pPr>
      <w:pStyle w:val="Encabezado"/>
    </w:pPr>
  </w:p>
  <w:p w14:paraId="496BFF3D" w14:textId="77777777" w:rsidR="00AD6A23" w:rsidRDefault="00AD6A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4" w:type="dxa"/>
      <w:tblInd w:w="-1064" w:type="dxa"/>
      <w:tblLayout w:type="fixed"/>
      <w:tblCellMar>
        <w:left w:w="70" w:type="dxa"/>
        <w:right w:w="70" w:type="dxa"/>
      </w:tblCellMar>
      <w:tblLook w:val="0000" w:firstRow="0" w:lastRow="0" w:firstColumn="0" w:lastColumn="0" w:noHBand="0" w:noVBand="0"/>
    </w:tblPr>
    <w:tblGrid>
      <w:gridCol w:w="6619"/>
      <w:gridCol w:w="3585"/>
    </w:tblGrid>
    <w:tr w:rsidR="001D410A" w14:paraId="1119FFF0" w14:textId="77777777" w:rsidTr="001D410A">
      <w:trPr>
        <w:trHeight w:val="2269"/>
      </w:trPr>
      <w:tc>
        <w:tcPr>
          <w:tcW w:w="6619" w:type="dxa"/>
        </w:tcPr>
        <w:bookmarkStart w:id="0" w:name="_MON_1284444778"/>
        <w:bookmarkEnd w:id="0"/>
        <w:p w14:paraId="035984CD" w14:textId="77777777" w:rsidR="001D410A" w:rsidRDefault="001D410A" w:rsidP="001D410A">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59B5B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36376726" r:id="rId2"/>
            </w:object>
          </w:r>
        </w:p>
        <w:p w14:paraId="1C485F5A" w14:textId="77777777" w:rsidR="001D410A" w:rsidRDefault="001D410A" w:rsidP="001D410A">
          <w:pPr>
            <w:pStyle w:val="Encabezado"/>
            <w:ind w:left="1064"/>
            <w:rPr>
              <w:rFonts w:ascii="Arial" w:hAnsi="Arial"/>
              <w:noProof/>
              <w:sz w:val="16"/>
            </w:rPr>
          </w:pPr>
        </w:p>
      </w:tc>
      <w:tc>
        <w:tcPr>
          <w:tcW w:w="3585" w:type="dxa"/>
        </w:tcPr>
        <w:p w14:paraId="4E080117" w14:textId="77777777" w:rsidR="001D410A" w:rsidRPr="00A51331" w:rsidRDefault="001D410A" w:rsidP="001D410A">
          <w:pPr>
            <w:pStyle w:val="Encabezado"/>
            <w:spacing w:line="240" w:lineRule="exact"/>
            <w:ind w:left="-68"/>
            <w:rPr>
              <w:rFonts w:ascii="Arial" w:hAnsi="Arial"/>
              <w:b/>
              <w:sz w:val="18"/>
              <w:lang w:val="eu-ES"/>
            </w:rPr>
          </w:pPr>
          <w:r w:rsidRPr="00A51331">
            <w:rPr>
              <w:rFonts w:ascii="Arial" w:hAnsi="Arial"/>
              <w:b/>
              <w:sz w:val="18"/>
              <w:lang w:val="eu-ES"/>
            </w:rPr>
            <w:t>Ogasun, Finantza eta</w:t>
          </w:r>
          <w:r w:rsidRPr="00A51331">
            <w:rPr>
              <w:rFonts w:ascii="Arial" w:hAnsi="Arial"/>
              <w:b/>
              <w:sz w:val="18"/>
              <w:lang w:val="eu-ES"/>
            </w:rPr>
            <w:br/>
            <w:t>Aurrekontu Saila</w:t>
          </w:r>
        </w:p>
        <w:p w14:paraId="241EA23A" w14:textId="77777777" w:rsidR="001D410A" w:rsidRPr="00A51331" w:rsidRDefault="001D410A" w:rsidP="001D410A">
          <w:pPr>
            <w:pStyle w:val="Encabezado"/>
            <w:tabs>
              <w:tab w:val="clear" w:pos="4252"/>
            </w:tabs>
            <w:spacing w:before="120" w:line="240" w:lineRule="exact"/>
            <w:ind w:left="-68"/>
            <w:rPr>
              <w:rFonts w:ascii="Arial" w:hAnsi="Arial"/>
              <w:b/>
              <w:noProof/>
              <w:sz w:val="18"/>
            </w:rPr>
          </w:pPr>
          <w:r w:rsidRPr="00A51331">
            <w:rPr>
              <w:rFonts w:ascii="Arial" w:hAnsi="Arial"/>
              <w:b/>
              <w:noProof/>
              <w:sz w:val="18"/>
            </w:rPr>
            <w:t>Departamento de Hacienda</w:t>
          </w:r>
          <w:r w:rsidRPr="00A51331">
            <w:rPr>
              <w:rFonts w:ascii="Arial" w:hAnsi="Arial"/>
              <w:b/>
              <w:noProof/>
              <w:sz w:val="18"/>
            </w:rPr>
            <w:br/>
            <w:t>Finanzas y Presupuestos</w:t>
          </w:r>
        </w:p>
        <w:p w14:paraId="464260DD" w14:textId="1A583D31" w:rsidR="001D410A" w:rsidRPr="00A51331" w:rsidRDefault="001D410A" w:rsidP="001D410A">
          <w:pPr>
            <w:pStyle w:val="Encabezado"/>
            <w:spacing w:before="240" w:after="60" w:line="190" w:lineRule="exact"/>
            <w:ind w:left="-68"/>
            <w:rPr>
              <w:rFonts w:ascii="Arial" w:hAnsi="Arial"/>
              <w:sz w:val="16"/>
              <w:lang w:val="eu-ES"/>
            </w:rPr>
          </w:pPr>
          <w:r w:rsidRPr="00A51331">
            <w:rPr>
              <w:rFonts w:ascii="Arial" w:hAnsi="Arial"/>
              <w:sz w:val="16"/>
              <w:lang w:val="eu-ES"/>
            </w:rPr>
            <w:t>Finantza eta Aurrekontuen Zuzendaritza Dirección de Finanzas y Presupuestos</w:t>
          </w:r>
        </w:p>
        <w:p w14:paraId="32B34FE9" w14:textId="77777777" w:rsidR="001D410A" w:rsidRPr="00A51331" w:rsidRDefault="001D410A" w:rsidP="001D410A">
          <w:pPr>
            <w:pStyle w:val="Textoindependiente"/>
            <w:spacing w:before="120" w:line="200" w:lineRule="exact"/>
            <w:rPr>
              <w:rFonts w:ascii="Arial" w:hAnsi="Arial"/>
              <w:b/>
              <w:bCs/>
              <w:sz w:val="18"/>
              <w:szCs w:val="18"/>
            </w:rPr>
          </w:pPr>
        </w:p>
      </w:tc>
    </w:tr>
  </w:tbl>
  <w:p w14:paraId="2D7C4DF7" w14:textId="77777777" w:rsidR="00AD6A23" w:rsidRDefault="00AD6A23">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5E6"/>
    <w:multiLevelType w:val="hybridMultilevel"/>
    <w:tmpl w:val="65C0FF74"/>
    <w:lvl w:ilvl="0" w:tplc="ABDCA3C8">
      <w:start w:val="1"/>
      <w:numFmt w:val="lowerLetter"/>
      <w:lvlText w:val="%1)"/>
      <w:lvlJc w:val="left"/>
      <w:pPr>
        <w:ind w:left="-990" w:hanging="360"/>
      </w:pPr>
      <w:rPr>
        <w:rFonts w:ascii="Times New Roman" w:eastAsia="Times New Roman" w:hAnsi="Times New Roman" w:cs="Times New Roman" w:hint="default"/>
        <w:w w:val="99"/>
        <w:sz w:val="24"/>
        <w:szCs w:val="24"/>
        <w:lang w:val="es-ES" w:eastAsia="en-US" w:bidi="ar-SA"/>
      </w:rPr>
    </w:lvl>
    <w:lvl w:ilvl="1" w:tplc="CEE0EF86">
      <w:numFmt w:val="bullet"/>
      <w:lvlText w:val="•"/>
      <w:lvlJc w:val="left"/>
      <w:pPr>
        <w:ind w:left="-22" w:hanging="360"/>
      </w:pPr>
      <w:rPr>
        <w:rFonts w:hint="default"/>
        <w:lang w:val="es-ES" w:eastAsia="en-US" w:bidi="ar-SA"/>
      </w:rPr>
    </w:lvl>
    <w:lvl w:ilvl="2" w:tplc="B1FC9D08">
      <w:numFmt w:val="bullet"/>
      <w:lvlText w:val="•"/>
      <w:lvlJc w:val="left"/>
      <w:pPr>
        <w:ind w:left="938" w:hanging="360"/>
      </w:pPr>
      <w:rPr>
        <w:rFonts w:hint="default"/>
        <w:lang w:val="es-ES" w:eastAsia="en-US" w:bidi="ar-SA"/>
      </w:rPr>
    </w:lvl>
    <w:lvl w:ilvl="3" w:tplc="DE6EE57C">
      <w:numFmt w:val="bullet"/>
      <w:lvlText w:val="•"/>
      <w:lvlJc w:val="left"/>
      <w:pPr>
        <w:ind w:left="1898" w:hanging="360"/>
      </w:pPr>
      <w:rPr>
        <w:rFonts w:hint="default"/>
        <w:lang w:val="es-ES" w:eastAsia="en-US" w:bidi="ar-SA"/>
      </w:rPr>
    </w:lvl>
    <w:lvl w:ilvl="4" w:tplc="7E0E863A">
      <w:numFmt w:val="bullet"/>
      <w:lvlText w:val="•"/>
      <w:lvlJc w:val="left"/>
      <w:pPr>
        <w:ind w:left="2858" w:hanging="360"/>
      </w:pPr>
      <w:rPr>
        <w:rFonts w:hint="default"/>
        <w:lang w:val="es-ES" w:eastAsia="en-US" w:bidi="ar-SA"/>
      </w:rPr>
    </w:lvl>
    <w:lvl w:ilvl="5" w:tplc="05F4B664">
      <w:numFmt w:val="bullet"/>
      <w:lvlText w:val="•"/>
      <w:lvlJc w:val="left"/>
      <w:pPr>
        <w:ind w:left="3818" w:hanging="360"/>
      </w:pPr>
      <w:rPr>
        <w:rFonts w:hint="default"/>
        <w:lang w:val="es-ES" w:eastAsia="en-US" w:bidi="ar-SA"/>
      </w:rPr>
    </w:lvl>
    <w:lvl w:ilvl="6" w:tplc="901A99A4">
      <w:numFmt w:val="bullet"/>
      <w:lvlText w:val="•"/>
      <w:lvlJc w:val="left"/>
      <w:pPr>
        <w:ind w:left="4778" w:hanging="360"/>
      </w:pPr>
      <w:rPr>
        <w:rFonts w:hint="default"/>
        <w:lang w:val="es-ES" w:eastAsia="en-US" w:bidi="ar-SA"/>
      </w:rPr>
    </w:lvl>
    <w:lvl w:ilvl="7" w:tplc="A5F09250">
      <w:numFmt w:val="bullet"/>
      <w:lvlText w:val="•"/>
      <w:lvlJc w:val="left"/>
      <w:pPr>
        <w:ind w:left="5738" w:hanging="360"/>
      </w:pPr>
      <w:rPr>
        <w:rFonts w:hint="default"/>
        <w:lang w:val="es-ES" w:eastAsia="en-US" w:bidi="ar-SA"/>
      </w:rPr>
    </w:lvl>
    <w:lvl w:ilvl="8" w:tplc="992E1C18">
      <w:numFmt w:val="bullet"/>
      <w:lvlText w:val="•"/>
      <w:lvlJc w:val="left"/>
      <w:pPr>
        <w:ind w:left="6698" w:hanging="360"/>
      </w:pPr>
      <w:rPr>
        <w:rFonts w:hint="default"/>
        <w:lang w:val="es-ES" w:eastAsia="en-US" w:bidi="ar-SA"/>
      </w:rPr>
    </w:lvl>
  </w:abstractNum>
  <w:abstractNum w:abstractNumId="1" w15:restartNumberingAfterBreak="0">
    <w:nsid w:val="30C35984"/>
    <w:multiLevelType w:val="singleLevel"/>
    <w:tmpl w:val="0C0A000F"/>
    <w:lvl w:ilvl="0">
      <w:start w:val="1"/>
      <w:numFmt w:val="decimal"/>
      <w:lvlText w:val="%1."/>
      <w:lvlJc w:val="left"/>
      <w:pPr>
        <w:tabs>
          <w:tab w:val="num" w:pos="360"/>
        </w:tabs>
        <w:ind w:left="360" w:hanging="360"/>
      </w:pPr>
      <w:rPr>
        <w:rFonts w:hint="default"/>
      </w:rPr>
    </w:lvl>
  </w:abstractNum>
  <w:abstractNum w:abstractNumId="2" w15:restartNumberingAfterBreak="0">
    <w:nsid w:val="6AAC21F8"/>
    <w:multiLevelType w:val="hybridMultilevel"/>
    <w:tmpl w:val="ED72D33A"/>
    <w:lvl w:ilvl="0" w:tplc="BE402668">
      <w:start w:val="1"/>
      <w:numFmt w:val="bullet"/>
      <w:lvlText w:val=""/>
      <w:lvlJc w:val="left"/>
      <w:pPr>
        <w:ind w:left="720" w:hanging="360"/>
      </w:pPr>
      <w:rPr>
        <w:rFonts w:ascii="Symbol" w:hAnsi="Symbol" w:hint="default"/>
      </w:rPr>
    </w:lvl>
    <w:lvl w:ilvl="1" w:tplc="EDC8A174">
      <w:start w:val="1"/>
      <w:numFmt w:val="bullet"/>
      <w:lvlText w:val="o"/>
      <w:lvlJc w:val="left"/>
      <w:pPr>
        <w:ind w:left="1440" w:hanging="360"/>
      </w:pPr>
      <w:rPr>
        <w:rFonts w:ascii="Courier New" w:hAnsi="Courier New" w:cs="Courier New" w:hint="default"/>
      </w:rPr>
    </w:lvl>
    <w:lvl w:ilvl="2" w:tplc="75A0DADA">
      <w:start w:val="1"/>
      <w:numFmt w:val="bullet"/>
      <w:lvlText w:val=""/>
      <w:lvlJc w:val="left"/>
      <w:pPr>
        <w:ind w:left="2160" w:hanging="360"/>
      </w:pPr>
      <w:rPr>
        <w:rFonts w:ascii="Wingdings" w:hAnsi="Wingdings" w:hint="default"/>
      </w:rPr>
    </w:lvl>
    <w:lvl w:ilvl="3" w:tplc="9F167DE0">
      <w:start w:val="1"/>
      <w:numFmt w:val="bullet"/>
      <w:lvlText w:val=""/>
      <w:lvlJc w:val="left"/>
      <w:pPr>
        <w:ind w:left="2880" w:hanging="360"/>
      </w:pPr>
      <w:rPr>
        <w:rFonts w:ascii="Symbol" w:hAnsi="Symbol" w:hint="default"/>
      </w:rPr>
    </w:lvl>
    <w:lvl w:ilvl="4" w:tplc="5EA0A610">
      <w:start w:val="1"/>
      <w:numFmt w:val="bullet"/>
      <w:lvlText w:val="o"/>
      <w:lvlJc w:val="left"/>
      <w:pPr>
        <w:ind w:left="3600" w:hanging="360"/>
      </w:pPr>
      <w:rPr>
        <w:rFonts w:ascii="Courier New" w:hAnsi="Courier New" w:cs="Courier New" w:hint="default"/>
      </w:rPr>
    </w:lvl>
    <w:lvl w:ilvl="5" w:tplc="35AC743E">
      <w:start w:val="1"/>
      <w:numFmt w:val="bullet"/>
      <w:lvlText w:val=""/>
      <w:lvlJc w:val="left"/>
      <w:pPr>
        <w:ind w:left="4320" w:hanging="360"/>
      </w:pPr>
      <w:rPr>
        <w:rFonts w:ascii="Wingdings" w:hAnsi="Wingdings" w:hint="default"/>
      </w:rPr>
    </w:lvl>
    <w:lvl w:ilvl="6" w:tplc="E0969310">
      <w:start w:val="1"/>
      <w:numFmt w:val="bullet"/>
      <w:lvlText w:val=""/>
      <w:lvlJc w:val="left"/>
      <w:pPr>
        <w:ind w:left="5040" w:hanging="360"/>
      </w:pPr>
      <w:rPr>
        <w:rFonts w:ascii="Symbol" w:hAnsi="Symbol" w:hint="default"/>
      </w:rPr>
    </w:lvl>
    <w:lvl w:ilvl="7" w:tplc="3F6EB236">
      <w:start w:val="1"/>
      <w:numFmt w:val="bullet"/>
      <w:lvlText w:val="o"/>
      <w:lvlJc w:val="left"/>
      <w:pPr>
        <w:ind w:left="5760" w:hanging="360"/>
      </w:pPr>
      <w:rPr>
        <w:rFonts w:ascii="Courier New" w:hAnsi="Courier New" w:cs="Courier New" w:hint="default"/>
      </w:rPr>
    </w:lvl>
    <w:lvl w:ilvl="8" w:tplc="4FBE7A9C">
      <w:start w:val="1"/>
      <w:numFmt w:val="bullet"/>
      <w:lvlText w:val=""/>
      <w:lvlJc w:val="left"/>
      <w:pPr>
        <w:ind w:left="6480" w:hanging="360"/>
      </w:pPr>
      <w:rPr>
        <w:rFonts w:ascii="Wingdings" w:hAnsi="Wingdings" w:hint="default"/>
      </w:rPr>
    </w:lvl>
  </w:abstractNum>
  <w:num w:numId="1" w16cid:durableId="241334637">
    <w:abstractNumId w:val="1"/>
  </w:num>
  <w:num w:numId="2" w16cid:durableId="533541551">
    <w:abstractNumId w:val="2"/>
  </w:num>
  <w:num w:numId="3" w16cid:durableId="671447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1054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7D1"/>
    <w:rsid w:val="00000189"/>
    <w:rsid w:val="000002AA"/>
    <w:rsid w:val="00005A36"/>
    <w:rsid w:val="00011486"/>
    <w:rsid w:val="00014919"/>
    <w:rsid w:val="0001716C"/>
    <w:rsid w:val="0002459A"/>
    <w:rsid w:val="00024A89"/>
    <w:rsid w:val="00025164"/>
    <w:rsid w:val="00025317"/>
    <w:rsid w:val="0003227C"/>
    <w:rsid w:val="00032C64"/>
    <w:rsid w:val="0003379A"/>
    <w:rsid w:val="00033D22"/>
    <w:rsid w:val="000430CD"/>
    <w:rsid w:val="00044B45"/>
    <w:rsid w:val="00047B33"/>
    <w:rsid w:val="00047C41"/>
    <w:rsid w:val="000608DE"/>
    <w:rsid w:val="00073E66"/>
    <w:rsid w:val="00075651"/>
    <w:rsid w:val="000758D0"/>
    <w:rsid w:val="000819BE"/>
    <w:rsid w:val="0008619F"/>
    <w:rsid w:val="000A6975"/>
    <w:rsid w:val="000A764F"/>
    <w:rsid w:val="000B3DF6"/>
    <w:rsid w:val="000C0206"/>
    <w:rsid w:val="000C49D1"/>
    <w:rsid w:val="000C5CBF"/>
    <w:rsid w:val="000D0770"/>
    <w:rsid w:val="000D63C2"/>
    <w:rsid w:val="000E06AA"/>
    <w:rsid w:val="000E516A"/>
    <w:rsid w:val="000E7D63"/>
    <w:rsid w:val="000F4896"/>
    <w:rsid w:val="000F5E56"/>
    <w:rsid w:val="00100433"/>
    <w:rsid w:val="001073BE"/>
    <w:rsid w:val="00113717"/>
    <w:rsid w:val="00114369"/>
    <w:rsid w:val="00116543"/>
    <w:rsid w:val="00124778"/>
    <w:rsid w:val="00130F3D"/>
    <w:rsid w:val="0013433E"/>
    <w:rsid w:val="00135C22"/>
    <w:rsid w:val="00157C75"/>
    <w:rsid w:val="001632E4"/>
    <w:rsid w:val="00163B62"/>
    <w:rsid w:val="00167074"/>
    <w:rsid w:val="00173F3C"/>
    <w:rsid w:val="00182953"/>
    <w:rsid w:val="00185A4B"/>
    <w:rsid w:val="00192820"/>
    <w:rsid w:val="001946C1"/>
    <w:rsid w:val="00195C07"/>
    <w:rsid w:val="00197F4A"/>
    <w:rsid w:val="001A5E69"/>
    <w:rsid w:val="001A70F1"/>
    <w:rsid w:val="001B023C"/>
    <w:rsid w:val="001B1581"/>
    <w:rsid w:val="001B46C2"/>
    <w:rsid w:val="001C261E"/>
    <w:rsid w:val="001C6AA5"/>
    <w:rsid w:val="001C7B8D"/>
    <w:rsid w:val="001D2725"/>
    <w:rsid w:val="001D38A8"/>
    <w:rsid w:val="001D410A"/>
    <w:rsid w:val="001D47BF"/>
    <w:rsid w:val="001E281B"/>
    <w:rsid w:val="001E3B2A"/>
    <w:rsid w:val="001F2165"/>
    <w:rsid w:val="001F3207"/>
    <w:rsid w:val="001F3DCA"/>
    <w:rsid w:val="002023E2"/>
    <w:rsid w:val="00203D4A"/>
    <w:rsid w:val="00211835"/>
    <w:rsid w:val="002174F3"/>
    <w:rsid w:val="002262CC"/>
    <w:rsid w:val="002268C3"/>
    <w:rsid w:val="00234CE9"/>
    <w:rsid w:val="002350D6"/>
    <w:rsid w:val="0025337C"/>
    <w:rsid w:val="00253F06"/>
    <w:rsid w:val="00254DC8"/>
    <w:rsid w:val="0026161A"/>
    <w:rsid w:val="00264855"/>
    <w:rsid w:val="00271D12"/>
    <w:rsid w:val="00272D0C"/>
    <w:rsid w:val="00275A7D"/>
    <w:rsid w:val="00275D30"/>
    <w:rsid w:val="00276356"/>
    <w:rsid w:val="002859A7"/>
    <w:rsid w:val="00293A6C"/>
    <w:rsid w:val="002A4456"/>
    <w:rsid w:val="002A7030"/>
    <w:rsid w:val="002B0DC6"/>
    <w:rsid w:val="002D31B6"/>
    <w:rsid w:val="002D4BDB"/>
    <w:rsid w:val="002D5924"/>
    <w:rsid w:val="002D5B93"/>
    <w:rsid w:val="002D69DF"/>
    <w:rsid w:val="002D6B5B"/>
    <w:rsid w:val="002E2249"/>
    <w:rsid w:val="002E7D16"/>
    <w:rsid w:val="002F4322"/>
    <w:rsid w:val="002F4CF7"/>
    <w:rsid w:val="002F540B"/>
    <w:rsid w:val="002F5F12"/>
    <w:rsid w:val="003012C3"/>
    <w:rsid w:val="00302AE3"/>
    <w:rsid w:val="00304CE8"/>
    <w:rsid w:val="00306BF6"/>
    <w:rsid w:val="003201A5"/>
    <w:rsid w:val="003209A3"/>
    <w:rsid w:val="00321012"/>
    <w:rsid w:val="00324902"/>
    <w:rsid w:val="0032694C"/>
    <w:rsid w:val="0033407A"/>
    <w:rsid w:val="00337995"/>
    <w:rsid w:val="0034140F"/>
    <w:rsid w:val="00343AC3"/>
    <w:rsid w:val="00344C25"/>
    <w:rsid w:val="00357DA7"/>
    <w:rsid w:val="00360725"/>
    <w:rsid w:val="0036385B"/>
    <w:rsid w:val="00382734"/>
    <w:rsid w:val="00384C03"/>
    <w:rsid w:val="003901EE"/>
    <w:rsid w:val="003920AE"/>
    <w:rsid w:val="00394BDD"/>
    <w:rsid w:val="003A1D70"/>
    <w:rsid w:val="003A3838"/>
    <w:rsid w:val="003A5833"/>
    <w:rsid w:val="003B1E7F"/>
    <w:rsid w:val="003B1F8C"/>
    <w:rsid w:val="003B2E39"/>
    <w:rsid w:val="003B3BE7"/>
    <w:rsid w:val="003C1509"/>
    <w:rsid w:val="003C2363"/>
    <w:rsid w:val="003C4880"/>
    <w:rsid w:val="003C6B2D"/>
    <w:rsid w:val="003C752F"/>
    <w:rsid w:val="003D2BA3"/>
    <w:rsid w:val="003E4CF9"/>
    <w:rsid w:val="003E5602"/>
    <w:rsid w:val="003E7E0C"/>
    <w:rsid w:val="003F726C"/>
    <w:rsid w:val="0040099E"/>
    <w:rsid w:val="00404E39"/>
    <w:rsid w:val="0040738F"/>
    <w:rsid w:val="004164EC"/>
    <w:rsid w:val="004171A5"/>
    <w:rsid w:val="0041741D"/>
    <w:rsid w:val="00423D9E"/>
    <w:rsid w:val="00432EBD"/>
    <w:rsid w:val="00434FE1"/>
    <w:rsid w:val="004402C1"/>
    <w:rsid w:val="004421CE"/>
    <w:rsid w:val="004459A2"/>
    <w:rsid w:val="00446101"/>
    <w:rsid w:val="00453302"/>
    <w:rsid w:val="00462091"/>
    <w:rsid w:val="00467D93"/>
    <w:rsid w:val="00477A58"/>
    <w:rsid w:val="004820C1"/>
    <w:rsid w:val="004871BF"/>
    <w:rsid w:val="004874CF"/>
    <w:rsid w:val="004909B9"/>
    <w:rsid w:val="004939E9"/>
    <w:rsid w:val="00494868"/>
    <w:rsid w:val="00495277"/>
    <w:rsid w:val="00496387"/>
    <w:rsid w:val="00497C09"/>
    <w:rsid w:val="004A2260"/>
    <w:rsid w:val="004A2DDC"/>
    <w:rsid w:val="004A6497"/>
    <w:rsid w:val="004B4853"/>
    <w:rsid w:val="004B75F6"/>
    <w:rsid w:val="004C1067"/>
    <w:rsid w:val="004C375C"/>
    <w:rsid w:val="004C4BA2"/>
    <w:rsid w:val="004C7615"/>
    <w:rsid w:val="004D6998"/>
    <w:rsid w:val="004E15B3"/>
    <w:rsid w:val="004E5B8C"/>
    <w:rsid w:val="004F1AFD"/>
    <w:rsid w:val="004F42E5"/>
    <w:rsid w:val="004F4AF2"/>
    <w:rsid w:val="004F77C0"/>
    <w:rsid w:val="005036AA"/>
    <w:rsid w:val="00505AA4"/>
    <w:rsid w:val="00505E09"/>
    <w:rsid w:val="005128AD"/>
    <w:rsid w:val="00513A91"/>
    <w:rsid w:val="0052265F"/>
    <w:rsid w:val="00523C41"/>
    <w:rsid w:val="0052774F"/>
    <w:rsid w:val="00530C62"/>
    <w:rsid w:val="0053174F"/>
    <w:rsid w:val="00532B46"/>
    <w:rsid w:val="00547043"/>
    <w:rsid w:val="00550EC9"/>
    <w:rsid w:val="00553D69"/>
    <w:rsid w:val="005603A7"/>
    <w:rsid w:val="00561359"/>
    <w:rsid w:val="00563F61"/>
    <w:rsid w:val="0056428C"/>
    <w:rsid w:val="00571F8A"/>
    <w:rsid w:val="00577503"/>
    <w:rsid w:val="005800D7"/>
    <w:rsid w:val="005955BB"/>
    <w:rsid w:val="0059695F"/>
    <w:rsid w:val="005975D4"/>
    <w:rsid w:val="005A1449"/>
    <w:rsid w:val="005A2B91"/>
    <w:rsid w:val="005A67AA"/>
    <w:rsid w:val="005A6B8F"/>
    <w:rsid w:val="005B300C"/>
    <w:rsid w:val="005B3B27"/>
    <w:rsid w:val="005B49D7"/>
    <w:rsid w:val="005D0B87"/>
    <w:rsid w:val="005E0368"/>
    <w:rsid w:val="005E055F"/>
    <w:rsid w:val="005E103C"/>
    <w:rsid w:val="005E1419"/>
    <w:rsid w:val="005E4311"/>
    <w:rsid w:val="005E447E"/>
    <w:rsid w:val="005E5F7D"/>
    <w:rsid w:val="0061093D"/>
    <w:rsid w:val="00617C8B"/>
    <w:rsid w:val="0062586A"/>
    <w:rsid w:val="00625918"/>
    <w:rsid w:val="00631011"/>
    <w:rsid w:val="0064133B"/>
    <w:rsid w:val="006428C0"/>
    <w:rsid w:val="006441ED"/>
    <w:rsid w:val="00646BE7"/>
    <w:rsid w:val="00653B41"/>
    <w:rsid w:val="00660503"/>
    <w:rsid w:val="006674A8"/>
    <w:rsid w:val="0068416C"/>
    <w:rsid w:val="00684DF1"/>
    <w:rsid w:val="00684FC0"/>
    <w:rsid w:val="0069173D"/>
    <w:rsid w:val="006930B0"/>
    <w:rsid w:val="006934AF"/>
    <w:rsid w:val="00694027"/>
    <w:rsid w:val="00696A50"/>
    <w:rsid w:val="006A1B85"/>
    <w:rsid w:val="006A2259"/>
    <w:rsid w:val="006A5614"/>
    <w:rsid w:val="006A5C4D"/>
    <w:rsid w:val="006A5F7E"/>
    <w:rsid w:val="006B0C89"/>
    <w:rsid w:val="006B437E"/>
    <w:rsid w:val="006B4827"/>
    <w:rsid w:val="006C0E68"/>
    <w:rsid w:val="006C2F50"/>
    <w:rsid w:val="006C3991"/>
    <w:rsid w:val="006C5569"/>
    <w:rsid w:val="006D55DD"/>
    <w:rsid w:val="006D592D"/>
    <w:rsid w:val="006D6E4E"/>
    <w:rsid w:val="006E337A"/>
    <w:rsid w:val="006E3F52"/>
    <w:rsid w:val="006E6AA0"/>
    <w:rsid w:val="006E74A1"/>
    <w:rsid w:val="006F1987"/>
    <w:rsid w:val="006F4080"/>
    <w:rsid w:val="006F57FB"/>
    <w:rsid w:val="006F677F"/>
    <w:rsid w:val="007011A8"/>
    <w:rsid w:val="00704910"/>
    <w:rsid w:val="00706360"/>
    <w:rsid w:val="00710BDF"/>
    <w:rsid w:val="00711C80"/>
    <w:rsid w:val="0071201B"/>
    <w:rsid w:val="00712AFE"/>
    <w:rsid w:val="007134EE"/>
    <w:rsid w:val="00720468"/>
    <w:rsid w:val="00732CBD"/>
    <w:rsid w:val="00732F85"/>
    <w:rsid w:val="007355A9"/>
    <w:rsid w:val="007428C0"/>
    <w:rsid w:val="0074542F"/>
    <w:rsid w:val="00746330"/>
    <w:rsid w:val="00751C3B"/>
    <w:rsid w:val="007540C6"/>
    <w:rsid w:val="00764951"/>
    <w:rsid w:val="00767117"/>
    <w:rsid w:val="007726B9"/>
    <w:rsid w:val="0077690F"/>
    <w:rsid w:val="007771B9"/>
    <w:rsid w:val="00783A01"/>
    <w:rsid w:val="007848F0"/>
    <w:rsid w:val="00786ED1"/>
    <w:rsid w:val="00790D08"/>
    <w:rsid w:val="00791046"/>
    <w:rsid w:val="0079190C"/>
    <w:rsid w:val="007927D0"/>
    <w:rsid w:val="00797FA1"/>
    <w:rsid w:val="007A1FA5"/>
    <w:rsid w:val="007A33A3"/>
    <w:rsid w:val="007B5534"/>
    <w:rsid w:val="007C5D8A"/>
    <w:rsid w:val="007D1742"/>
    <w:rsid w:val="007D1BF2"/>
    <w:rsid w:val="007D455E"/>
    <w:rsid w:val="007D7564"/>
    <w:rsid w:val="007E32CF"/>
    <w:rsid w:val="007E5415"/>
    <w:rsid w:val="007E5EB6"/>
    <w:rsid w:val="007F2DF3"/>
    <w:rsid w:val="007F577D"/>
    <w:rsid w:val="008073C0"/>
    <w:rsid w:val="00807759"/>
    <w:rsid w:val="00814AFC"/>
    <w:rsid w:val="00820D96"/>
    <w:rsid w:val="008268B1"/>
    <w:rsid w:val="0082778F"/>
    <w:rsid w:val="00827E75"/>
    <w:rsid w:val="00841D3F"/>
    <w:rsid w:val="008426FD"/>
    <w:rsid w:val="008475EB"/>
    <w:rsid w:val="00847CC1"/>
    <w:rsid w:val="00851645"/>
    <w:rsid w:val="0085248E"/>
    <w:rsid w:val="008548E6"/>
    <w:rsid w:val="00861670"/>
    <w:rsid w:val="008619CF"/>
    <w:rsid w:val="00864316"/>
    <w:rsid w:val="00865626"/>
    <w:rsid w:val="00870D56"/>
    <w:rsid w:val="00871EA8"/>
    <w:rsid w:val="008770F3"/>
    <w:rsid w:val="008775FA"/>
    <w:rsid w:val="008916A0"/>
    <w:rsid w:val="008A0C60"/>
    <w:rsid w:val="008A5B73"/>
    <w:rsid w:val="008B2038"/>
    <w:rsid w:val="008B4AA6"/>
    <w:rsid w:val="008B6179"/>
    <w:rsid w:val="008B7C23"/>
    <w:rsid w:val="008C1D76"/>
    <w:rsid w:val="008C403E"/>
    <w:rsid w:val="008C4E9A"/>
    <w:rsid w:val="008D17BC"/>
    <w:rsid w:val="008E1D89"/>
    <w:rsid w:val="008F62A1"/>
    <w:rsid w:val="00902D36"/>
    <w:rsid w:val="009047BC"/>
    <w:rsid w:val="0090591C"/>
    <w:rsid w:val="00910A72"/>
    <w:rsid w:val="009138B8"/>
    <w:rsid w:val="00922BA9"/>
    <w:rsid w:val="009231F2"/>
    <w:rsid w:val="00934FE9"/>
    <w:rsid w:val="009367A2"/>
    <w:rsid w:val="00936CD2"/>
    <w:rsid w:val="00942B8C"/>
    <w:rsid w:val="00942E76"/>
    <w:rsid w:val="009464A9"/>
    <w:rsid w:val="00947E38"/>
    <w:rsid w:val="00954343"/>
    <w:rsid w:val="00957D07"/>
    <w:rsid w:val="009639CF"/>
    <w:rsid w:val="00964888"/>
    <w:rsid w:val="00967A66"/>
    <w:rsid w:val="00983A1D"/>
    <w:rsid w:val="00994F48"/>
    <w:rsid w:val="00996599"/>
    <w:rsid w:val="009A1538"/>
    <w:rsid w:val="009A5E0B"/>
    <w:rsid w:val="009A723B"/>
    <w:rsid w:val="009C0A97"/>
    <w:rsid w:val="009C5224"/>
    <w:rsid w:val="009E08F0"/>
    <w:rsid w:val="009E24B7"/>
    <w:rsid w:val="009E4E97"/>
    <w:rsid w:val="009F5A7E"/>
    <w:rsid w:val="009F6944"/>
    <w:rsid w:val="00A00F26"/>
    <w:rsid w:val="00A129FC"/>
    <w:rsid w:val="00A269D7"/>
    <w:rsid w:val="00A30A62"/>
    <w:rsid w:val="00A41FD8"/>
    <w:rsid w:val="00A458F8"/>
    <w:rsid w:val="00A47591"/>
    <w:rsid w:val="00A51331"/>
    <w:rsid w:val="00A614AA"/>
    <w:rsid w:val="00A622E1"/>
    <w:rsid w:val="00A644EB"/>
    <w:rsid w:val="00A649AE"/>
    <w:rsid w:val="00A65BA3"/>
    <w:rsid w:val="00A73881"/>
    <w:rsid w:val="00A85CA4"/>
    <w:rsid w:val="00A90788"/>
    <w:rsid w:val="00A90D92"/>
    <w:rsid w:val="00A913E7"/>
    <w:rsid w:val="00A9498A"/>
    <w:rsid w:val="00A95A0E"/>
    <w:rsid w:val="00A974C9"/>
    <w:rsid w:val="00AA1DAA"/>
    <w:rsid w:val="00AA2BBB"/>
    <w:rsid w:val="00AA4519"/>
    <w:rsid w:val="00AA7B84"/>
    <w:rsid w:val="00AB1FFC"/>
    <w:rsid w:val="00AB66C7"/>
    <w:rsid w:val="00AC4DA6"/>
    <w:rsid w:val="00AC7D3B"/>
    <w:rsid w:val="00AD3801"/>
    <w:rsid w:val="00AD3FE0"/>
    <w:rsid w:val="00AD48EE"/>
    <w:rsid w:val="00AD6A23"/>
    <w:rsid w:val="00AE2560"/>
    <w:rsid w:val="00AE3B57"/>
    <w:rsid w:val="00AF27D1"/>
    <w:rsid w:val="00B02741"/>
    <w:rsid w:val="00B121F0"/>
    <w:rsid w:val="00B13EE0"/>
    <w:rsid w:val="00B27816"/>
    <w:rsid w:val="00B307DD"/>
    <w:rsid w:val="00B3082F"/>
    <w:rsid w:val="00B4570E"/>
    <w:rsid w:val="00B45B30"/>
    <w:rsid w:val="00B531CA"/>
    <w:rsid w:val="00B543A9"/>
    <w:rsid w:val="00B54D7F"/>
    <w:rsid w:val="00B54DFC"/>
    <w:rsid w:val="00B606AF"/>
    <w:rsid w:val="00B7046D"/>
    <w:rsid w:val="00B723A5"/>
    <w:rsid w:val="00B73E0E"/>
    <w:rsid w:val="00B808AB"/>
    <w:rsid w:val="00B84B91"/>
    <w:rsid w:val="00B86D1A"/>
    <w:rsid w:val="00B86F17"/>
    <w:rsid w:val="00B93EF0"/>
    <w:rsid w:val="00BA2081"/>
    <w:rsid w:val="00BA66E6"/>
    <w:rsid w:val="00BB4E26"/>
    <w:rsid w:val="00BC783D"/>
    <w:rsid w:val="00BD74E9"/>
    <w:rsid w:val="00BE1EB2"/>
    <w:rsid w:val="00BE226B"/>
    <w:rsid w:val="00BF0BA3"/>
    <w:rsid w:val="00BF1FB1"/>
    <w:rsid w:val="00BF540D"/>
    <w:rsid w:val="00BF5F96"/>
    <w:rsid w:val="00C03611"/>
    <w:rsid w:val="00C164A2"/>
    <w:rsid w:val="00C21D4E"/>
    <w:rsid w:val="00C25BF1"/>
    <w:rsid w:val="00C27BCC"/>
    <w:rsid w:val="00C33C8E"/>
    <w:rsid w:val="00C41084"/>
    <w:rsid w:val="00C43F7E"/>
    <w:rsid w:val="00C47BF7"/>
    <w:rsid w:val="00C575C1"/>
    <w:rsid w:val="00C62433"/>
    <w:rsid w:val="00C6441F"/>
    <w:rsid w:val="00C65889"/>
    <w:rsid w:val="00C87920"/>
    <w:rsid w:val="00C91359"/>
    <w:rsid w:val="00C9238E"/>
    <w:rsid w:val="00C93177"/>
    <w:rsid w:val="00C96AF6"/>
    <w:rsid w:val="00CA0C09"/>
    <w:rsid w:val="00CB6FE4"/>
    <w:rsid w:val="00CB7C10"/>
    <w:rsid w:val="00CC086F"/>
    <w:rsid w:val="00CD1776"/>
    <w:rsid w:val="00CD1C97"/>
    <w:rsid w:val="00CD239A"/>
    <w:rsid w:val="00CD2B96"/>
    <w:rsid w:val="00CD6B57"/>
    <w:rsid w:val="00CD6E21"/>
    <w:rsid w:val="00CD77CB"/>
    <w:rsid w:val="00CE14B8"/>
    <w:rsid w:val="00CE186A"/>
    <w:rsid w:val="00CE428C"/>
    <w:rsid w:val="00CF0560"/>
    <w:rsid w:val="00D0553E"/>
    <w:rsid w:val="00D11AB9"/>
    <w:rsid w:val="00D17A58"/>
    <w:rsid w:val="00D20853"/>
    <w:rsid w:val="00D22E90"/>
    <w:rsid w:val="00D26881"/>
    <w:rsid w:val="00D27CC8"/>
    <w:rsid w:val="00D33665"/>
    <w:rsid w:val="00D33C57"/>
    <w:rsid w:val="00D4730B"/>
    <w:rsid w:val="00D51E4B"/>
    <w:rsid w:val="00D54987"/>
    <w:rsid w:val="00D601C3"/>
    <w:rsid w:val="00D619F2"/>
    <w:rsid w:val="00D67E28"/>
    <w:rsid w:val="00D73E1F"/>
    <w:rsid w:val="00D75014"/>
    <w:rsid w:val="00D80289"/>
    <w:rsid w:val="00D81957"/>
    <w:rsid w:val="00D821D6"/>
    <w:rsid w:val="00D85105"/>
    <w:rsid w:val="00D86FEC"/>
    <w:rsid w:val="00D87186"/>
    <w:rsid w:val="00D92085"/>
    <w:rsid w:val="00D953E5"/>
    <w:rsid w:val="00D95C23"/>
    <w:rsid w:val="00DB021F"/>
    <w:rsid w:val="00DC078D"/>
    <w:rsid w:val="00DC082A"/>
    <w:rsid w:val="00DC2B3C"/>
    <w:rsid w:val="00DE3867"/>
    <w:rsid w:val="00DE78FA"/>
    <w:rsid w:val="00DF23F2"/>
    <w:rsid w:val="00DF6273"/>
    <w:rsid w:val="00E13CE1"/>
    <w:rsid w:val="00E16384"/>
    <w:rsid w:val="00E208C2"/>
    <w:rsid w:val="00E25466"/>
    <w:rsid w:val="00E31A1B"/>
    <w:rsid w:val="00E31BAE"/>
    <w:rsid w:val="00E34461"/>
    <w:rsid w:val="00E35D1B"/>
    <w:rsid w:val="00E43F96"/>
    <w:rsid w:val="00E562EB"/>
    <w:rsid w:val="00E56AB5"/>
    <w:rsid w:val="00E601B6"/>
    <w:rsid w:val="00E61B73"/>
    <w:rsid w:val="00E65739"/>
    <w:rsid w:val="00E65DA9"/>
    <w:rsid w:val="00E715CE"/>
    <w:rsid w:val="00E71D93"/>
    <w:rsid w:val="00E7731D"/>
    <w:rsid w:val="00E80698"/>
    <w:rsid w:val="00E81C71"/>
    <w:rsid w:val="00E822F4"/>
    <w:rsid w:val="00E84D43"/>
    <w:rsid w:val="00E8569E"/>
    <w:rsid w:val="00E93F18"/>
    <w:rsid w:val="00E93FE9"/>
    <w:rsid w:val="00E94518"/>
    <w:rsid w:val="00EA60F9"/>
    <w:rsid w:val="00EB1D57"/>
    <w:rsid w:val="00EC0E50"/>
    <w:rsid w:val="00EC4968"/>
    <w:rsid w:val="00EC508B"/>
    <w:rsid w:val="00ED2686"/>
    <w:rsid w:val="00ED582F"/>
    <w:rsid w:val="00EE194B"/>
    <w:rsid w:val="00EE2891"/>
    <w:rsid w:val="00EF19D7"/>
    <w:rsid w:val="00EF4074"/>
    <w:rsid w:val="00EF6279"/>
    <w:rsid w:val="00F0319A"/>
    <w:rsid w:val="00F03784"/>
    <w:rsid w:val="00F116D9"/>
    <w:rsid w:val="00F12124"/>
    <w:rsid w:val="00F127B4"/>
    <w:rsid w:val="00F155FF"/>
    <w:rsid w:val="00F16906"/>
    <w:rsid w:val="00F229AA"/>
    <w:rsid w:val="00F25936"/>
    <w:rsid w:val="00F309F8"/>
    <w:rsid w:val="00F32B92"/>
    <w:rsid w:val="00F3420D"/>
    <w:rsid w:val="00F379BF"/>
    <w:rsid w:val="00F40F7D"/>
    <w:rsid w:val="00F4627E"/>
    <w:rsid w:val="00F50826"/>
    <w:rsid w:val="00F5654D"/>
    <w:rsid w:val="00F56555"/>
    <w:rsid w:val="00F577D4"/>
    <w:rsid w:val="00F6102E"/>
    <w:rsid w:val="00F61089"/>
    <w:rsid w:val="00F622CD"/>
    <w:rsid w:val="00F67E51"/>
    <w:rsid w:val="00F706AC"/>
    <w:rsid w:val="00F721B3"/>
    <w:rsid w:val="00F80F09"/>
    <w:rsid w:val="00F81703"/>
    <w:rsid w:val="00F8654E"/>
    <w:rsid w:val="00F90226"/>
    <w:rsid w:val="00F9038F"/>
    <w:rsid w:val="00F92595"/>
    <w:rsid w:val="00F94229"/>
    <w:rsid w:val="00F97677"/>
    <w:rsid w:val="00FA05D5"/>
    <w:rsid w:val="00FA370E"/>
    <w:rsid w:val="00FA6DFC"/>
    <w:rsid w:val="00FA766F"/>
    <w:rsid w:val="00FA76D8"/>
    <w:rsid w:val="00FB267F"/>
    <w:rsid w:val="00FB2FFC"/>
    <w:rsid w:val="00FB7D2A"/>
    <w:rsid w:val="00FD0282"/>
    <w:rsid w:val="00FD2030"/>
    <w:rsid w:val="00FD390D"/>
    <w:rsid w:val="00FD58ED"/>
    <w:rsid w:val="00FD5E61"/>
    <w:rsid w:val="00FE71E9"/>
    <w:rsid w:val="00FF0D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4"/>
    <o:shapelayout v:ext="edit">
      <o:idmap v:ext="edit" data="1"/>
    </o:shapelayout>
  </w:shapeDefaults>
  <w:decimalSymbol w:val=","/>
  <w:listSeparator w:val=";"/>
  <w14:docId w14:val="624CA387"/>
  <w15:chartTrackingRefBased/>
  <w15:docId w15:val="{B8B54DA8-54AB-46A6-BBF5-DD94BE86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after="480"/>
      <w:outlineLvl w:val="0"/>
    </w:pPr>
    <w:rPr>
      <w:rFonts w:ascii="Arial" w:hAnsi="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debloque">
    <w:name w:val="Block Text"/>
    <w:basedOn w:val="Normal"/>
    <w:semiHidden/>
    <w:pPr>
      <w:spacing w:after="120"/>
      <w:ind w:left="57" w:right="57"/>
      <w:jc w:val="both"/>
    </w:pPr>
    <w:rPr>
      <w:rFonts w:ascii="Arial" w:hAnsi="Arial"/>
      <w:snapToGrid w:val="0"/>
      <w:lang w:val="es-ES"/>
    </w:rPr>
  </w:style>
  <w:style w:type="paragraph" w:styleId="Textoindependiente">
    <w:name w:val="Body Text"/>
    <w:basedOn w:val="Normal"/>
    <w:link w:val="TextoindependienteCar"/>
    <w:uiPriority w:val="99"/>
    <w:semiHidden/>
    <w:unhideWhenUsed/>
    <w:rsid w:val="00F127B4"/>
    <w:pPr>
      <w:spacing w:after="120"/>
    </w:pPr>
  </w:style>
  <w:style w:type="character" w:customStyle="1" w:styleId="TextoindependienteCar">
    <w:name w:val="Texto independiente Car"/>
    <w:link w:val="Textoindependiente"/>
    <w:uiPriority w:val="99"/>
    <w:semiHidden/>
    <w:rsid w:val="00F127B4"/>
    <w:rPr>
      <w:rFonts w:cs="Arial"/>
      <w:lang w:val="es-ES_tradnl" w:bidi="or-IN"/>
    </w:rPr>
  </w:style>
  <w:style w:type="table" w:styleId="Tablaconcuadrcula">
    <w:name w:val="Table Grid"/>
    <w:basedOn w:val="Tablanormal"/>
    <w:uiPriority w:val="59"/>
    <w:rsid w:val="00F127B4"/>
    <w:rPr>
      <w:rFonts w:ascii="Tms Rmn" w:hAnsi="Tms Rm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D821D6"/>
    <w:rPr>
      <w:lang w:val="es-ES_tradnl"/>
    </w:rPr>
  </w:style>
  <w:style w:type="paragraph" w:styleId="Prrafodelista">
    <w:name w:val="List Paragraph"/>
    <w:basedOn w:val="Normal"/>
    <w:uiPriority w:val="1"/>
    <w:qFormat/>
    <w:rsid w:val="00841D3F"/>
    <w:pPr>
      <w:widowControl w:val="0"/>
      <w:autoSpaceDE w:val="0"/>
      <w:autoSpaceDN w:val="0"/>
      <w:ind w:left="972" w:hanging="361"/>
    </w:pPr>
    <w:rPr>
      <w:rFonts w:cs="Times New Roman"/>
      <w:sz w:val="22"/>
      <w:szCs w:val="22"/>
      <w:lang w:val="es-ES" w:eastAsia="en-US" w:bidi="ar-SA"/>
    </w:rPr>
  </w:style>
  <w:style w:type="paragraph" w:customStyle="1" w:styleId="Default">
    <w:name w:val="Default"/>
    <w:rsid w:val="008775FA"/>
    <w:pPr>
      <w:autoSpaceDE w:val="0"/>
      <w:autoSpaceDN w:val="0"/>
      <w:adjustRightInd w:val="0"/>
    </w:pPr>
    <w:rPr>
      <w:color w:val="000000"/>
      <w:sz w:val="24"/>
      <w:szCs w:val="24"/>
    </w:rPr>
  </w:style>
  <w:style w:type="character" w:styleId="Refdecomentario">
    <w:name w:val="annotation reference"/>
    <w:uiPriority w:val="99"/>
    <w:semiHidden/>
    <w:unhideWhenUsed/>
    <w:rsid w:val="00530C62"/>
    <w:rPr>
      <w:sz w:val="16"/>
      <w:szCs w:val="16"/>
    </w:rPr>
  </w:style>
  <w:style w:type="paragraph" w:styleId="Textocomentario">
    <w:name w:val="annotation text"/>
    <w:basedOn w:val="Normal"/>
    <w:link w:val="TextocomentarioCar"/>
    <w:uiPriority w:val="99"/>
    <w:semiHidden/>
    <w:unhideWhenUsed/>
    <w:rsid w:val="00530C62"/>
  </w:style>
  <w:style w:type="character" w:customStyle="1" w:styleId="TextocomentarioCar">
    <w:name w:val="Texto comentario Car"/>
    <w:link w:val="Textocomentario"/>
    <w:uiPriority w:val="99"/>
    <w:semiHidden/>
    <w:rsid w:val="00530C62"/>
    <w:rPr>
      <w:rFonts w:cs="Arial"/>
      <w:lang w:val="es-ES_tradnl" w:bidi="or-IN"/>
    </w:rPr>
  </w:style>
  <w:style w:type="paragraph" w:styleId="Asuntodelcomentario">
    <w:name w:val="annotation subject"/>
    <w:basedOn w:val="Textocomentario"/>
    <w:next w:val="Textocomentario"/>
    <w:link w:val="AsuntodelcomentarioCar"/>
    <w:uiPriority w:val="99"/>
    <w:semiHidden/>
    <w:unhideWhenUsed/>
    <w:rsid w:val="00530C62"/>
    <w:rPr>
      <w:b/>
      <w:bCs/>
    </w:rPr>
  </w:style>
  <w:style w:type="character" w:customStyle="1" w:styleId="AsuntodelcomentarioCar">
    <w:name w:val="Asunto del comentario Car"/>
    <w:link w:val="Asuntodelcomentario"/>
    <w:uiPriority w:val="99"/>
    <w:semiHidden/>
    <w:rsid w:val="00530C62"/>
    <w:rPr>
      <w:rFonts w:cs="Arial"/>
      <w:b/>
      <w:bCs/>
      <w:lang w:val="es-ES_tradnl" w:bidi="or-IN"/>
    </w:rPr>
  </w:style>
  <w:style w:type="paragraph" w:styleId="Textodeglobo">
    <w:name w:val="Balloon Text"/>
    <w:basedOn w:val="Normal"/>
    <w:link w:val="TextodegloboCar"/>
    <w:uiPriority w:val="99"/>
    <w:semiHidden/>
    <w:unhideWhenUsed/>
    <w:rsid w:val="00530C62"/>
    <w:rPr>
      <w:rFonts w:ascii="Segoe UI" w:hAnsi="Segoe UI" w:cs="Segoe UI"/>
      <w:sz w:val="18"/>
      <w:szCs w:val="18"/>
    </w:rPr>
  </w:style>
  <w:style w:type="character" w:customStyle="1" w:styleId="TextodegloboCar">
    <w:name w:val="Texto de globo Car"/>
    <w:link w:val="Textodeglobo"/>
    <w:uiPriority w:val="99"/>
    <w:semiHidden/>
    <w:rsid w:val="00530C62"/>
    <w:rPr>
      <w:rFonts w:ascii="Segoe UI" w:hAnsi="Segoe UI" w:cs="Segoe UI"/>
      <w:sz w:val="18"/>
      <w:szCs w:val="18"/>
      <w:lang w:val="es-ES_tradnl" w:bidi="or-IN"/>
    </w:rPr>
  </w:style>
  <w:style w:type="character" w:styleId="Hipervnculo">
    <w:name w:val="Hyperlink"/>
    <w:basedOn w:val="Fuentedeprrafopredeter"/>
    <w:uiPriority w:val="99"/>
    <w:unhideWhenUsed/>
    <w:rsid w:val="00E562EB"/>
    <w:rPr>
      <w:color w:val="0563C1" w:themeColor="hyperlink"/>
      <w:u w:val="single"/>
    </w:rPr>
  </w:style>
  <w:style w:type="character" w:styleId="Mencinsinresolver">
    <w:name w:val="Unresolved Mention"/>
    <w:basedOn w:val="Fuentedeprrafopredeter"/>
    <w:uiPriority w:val="99"/>
    <w:semiHidden/>
    <w:unhideWhenUsed/>
    <w:rsid w:val="00E562EB"/>
    <w:rPr>
      <w:color w:val="605E5C"/>
      <w:shd w:val="clear" w:color="auto" w:fill="E1DFDD"/>
    </w:rPr>
  </w:style>
  <w:style w:type="character" w:styleId="Hipervnculovisitado">
    <w:name w:val="FollowedHyperlink"/>
    <w:basedOn w:val="Fuentedeprrafopredeter"/>
    <w:uiPriority w:val="99"/>
    <w:semiHidden/>
    <w:unhideWhenUsed/>
    <w:rsid w:val="008616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24947">
      <w:bodyDiv w:val="1"/>
      <w:marLeft w:val="0"/>
      <w:marRight w:val="0"/>
      <w:marTop w:val="0"/>
      <w:marBottom w:val="0"/>
      <w:divBdr>
        <w:top w:val="none" w:sz="0" w:space="0" w:color="auto"/>
        <w:left w:val="none" w:sz="0" w:space="0" w:color="auto"/>
        <w:bottom w:val="none" w:sz="0" w:space="0" w:color="auto"/>
        <w:right w:val="none" w:sz="0" w:space="0" w:color="auto"/>
      </w:divBdr>
    </w:div>
    <w:div w:id="939491110">
      <w:bodyDiv w:val="1"/>
      <w:marLeft w:val="0"/>
      <w:marRight w:val="0"/>
      <w:marTop w:val="0"/>
      <w:marBottom w:val="0"/>
      <w:divBdr>
        <w:top w:val="none" w:sz="0" w:space="0" w:color="auto"/>
        <w:left w:val="none" w:sz="0" w:space="0" w:color="auto"/>
        <w:bottom w:val="none" w:sz="0" w:space="0" w:color="auto"/>
        <w:right w:val="none" w:sz="0" w:space="0" w:color="auto"/>
      </w:divBdr>
    </w:div>
    <w:div w:id="981346018">
      <w:bodyDiv w:val="1"/>
      <w:marLeft w:val="0"/>
      <w:marRight w:val="0"/>
      <w:marTop w:val="0"/>
      <w:marBottom w:val="0"/>
      <w:divBdr>
        <w:top w:val="none" w:sz="0" w:space="0" w:color="auto"/>
        <w:left w:val="none" w:sz="0" w:space="0" w:color="auto"/>
        <w:bottom w:val="none" w:sz="0" w:space="0" w:color="auto"/>
        <w:right w:val="none" w:sz="0" w:space="0" w:color="auto"/>
      </w:divBdr>
    </w:div>
    <w:div w:id="1050615134">
      <w:bodyDiv w:val="1"/>
      <w:marLeft w:val="0"/>
      <w:marRight w:val="0"/>
      <w:marTop w:val="0"/>
      <w:marBottom w:val="0"/>
      <w:divBdr>
        <w:top w:val="none" w:sz="0" w:space="0" w:color="auto"/>
        <w:left w:val="none" w:sz="0" w:space="0" w:color="auto"/>
        <w:bottom w:val="none" w:sz="0" w:space="0" w:color="auto"/>
        <w:right w:val="none" w:sz="0" w:space="0" w:color="auto"/>
      </w:divBdr>
    </w:div>
    <w:div w:id="1182014463">
      <w:bodyDiv w:val="1"/>
      <w:marLeft w:val="0"/>
      <w:marRight w:val="0"/>
      <w:marTop w:val="0"/>
      <w:marBottom w:val="0"/>
      <w:divBdr>
        <w:top w:val="none" w:sz="0" w:space="0" w:color="auto"/>
        <w:left w:val="none" w:sz="0" w:space="0" w:color="auto"/>
        <w:bottom w:val="none" w:sz="0" w:space="0" w:color="auto"/>
        <w:right w:val="none" w:sz="0" w:space="0" w:color="auto"/>
      </w:divBdr>
    </w:div>
    <w:div w:id="1339888084">
      <w:bodyDiv w:val="1"/>
      <w:marLeft w:val="0"/>
      <w:marRight w:val="0"/>
      <w:marTop w:val="0"/>
      <w:marBottom w:val="0"/>
      <w:divBdr>
        <w:top w:val="none" w:sz="0" w:space="0" w:color="auto"/>
        <w:left w:val="none" w:sz="0" w:space="0" w:color="auto"/>
        <w:bottom w:val="none" w:sz="0" w:space="0" w:color="auto"/>
        <w:right w:val="none" w:sz="0" w:space="0" w:color="auto"/>
      </w:divBdr>
    </w:div>
    <w:div w:id="1392189421">
      <w:bodyDiv w:val="1"/>
      <w:marLeft w:val="0"/>
      <w:marRight w:val="0"/>
      <w:marTop w:val="0"/>
      <w:marBottom w:val="0"/>
      <w:divBdr>
        <w:top w:val="none" w:sz="0" w:space="0" w:color="auto"/>
        <w:left w:val="none" w:sz="0" w:space="0" w:color="auto"/>
        <w:bottom w:val="none" w:sz="0" w:space="0" w:color="auto"/>
        <w:right w:val="none" w:sz="0" w:space="0" w:color="auto"/>
      </w:divBdr>
    </w:div>
    <w:div w:id="1426222678">
      <w:bodyDiv w:val="1"/>
      <w:marLeft w:val="0"/>
      <w:marRight w:val="0"/>
      <w:marTop w:val="0"/>
      <w:marBottom w:val="0"/>
      <w:divBdr>
        <w:top w:val="none" w:sz="0" w:space="0" w:color="auto"/>
        <w:left w:val="none" w:sz="0" w:space="0" w:color="auto"/>
        <w:bottom w:val="none" w:sz="0" w:space="0" w:color="auto"/>
        <w:right w:val="none" w:sz="0" w:space="0" w:color="auto"/>
      </w:divBdr>
    </w:div>
    <w:div w:id="1453942936">
      <w:bodyDiv w:val="1"/>
      <w:marLeft w:val="0"/>
      <w:marRight w:val="0"/>
      <w:marTop w:val="0"/>
      <w:marBottom w:val="0"/>
      <w:divBdr>
        <w:top w:val="none" w:sz="0" w:space="0" w:color="auto"/>
        <w:left w:val="none" w:sz="0" w:space="0" w:color="auto"/>
        <w:bottom w:val="none" w:sz="0" w:space="0" w:color="auto"/>
        <w:right w:val="none" w:sz="0" w:space="0" w:color="auto"/>
      </w:divBdr>
    </w:div>
    <w:div w:id="1592082291">
      <w:bodyDiv w:val="1"/>
      <w:marLeft w:val="0"/>
      <w:marRight w:val="0"/>
      <w:marTop w:val="0"/>
      <w:marBottom w:val="0"/>
      <w:divBdr>
        <w:top w:val="none" w:sz="0" w:space="0" w:color="auto"/>
        <w:left w:val="none" w:sz="0" w:space="0" w:color="auto"/>
        <w:bottom w:val="none" w:sz="0" w:space="0" w:color="auto"/>
        <w:right w:val="none" w:sz="0" w:space="0" w:color="auto"/>
      </w:divBdr>
    </w:div>
    <w:div w:id="1631353765">
      <w:bodyDiv w:val="1"/>
      <w:marLeft w:val="0"/>
      <w:marRight w:val="0"/>
      <w:marTop w:val="0"/>
      <w:marBottom w:val="0"/>
      <w:divBdr>
        <w:top w:val="none" w:sz="0" w:space="0" w:color="auto"/>
        <w:left w:val="none" w:sz="0" w:space="0" w:color="auto"/>
        <w:bottom w:val="none" w:sz="0" w:space="0" w:color="auto"/>
        <w:right w:val="none" w:sz="0" w:space="0" w:color="auto"/>
      </w:divBdr>
    </w:div>
    <w:div w:id="2036466120">
      <w:bodyDiv w:val="1"/>
      <w:marLeft w:val="0"/>
      <w:marRight w:val="0"/>
      <w:marTop w:val="0"/>
      <w:marBottom w:val="0"/>
      <w:divBdr>
        <w:top w:val="none" w:sz="0" w:space="0" w:color="auto"/>
        <w:left w:val="none" w:sz="0" w:space="0" w:color="auto"/>
        <w:bottom w:val="none" w:sz="0" w:space="0" w:color="auto"/>
        <w:right w:val="none" w:sz="0" w:space="0" w:color="auto"/>
      </w:divBdr>
    </w:div>
    <w:div w:id="206054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02DC1-4958-4836-BE27-3CA733EDD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1874</Words>
  <Characters>12258</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Plantilla de Orden Foral a dos columnas</vt:lpstr>
    </vt:vector>
  </TitlesOfParts>
  <Company>DFA-AFA</Company>
  <LinksUpToDate>false</LinksUpToDate>
  <CharactersWithSpaces>14104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 a dos columnas</dc:title>
  <dc:subject/>
  <dc:creator>ORMORGADO_MANGE</dc:creator>
  <cp:keywords/>
  <cp:lastModifiedBy>Urien Salterain, Karoline</cp:lastModifiedBy>
  <cp:revision>3</cp:revision>
  <cp:lastPrinted>2026-03-17T09:57:00Z</cp:lastPrinted>
  <dcterms:created xsi:type="dcterms:W3CDTF">2026-03-30T08:27:00Z</dcterms:created>
  <dcterms:modified xsi:type="dcterms:W3CDTF">2026-03-30T09:52:00Z</dcterms:modified>
</cp:coreProperties>
</file>