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F2787" w14:textId="77777777" w:rsidR="003A4ED3" w:rsidRDefault="000B3360" w:rsidP="003A4ED3">
      <w:pPr>
        <w:autoSpaceDE w:val="0"/>
        <w:autoSpaceDN w:val="0"/>
        <w:adjustRightInd w:val="0"/>
        <w:spacing w:after="240"/>
        <w:jc w:val="center"/>
        <w:rPr>
          <w:rFonts w:cs="Times New Roman"/>
          <w:b/>
          <w:bCs/>
          <w:sz w:val="22"/>
          <w:szCs w:val="22"/>
        </w:rPr>
      </w:pPr>
      <w:r>
        <w:rPr>
          <w:rFonts w:cs="Times New Roman"/>
          <w:b/>
          <w:bCs/>
          <w:sz w:val="22"/>
          <w:szCs w:val="22"/>
          <w:lang w:val="eu-ES"/>
        </w:rPr>
        <w:t xml:space="preserve">II. ERANSKINA </w:t>
      </w:r>
    </w:p>
    <w:p w14:paraId="3D9C2BBA" w14:textId="77777777" w:rsidR="00506E7D" w:rsidRPr="00FE5BEF" w:rsidRDefault="000B3360" w:rsidP="00506E7D">
      <w:pPr>
        <w:autoSpaceDE w:val="0"/>
        <w:autoSpaceDN w:val="0"/>
        <w:adjustRightInd w:val="0"/>
        <w:spacing w:after="240"/>
        <w:jc w:val="both"/>
        <w:rPr>
          <w:rFonts w:cs="Times New Roman"/>
          <w:b/>
          <w:bCs/>
          <w:sz w:val="22"/>
          <w:szCs w:val="22"/>
        </w:rPr>
      </w:pPr>
      <w:r>
        <w:rPr>
          <w:rFonts w:cs="Times New Roman"/>
          <w:b/>
          <w:bCs/>
          <w:sz w:val="22"/>
          <w:szCs w:val="22"/>
          <w:lang w:val="eu-ES"/>
        </w:rPr>
        <w:t xml:space="preserve">ARABAKO FORU ALDUNDIAREN ETA BIZKAIKO FORU ALDUNDIAREN ARTEKO LANKIDETZA HITZARMENA BERRESTEKO FORU ARAU PROIEKTUA, GORBEIAKO GURUTZEAREN ZIMENDUAK KONPONTZEKO ETA HOBETZEKO LANAK EGITEKOA. </w:t>
      </w:r>
    </w:p>
    <w:p w14:paraId="2B465590" w14:textId="77777777" w:rsidR="00E87C4A" w:rsidRPr="00531014" w:rsidRDefault="000B3360" w:rsidP="00E87C4A">
      <w:pPr>
        <w:spacing w:after="240"/>
        <w:jc w:val="both"/>
        <w:rPr>
          <w:rFonts w:cs="Tahoma"/>
          <w:bCs/>
          <w:sz w:val="22"/>
          <w:szCs w:val="22"/>
        </w:rPr>
      </w:pPr>
      <w:r>
        <w:rPr>
          <w:rFonts w:cs="Times New Roman"/>
          <w:sz w:val="22"/>
          <w:szCs w:val="22"/>
          <w:lang w:val="eu-ES"/>
        </w:rPr>
        <w:t>Gorbeiako Gurutzea lehen mailako ondare, kultura eta mendizaletasun sinboloa da. Gorbeia mendiaren gailurrean kokatuta dago, Gorbeia Kontserbazio Bereziko Eremuaren (ES2110009) eta Gorbeiako Parke Naturalaren barruan, eta bat egiten du Arabako eta Bizkaiko lurralde historikoen arteko administrazio banalerroarekin.</w:t>
      </w:r>
      <w:bookmarkStart w:id="0" w:name="_Hlk223961633"/>
      <w:r>
        <w:rPr>
          <w:rFonts w:cs="Times New Roman"/>
          <w:sz w:val="22"/>
          <w:szCs w:val="22"/>
          <w:lang w:val="eu-ES"/>
        </w:rPr>
        <w:t xml:space="preserve">  </w:t>
      </w:r>
      <w:r>
        <w:rPr>
          <w:rFonts w:cs="Tahoma"/>
          <w:sz w:val="22"/>
          <w:szCs w:val="22"/>
          <w:lang w:val="eu-ES"/>
        </w:rPr>
        <w:t>Gaur egungo gurutzea duela ehun urte baino gehiago jarri zen, eta gailurrera jende asko joaten denez eta klima baldintza gogorrak izaten direnez, gurutzearen oinarria ainguratuta dagoen lurraren ingurua higatuta dagoela ikusi da.</w:t>
      </w:r>
    </w:p>
    <w:p w14:paraId="444D4ABB" w14:textId="77777777" w:rsidR="00E87C4A" w:rsidRPr="00531014" w:rsidRDefault="000B3360" w:rsidP="00E87C4A">
      <w:pPr>
        <w:spacing w:after="240"/>
        <w:jc w:val="both"/>
        <w:rPr>
          <w:rFonts w:cs="Tahoma"/>
          <w:bCs/>
          <w:sz w:val="22"/>
          <w:szCs w:val="22"/>
        </w:rPr>
      </w:pPr>
      <w:r>
        <w:rPr>
          <w:rFonts w:cs="Tahoma"/>
          <w:bCs/>
          <w:sz w:val="22"/>
          <w:szCs w:val="22"/>
          <w:lang w:val="eu-ES"/>
        </w:rPr>
        <w:t xml:space="preserve">Arabako Foru Aldundiak eta Bizkaiko Foru Aldundiak batera hartu nahi dituzte beren gain hura mantentzeko eta kontserbatzeko beharrezkoak diren jarduketak. Hitzarmenaren xedea, hain zuzen, bi administrazioen arteko lankidetza bat egituratzea da, zimenduak konpontzeko eta hobetzeko obrak egin ahal izateko. Bi aldundiek konpromisoa hartzen dute obrak egiten eta haien jarraipena egiten laguntzeko, obrak egiteko nahitaezko txostenak eta baimenak izapidetzen laguntzeko, eremu horretan interesa duten erakunde eta kolektiboei jarduketa zabaltzeko eta, ondoren, ingurunea garbitu, mantendu eta kontserbatzeko. </w:t>
      </w:r>
    </w:p>
    <w:p w14:paraId="6438C478" w14:textId="77777777" w:rsidR="00E87C4A" w:rsidRDefault="000B3360" w:rsidP="00E87C4A">
      <w:pPr>
        <w:spacing w:after="240"/>
        <w:jc w:val="both"/>
        <w:rPr>
          <w:rFonts w:cs="Tahoma"/>
          <w:bCs/>
          <w:sz w:val="22"/>
          <w:szCs w:val="22"/>
        </w:rPr>
      </w:pPr>
      <w:r>
        <w:rPr>
          <w:rFonts w:cs="Tahoma"/>
          <w:bCs/>
          <w:sz w:val="22"/>
          <w:szCs w:val="22"/>
          <w:lang w:val="eu-ES"/>
        </w:rPr>
        <w:t xml:space="preserve">Horretarako, hitzarmenak hiru jarduketa jasotzen ditu: oinarria zaharberritzeko eta hobetzeko obrak kontratatzea (lizitazio aurrekontua: 148.139,92 €, BEZa barne); orientazio mahaia konpontzea (17.606,36 €, BEZa barne), eta elementu arkeologikoak babesteko eta kontserbatzeko jarduketen jarraipena eta ikuskapena egiteko gastuak (1.996,50 €, BEZa barne). Aurreikusten den inbertsioa 167.742,78 euro da (BEZa barne), eta % 50ean ordainduko dute bi administrazioek, hau da, 83.871,39 euro bakoitzak. Horretarako, Bizkaiko Foru Aldundia arduratuko da proiektua idatzi eta onesteaz, eta obra kontratua lizitatu eta adjudikatzeaz. Arabako Foru Aldundiak, bere aldetik, dagoeneko kontratatu eta instalatu du gailurrean kokatutako orientazio mahaia; zenbateko hori azken ordainketatik kenduko da. </w:t>
      </w:r>
    </w:p>
    <w:p w14:paraId="70D615F1" w14:textId="77777777" w:rsidR="00FE5BEF" w:rsidRDefault="000B3360" w:rsidP="00FE5BEF">
      <w:pPr>
        <w:autoSpaceDE w:val="0"/>
        <w:autoSpaceDN w:val="0"/>
        <w:adjustRightInd w:val="0"/>
        <w:spacing w:after="240"/>
        <w:jc w:val="both"/>
        <w:rPr>
          <w:rFonts w:cs="Tahoma"/>
          <w:bCs/>
          <w:sz w:val="22"/>
          <w:szCs w:val="22"/>
          <w:lang w:val="es-ES"/>
        </w:rPr>
      </w:pPr>
      <w:r>
        <w:rPr>
          <w:rFonts w:cs="Tahoma"/>
          <w:bCs/>
          <w:sz w:val="22"/>
          <w:szCs w:val="22"/>
          <w:lang w:val="eu-ES"/>
        </w:rPr>
        <w:t>Foru Gobernu Kontseiluak hitzarmen hori sinatzea onetsi du, Arabako Foru Aldundiaren gobernuari, antolaketari eta araubide juridikoari buruzko martxoaren 15eko 10/2023 Foru Arauaren 6.2.b) artikuluaren arabera. Arabako Lurralde Historikoko erakunde antolamenduari buruzko 1983ko martxoaren 7ko Foru Arauak 6.2.b) artikuluan xedatzen du Batzar Nagusiei dagokiela for aldundiaren proposamenak berrestea "</w:t>
      </w:r>
      <w:r>
        <w:rPr>
          <w:rFonts w:cs="Tahoma"/>
          <w:bCs/>
          <w:i/>
          <w:iCs/>
          <w:sz w:val="22"/>
          <w:szCs w:val="22"/>
          <w:lang w:val="eu-ES"/>
        </w:rPr>
        <w:t>Eusko Jaurlaritzarekin, Estatuarekin eta beste lurralde historiko, autonomia erkidego edo probintzia batzuekin sinatu beharreko hitzarmenak direnean</w:t>
      </w:r>
      <w:r>
        <w:rPr>
          <w:rFonts w:cs="Tahoma"/>
          <w:bCs/>
          <w:sz w:val="22"/>
          <w:szCs w:val="22"/>
          <w:lang w:val="eu-ES"/>
        </w:rPr>
        <w:t>". Kasu horietan, berrespena foru araua izango da.</w:t>
      </w:r>
    </w:p>
    <w:p w14:paraId="6014C366" w14:textId="77777777" w:rsidR="00FE5BEF" w:rsidRDefault="000B3360" w:rsidP="00EE29DD">
      <w:pPr>
        <w:autoSpaceDE w:val="0"/>
        <w:autoSpaceDN w:val="0"/>
        <w:adjustRightInd w:val="0"/>
        <w:spacing w:after="240"/>
        <w:jc w:val="both"/>
        <w:rPr>
          <w:rFonts w:cs="Tahoma"/>
          <w:bCs/>
          <w:sz w:val="22"/>
          <w:szCs w:val="22"/>
        </w:rPr>
      </w:pPr>
      <w:r>
        <w:rPr>
          <w:rFonts w:cs="Tahoma"/>
          <w:bCs/>
          <w:sz w:val="22"/>
          <w:szCs w:val="22"/>
          <w:lang w:val="eu-ES"/>
        </w:rPr>
        <w:t>Hitzarmen honen izapideak Foru Gobernu Kontseiluaren otsailaren 28ko 6/2023 Foru Dekretuak (Arabako Foru Aldundiaren xedapen orokorrak egiteko prozedura onesten du) kasu horietarako araututako espezialitatearen arabera egin dira.</w:t>
      </w:r>
    </w:p>
    <w:bookmarkEnd w:id="0"/>
    <w:p w14:paraId="1798FBD8" w14:textId="77777777" w:rsidR="00FE5BEF" w:rsidRPr="00FE5BEF" w:rsidRDefault="000B3360" w:rsidP="00FE5BEF">
      <w:pPr>
        <w:autoSpaceDE w:val="0"/>
        <w:autoSpaceDN w:val="0"/>
        <w:adjustRightInd w:val="0"/>
        <w:spacing w:after="240"/>
        <w:rPr>
          <w:rFonts w:cs="Times New Roman"/>
          <w:b/>
          <w:bCs/>
          <w:sz w:val="22"/>
          <w:szCs w:val="22"/>
        </w:rPr>
      </w:pPr>
      <w:r>
        <w:rPr>
          <w:rFonts w:cs="Times New Roman"/>
          <w:b/>
          <w:bCs/>
          <w:sz w:val="22"/>
          <w:szCs w:val="22"/>
          <w:lang w:val="eu-ES"/>
        </w:rPr>
        <w:t>ARTIKULU BAKARRA.</w:t>
      </w:r>
    </w:p>
    <w:p w14:paraId="63025480" w14:textId="77777777" w:rsidR="00F25E6F" w:rsidRDefault="000B3360" w:rsidP="003C142C">
      <w:pPr>
        <w:autoSpaceDE w:val="0"/>
        <w:autoSpaceDN w:val="0"/>
        <w:adjustRightInd w:val="0"/>
        <w:spacing w:after="240"/>
        <w:jc w:val="both"/>
        <w:rPr>
          <w:rFonts w:cs="Times New Roman"/>
          <w:sz w:val="22"/>
          <w:szCs w:val="22"/>
        </w:rPr>
      </w:pPr>
      <w:r>
        <w:rPr>
          <w:rFonts w:cs="Times New Roman"/>
          <w:sz w:val="22"/>
          <w:szCs w:val="22"/>
          <w:lang w:val="eu-ES"/>
        </w:rPr>
        <w:t xml:space="preserve">Berretsi egiten da Arabako Foru Aldundiaren eta Bizkaiko Foru Aldundiaren arteko lankidetza hitzarmena, Gorbeiako gurutzearen zimenduak konpontzeko eta hobetzekoa. </w:t>
      </w:r>
    </w:p>
    <w:p w14:paraId="6B7093D4" w14:textId="77777777" w:rsidR="00ED13DA" w:rsidRDefault="00ED13DA" w:rsidP="003C142C">
      <w:pPr>
        <w:autoSpaceDE w:val="0"/>
        <w:autoSpaceDN w:val="0"/>
        <w:adjustRightInd w:val="0"/>
        <w:spacing w:after="240"/>
        <w:jc w:val="both"/>
        <w:rPr>
          <w:rFonts w:cs="Times New Roman"/>
          <w:sz w:val="22"/>
          <w:szCs w:val="22"/>
        </w:rPr>
      </w:pPr>
    </w:p>
    <w:p w14:paraId="44395566" w14:textId="77777777" w:rsidR="00ED13DA" w:rsidRDefault="00ED13DA" w:rsidP="00C6045A">
      <w:pPr>
        <w:spacing w:before="240" w:after="480"/>
        <w:rPr>
          <w:rFonts w:cs="Tahoma"/>
          <w:b/>
          <w:sz w:val="24"/>
        </w:rPr>
      </w:pPr>
    </w:p>
    <w:sectPr w:rsidR="00ED13DA" w:rsidSect="002F0B63">
      <w:headerReference w:type="default" r:id="rId8"/>
      <w:footerReference w:type="default" r:id="rId9"/>
      <w:headerReference w:type="first" r:id="rId10"/>
      <w:footerReference w:type="first" r:id="rId11"/>
      <w:pgSz w:w="11907" w:h="16840" w:code="9"/>
      <w:pgMar w:top="2410" w:right="1275" w:bottom="1135" w:left="1701" w:header="851" w:footer="73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90239" w14:textId="77777777" w:rsidR="000B3360" w:rsidRDefault="000B3360">
      <w:r>
        <w:separator/>
      </w:r>
    </w:p>
  </w:endnote>
  <w:endnote w:type="continuationSeparator" w:id="0">
    <w:p w14:paraId="4A6FA1DE" w14:textId="77777777" w:rsidR="000B3360" w:rsidRDefault="000B3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E0152" w14:textId="77777777" w:rsidR="00B915EF" w:rsidRDefault="000B3360">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2925FF">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925FF">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2C15" w14:textId="77777777" w:rsidR="00B915EF" w:rsidRDefault="00B915EF">
    <w:pPr>
      <w:pStyle w:val="Piedepgina"/>
      <w:tabs>
        <w:tab w:val="clear" w:pos="4252"/>
        <w:tab w:val="clear" w:pos="8504"/>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A1673" w14:textId="77777777" w:rsidR="000B3360" w:rsidRDefault="000B3360">
      <w:r>
        <w:separator/>
      </w:r>
    </w:p>
  </w:footnote>
  <w:footnote w:type="continuationSeparator" w:id="0">
    <w:p w14:paraId="5F35EA9D" w14:textId="77777777" w:rsidR="000B3360" w:rsidRDefault="000B3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404A1B" w14:paraId="1F5DC011" w14:textId="77777777">
      <w:trPr>
        <w:cantSplit/>
        <w:trHeight w:val="338"/>
      </w:trPr>
      <w:tc>
        <w:tcPr>
          <w:tcW w:w="3856" w:type="dxa"/>
        </w:tcPr>
        <w:p w14:paraId="58135675" w14:textId="77777777" w:rsidR="00B915EF" w:rsidRDefault="00B915EF">
          <w:pPr>
            <w:pStyle w:val="Encabezado"/>
          </w:pPr>
        </w:p>
      </w:tc>
      <w:tc>
        <w:tcPr>
          <w:tcW w:w="1361" w:type="dxa"/>
          <w:vMerge w:val="restart"/>
        </w:tcPr>
        <w:p w14:paraId="78E8A463" w14:textId="77777777" w:rsidR="00B915EF" w:rsidRDefault="000B3360">
          <w:pPr>
            <w:pStyle w:val="Encabezado"/>
            <w:jc w:val="center"/>
          </w:pPr>
          <w:r>
            <w:rPr>
              <w:noProof/>
              <w:lang w:val="es-ES" w:bidi="ar-SA"/>
            </w:rPr>
            <w:drawing>
              <wp:inline distT="0" distB="0" distL="0" distR="0" wp14:anchorId="21BFBECD" wp14:editId="5407862E">
                <wp:extent cx="428625" cy="428625"/>
                <wp:effectExtent l="0" t="0" r="9525" b="9525"/>
                <wp:docPr id="1475215608" name="Imagen 1475215608"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215608"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0FF75AA9" w14:textId="77777777" w:rsidR="00B915EF" w:rsidRDefault="00B915EF">
          <w:pPr>
            <w:pStyle w:val="Encabezado"/>
          </w:pPr>
        </w:p>
      </w:tc>
    </w:tr>
    <w:tr w:rsidR="00404A1B" w14:paraId="60EAB92E" w14:textId="77777777">
      <w:trPr>
        <w:cantSplit/>
        <w:trHeight w:val="337"/>
      </w:trPr>
      <w:tc>
        <w:tcPr>
          <w:tcW w:w="3856" w:type="dxa"/>
        </w:tcPr>
        <w:p w14:paraId="6A9E0844" w14:textId="77777777" w:rsidR="00B915EF" w:rsidRDefault="00B915EF">
          <w:pPr>
            <w:pStyle w:val="Encabezado"/>
          </w:pPr>
        </w:p>
      </w:tc>
      <w:tc>
        <w:tcPr>
          <w:tcW w:w="1361" w:type="dxa"/>
          <w:vMerge/>
        </w:tcPr>
        <w:p w14:paraId="4BB00C78" w14:textId="77777777" w:rsidR="00B915EF" w:rsidRDefault="00B915EF">
          <w:pPr>
            <w:pStyle w:val="Encabezado"/>
            <w:jc w:val="center"/>
          </w:pPr>
        </w:p>
      </w:tc>
      <w:tc>
        <w:tcPr>
          <w:tcW w:w="3856" w:type="dxa"/>
        </w:tcPr>
        <w:p w14:paraId="3BDB236C" w14:textId="77777777" w:rsidR="00B915EF" w:rsidRDefault="00B915EF">
          <w:pPr>
            <w:pStyle w:val="Encabezado"/>
          </w:pPr>
        </w:p>
      </w:tc>
    </w:tr>
  </w:tbl>
  <w:p w14:paraId="27CEF679" w14:textId="77777777" w:rsidR="00B915EF" w:rsidRDefault="00B915E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404A1B" w14:paraId="45F602F9" w14:textId="77777777" w:rsidTr="004560C9">
      <w:trPr>
        <w:cantSplit/>
        <w:trHeight w:val="338"/>
      </w:trPr>
      <w:tc>
        <w:tcPr>
          <w:tcW w:w="3856" w:type="dxa"/>
        </w:tcPr>
        <w:p w14:paraId="56E7AF33" w14:textId="77777777" w:rsidR="003A4ED3" w:rsidRDefault="003A4ED3" w:rsidP="003A4ED3">
          <w:pPr>
            <w:pStyle w:val="Encabezado"/>
          </w:pPr>
        </w:p>
      </w:tc>
      <w:tc>
        <w:tcPr>
          <w:tcW w:w="1361" w:type="dxa"/>
          <w:vMerge w:val="restart"/>
        </w:tcPr>
        <w:p w14:paraId="11392BE5" w14:textId="77777777" w:rsidR="003A4ED3" w:rsidRDefault="000B3360" w:rsidP="003A4ED3">
          <w:pPr>
            <w:pStyle w:val="Encabezado"/>
            <w:jc w:val="center"/>
          </w:pPr>
          <w:r>
            <w:rPr>
              <w:noProof/>
              <w:lang w:val="es-ES" w:bidi="ar-SA"/>
            </w:rPr>
            <w:drawing>
              <wp:inline distT="0" distB="0" distL="0" distR="0" wp14:anchorId="3FB36608" wp14:editId="605E1A25">
                <wp:extent cx="428625" cy="428625"/>
                <wp:effectExtent l="0" t="0" r="9525" b="9525"/>
                <wp:docPr id="703843391" name="Imagen 70384339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43391"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5955A70A" w14:textId="77777777" w:rsidR="003A4ED3" w:rsidRDefault="003A4ED3" w:rsidP="003A4ED3">
          <w:pPr>
            <w:pStyle w:val="Encabezado"/>
          </w:pPr>
        </w:p>
      </w:tc>
    </w:tr>
    <w:tr w:rsidR="00404A1B" w14:paraId="5909D11A" w14:textId="77777777" w:rsidTr="004560C9">
      <w:trPr>
        <w:cantSplit/>
        <w:trHeight w:val="337"/>
      </w:trPr>
      <w:tc>
        <w:tcPr>
          <w:tcW w:w="3856" w:type="dxa"/>
        </w:tcPr>
        <w:p w14:paraId="09DCEA38" w14:textId="77777777" w:rsidR="003A4ED3" w:rsidRDefault="003A4ED3" w:rsidP="003A4ED3">
          <w:pPr>
            <w:pStyle w:val="Encabezado"/>
          </w:pPr>
        </w:p>
      </w:tc>
      <w:tc>
        <w:tcPr>
          <w:tcW w:w="1361" w:type="dxa"/>
          <w:vMerge/>
        </w:tcPr>
        <w:p w14:paraId="7B121F10" w14:textId="77777777" w:rsidR="003A4ED3" w:rsidRDefault="003A4ED3" w:rsidP="003A4ED3">
          <w:pPr>
            <w:pStyle w:val="Encabezado"/>
            <w:jc w:val="center"/>
          </w:pPr>
        </w:p>
      </w:tc>
      <w:tc>
        <w:tcPr>
          <w:tcW w:w="3856" w:type="dxa"/>
        </w:tcPr>
        <w:p w14:paraId="013E95EA" w14:textId="77777777" w:rsidR="003A4ED3" w:rsidRDefault="003A4ED3" w:rsidP="003A4ED3">
          <w:pPr>
            <w:pStyle w:val="Encabezado"/>
          </w:pPr>
        </w:p>
      </w:tc>
    </w:tr>
  </w:tbl>
  <w:p w14:paraId="68A7BAE5" w14:textId="77777777" w:rsidR="003A4ED3" w:rsidRDefault="003A4ED3" w:rsidP="003A4ED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6973"/>
    <w:multiLevelType w:val="hybridMultilevel"/>
    <w:tmpl w:val="4F7CA7EC"/>
    <w:lvl w:ilvl="0" w:tplc="20023A22">
      <w:start w:val="1"/>
      <w:numFmt w:val="bullet"/>
      <w:lvlText w:val=""/>
      <w:lvlJc w:val="left"/>
      <w:pPr>
        <w:ind w:left="720" w:hanging="360"/>
      </w:pPr>
      <w:rPr>
        <w:rFonts w:ascii="Symbol" w:hAnsi="Symbol" w:hint="default"/>
      </w:rPr>
    </w:lvl>
    <w:lvl w:ilvl="1" w:tplc="9D4634A0" w:tentative="1">
      <w:start w:val="1"/>
      <w:numFmt w:val="bullet"/>
      <w:lvlText w:val="o"/>
      <w:lvlJc w:val="left"/>
      <w:pPr>
        <w:ind w:left="1440" w:hanging="360"/>
      </w:pPr>
      <w:rPr>
        <w:rFonts w:ascii="Courier New" w:hAnsi="Courier New" w:cs="Courier New" w:hint="default"/>
      </w:rPr>
    </w:lvl>
    <w:lvl w:ilvl="2" w:tplc="4710C472" w:tentative="1">
      <w:start w:val="1"/>
      <w:numFmt w:val="bullet"/>
      <w:lvlText w:val=""/>
      <w:lvlJc w:val="left"/>
      <w:pPr>
        <w:ind w:left="2160" w:hanging="360"/>
      </w:pPr>
      <w:rPr>
        <w:rFonts w:ascii="Wingdings" w:hAnsi="Wingdings" w:hint="default"/>
      </w:rPr>
    </w:lvl>
    <w:lvl w:ilvl="3" w:tplc="BF5CB3E4" w:tentative="1">
      <w:start w:val="1"/>
      <w:numFmt w:val="bullet"/>
      <w:lvlText w:val=""/>
      <w:lvlJc w:val="left"/>
      <w:pPr>
        <w:ind w:left="2880" w:hanging="360"/>
      </w:pPr>
      <w:rPr>
        <w:rFonts w:ascii="Symbol" w:hAnsi="Symbol" w:hint="default"/>
      </w:rPr>
    </w:lvl>
    <w:lvl w:ilvl="4" w:tplc="BA4C66AE" w:tentative="1">
      <w:start w:val="1"/>
      <w:numFmt w:val="bullet"/>
      <w:lvlText w:val="o"/>
      <w:lvlJc w:val="left"/>
      <w:pPr>
        <w:ind w:left="3600" w:hanging="360"/>
      </w:pPr>
      <w:rPr>
        <w:rFonts w:ascii="Courier New" w:hAnsi="Courier New" w:cs="Courier New" w:hint="default"/>
      </w:rPr>
    </w:lvl>
    <w:lvl w:ilvl="5" w:tplc="A3766F5E" w:tentative="1">
      <w:start w:val="1"/>
      <w:numFmt w:val="bullet"/>
      <w:lvlText w:val=""/>
      <w:lvlJc w:val="left"/>
      <w:pPr>
        <w:ind w:left="4320" w:hanging="360"/>
      </w:pPr>
      <w:rPr>
        <w:rFonts w:ascii="Wingdings" w:hAnsi="Wingdings" w:hint="default"/>
      </w:rPr>
    </w:lvl>
    <w:lvl w:ilvl="6" w:tplc="F2820DA0" w:tentative="1">
      <w:start w:val="1"/>
      <w:numFmt w:val="bullet"/>
      <w:lvlText w:val=""/>
      <w:lvlJc w:val="left"/>
      <w:pPr>
        <w:ind w:left="5040" w:hanging="360"/>
      </w:pPr>
      <w:rPr>
        <w:rFonts w:ascii="Symbol" w:hAnsi="Symbol" w:hint="default"/>
      </w:rPr>
    </w:lvl>
    <w:lvl w:ilvl="7" w:tplc="0E66DF36" w:tentative="1">
      <w:start w:val="1"/>
      <w:numFmt w:val="bullet"/>
      <w:lvlText w:val="o"/>
      <w:lvlJc w:val="left"/>
      <w:pPr>
        <w:ind w:left="5760" w:hanging="360"/>
      </w:pPr>
      <w:rPr>
        <w:rFonts w:ascii="Courier New" w:hAnsi="Courier New" w:cs="Courier New" w:hint="default"/>
      </w:rPr>
    </w:lvl>
    <w:lvl w:ilvl="8" w:tplc="D026F75E" w:tentative="1">
      <w:start w:val="1"/>
      <w:numFmt w:val="bullet"/>
      <w:lvlText w:val=""/>
      <w:lvlJc w:val="left"/>
      <w:pPr>
        <w:ind w:left="6480" w:hanging="360"/>
      </w:pPr>
      <w:rPr>
        <w:rFonts w:ascii="Wingdings" w:hAnsi="Wingdings" w:hint="default"/>
      </w:rPr>
    </w:lvl>
  </w:abstractNum>
  <w:abstractNum w:abstractNumId="1" w15:restartNumberingAfterBreak="0">
    <w:nsid w:val="1CF75AFD"/>
    <w:multiLevelType w:val="hybridMultilevel"/>
    <w:tmpl w:val="3098A996"/>
    <w:lvl w:ilvl="0" w:tplc="15C6CD32">
      <w:numFmt w:val="bullet"/>
      <w:lvlText w:val="-"/>
      <w:lvlJc w:val="left"/>
      <w:pPr>
        <w:ind w:left="502" w:hanging="360"/>
      </w:pPr>
      <w:rPr>
        <w:rFonts w:ascii="Arial" w:eastAsia="Times New Roman" w:hAnsi="Arial" w:cs="Arial" w:hint="default"/>
      </w:rPr>
    </w:lvl>
    <w:lvl w:ilvl="1" w:tplc="804C4962" w:tentative="1">
      <w:start w:val="1"/>
      <w:numFmt w:val="bullet"/>
      <w:lvlText w:val="o"/>
      <w:lvlJc w:val="left"/>
      <w:pPr>
        <w:ind w:left="1222" w:hanging="360"/>
      </w:pPr>
      <w:rPr>
        <w:rFonts w:ascii="Courier New" w:hAnsi="Courier New" w:cs="Courier New" w:hint="default"/>
      </w:rPr>
    </w:lvl>
    <w:lvl w:ilvl="2" w:tplc="BA445C80" w:tentative="1">
      <w:start w:val="1"/>
      <w:numFmt w:val="bullet"/>
      <w:lvlText w:val=""/>
      <w:lvlJc w:val="left"/>
      <w:pPr>
        <w:ind w:left="1942" w:hanging="360"/>
      </w:pPr>
      <w:rPr>
        <w:rFonts w:ascii="Wingdings" w:hAnsi="Wingdings" w:hint="default"/>
      </w:rPr>
    </w:lvl>
    <w:lvl w:ilvl="3" w:tplc="1A28E29E" w:tentative="1">
      <w:start w:val="1"/>
      <w:numFmt w:val="bullet"/>
      <w:lvlText w:val=""/>
      <w:lvlJc w:val="left"/>
      <w:pPr>
        <w:ind w:left="2662" w:hanging="360"/>
      </w:pPr>
      <w:rPr>
        <w:rFonts w:ascii="Symbol" w:hAnsi="Symbol" w:hint="default"/>
      </w:rPr>
    </w:lvl>
    <w:lvl w:ilvl="4" w:tplc="41F840BE" w:tentative="1">
      <w:start w:val="1"/>
      <w:numFmt w:val="bullet"/>
      <w:lvlText w:val="o"/>
      <w:lvlJc w:val="left"/>
      <w:pPr>
        <w:ind w:left="3382" w:hanging="360"/>
      </w:pPr>
      <w:rPr>
        <w:rFonts w:ascii="Courier New" w:hAnsi="Courier New" w:cs="Courier New" w:hint="default"/>
      </w:rPr>
    </w:lvl>
    <w:lvl w:ilvl="5" w:tplc="43346C64" w:tentative="1">
      <w:start w:val="1"/>
      <w:numFmt w:val="bullet"/>
      <w:lvlText w:val=""/>
      <w:lvlJc w:val="left"/>
      <w:pPr>
        <w:ind w:left="4102" w:hanging="360"/>
      </w:pPr>
      <w:rPr>
        <w:rFonts w:ascii="Wingdings" w:hAnsi="Wingdings" w:hint="default"/>
      </w:rPr>
    </w:lvl>
    <w:lvl w:ilvl="6" w:tplc="C4243796" w:tentative="1">
      <w:start w:val="1"/>
      <w:numFmt w:val="bullet"/>
      <w:lvlText w:val=""/>
      <w:lvlJc w:val="left"/>
      <w:pPr>
        <w:ind w:left="4822" w:hanging="360"/>
      </w:pPr>
      <w:rPr>
        <w:rFonts w:ascii="Symbol" w:hAnsi="Symbol" w:hint="default"/>
      </w:rPr>
    </w:lvl>
    <w:lvl w:ilvl="7" w:tplc="BE5A04B4" w:tentative="1">
      <w:start w:val="1"/>
      <w:numFmt w:val="bullet"/>
      <w:lvlText w:val="o"/>
      <w:lvlJc w:val="left"/>
      <w:pPr>
        <w:ind w:left="5542" w:hanging="360"/>
      </w:pPr>
      <w:rPr>
        <w:rFonts w:ascii="Courier New" w:hAnsi="Courier New" w:cs="Courier New" w:hint="default"/>
      </w:rPr>
    </w:lvl>
    <w:lvl w:ilvl="8" w:tplc="C35E6666" w:tentative="1">
      <w:start w:val="1"/>
      <w:numFmt w:val="bullet"/>
      <w:lvlText w:val=""/>
      <w:lvlJc w:val="left"/>
      <w:pPr>
        <w:ind w:left="6262" w:hanging="360"/>
      </w:pPr>
      <w:rPr>
        <w:rFonts w:ascii="Wingdings" w:hAnsi="Wingdings" w:hint="default"/>
      </w:rPr>
    </w:lvl>
  </w:abstractNum>
  <w:abstractNum w:abstractNumId="2" w15:restartNumberingAfterBreak="0">
    <w:nsid w:val="2A9E2877"/>
    <w:multiLevelType w:val="singleLevel"/>
    <w:tmpl w:val="017C5C18"/>
    <w:lvl w:ilvl="0">
      <w:numFmt w:val="bullet"/>
      <w:lvlText w:val="-"/>
      <w:lvlJc w:val="left"/>
      <w:pPr>
        <w:tabs>
          <w:tab w:val="num" w:pos="1065"/>
        </w:tabs>
        <w:ind w:left="1065" w:hanging="360"/>
      </w:pPr>
      <w:rPr>
        <w:rFonts w:ascii="Times New Roman" w:hAnsi="Times New Roman" w:hint="default"/>
      </w:rPr>
    </w:lvl>
  </w:abstractNum>
  <w:abstractNum w:abstractNumId="3" w15:restartNumberingAfterBreak="0">
    <w:nsid w:val="2AFF3AF2"/>
    <w:multiLevelType w:val="singleLevel"/>
    <w:tmpl w:val="A3BE5402"/>
    <w:lvl w:ilvl="0">
      <w:start w:val="21"/>
      <w:numFmt w:val="bullet"/>
      <w:lvlText w:val="-"/>
      <w:lvlJc w:val="left"/>
      <w:pPr>
        <w:tabs>
          <w:tab w:val="num" w:pos="397"/>
        </w:tabs>
        <w:ind w:left="680" w:hanging="283"/>
      </w:pPr>
      <w:rPr>
        <w:rFonts w:ascii="Times New Roman" w:hAnsi="Times New Roman" w:cs="Times New Roman" w:hint="default"/>
      </w:rPr>
    </w:lvl>
  </w:abstractNum>
  <w:abstractNum w:abstractNumId="4" w15:restartNumberingAfterBreak="0">
    <w:nsid w:val="4EB375AB"/>
    <w:multiLevelType w:val="hybridMultilevel"/>
    <w:tmpl w:val="C5CC9B2E"/>
    <w:lvl w:ilvl="0" w:tplc="BF941A02">
      <w:start w:val="1"/>
      <w:numFmt w:val="decimal"/>
      <w:lvlText w:val="%1."/>
      <w:lvlJc w:val="left"/>
      <w:pPr>
        <w:ind w:left="720" w:hanging="360"/>
      </w:pPr>
    </w:lvl>
    <w:lvl w:ilvl="1" w:tplc="26EC7A4A" w:tentative="1">
      <w:start w:val="1"/>
      <w:numFmt w:val="lowerLetter"/>
      <w:lvlText w:val="%2."/>
      <w:lvlJc w:val="left"/>
      <w:pPr>
        <w:ind w:left="1440" w:hanging="360"/>
      </w:pPr>
    </w:lvl>
    <w:lvl w:ilvl="2" w:tplc="EA38F6F8" w:tentative="1">
      <w:start w:val="1"/>
      <w:numFmt w:val="lowerRoman"/>
      <w:lvlText w:val="%3."/>
      <w:lvlJc w:val="right"/>
      <w:pPr>
        <w:ind w:left="2160" w:hanging="180"/>
      </w:pPr>
    </w:lvl>
    <w:lvl w:ilvl="3" w:tplc="0A4415C2" w:tentative="1">
      <w:start w:val="1"/>
      <w:numFmt w:val="decimal"/>
      <w:lvlText w:val="%4."/>
      <w:lvlJc w:val="left"/>
      <w:pPr>
        <w:ind w:left="2880" w:hanging="360"/>
      </w:pPr>
    </w:lvl>
    <w:lvl w:ilvl="4" w:tplc="275C52A0" w:tentative="1">
      <w:start w:val="1"/>
      <w:numFmt w:val="lowerLetter"/>
      <w:lvlText w:val="%5."/>
      <w:lvlJc w:val="left"/>
      <w:pPr>
        <w:ind w:left="3600" w:hanging="360"/>
      </w:pPr>
    </w:lvl>
    <w:lvl w:ilvl="5" w:tplc="5394C9AE" w:tentative="1">
      <w:start w:val="1"/>
      <w:numFmt w:val="lowerRoman"/>
      <w:lvlText w:val="%6."/>
      <w:lvlJc w:val="right"/>
      <w:pPr>
        <w:ind w:left="4320" w:hanging="180"/>
      </w:pPr>
    </w:lvl>
    <w:lvl w:ilvl="6" w:tplc="B722032E" w:tentative="1">
      <w:start w:val="1"/>
      <w:numFmt w:val="decimal"/>
      <w:lvlText w:val="%7."/>
      <w:lvlJc w:val="left"/>
      <w:pPr>
        <w:ind w:left="5040" w:hanging="360"/>
      </w:pPr>
    </w:lvl>
    <w:lvl w:ilvl="7" w:tplc="6C1E4AE6" w:tentative="1">
      <w:start w:val="1"/>
      <w:numFmt w:val="lowerLetter"/>
      <w:lvlText w:val="%8."/>
      <w:lvlJc w:val="left"/>
      <w:pPr>
        <w:ind w:left="5760" w:hanging="360"/>
      </w:pPr>
    </w:lvl>
    <w:lvl w:ilvl="8" w:tplc="AB7650FE" w:tentative="1">
      <w:start w:val="1"/>
      <w:numFmt w:val="lowerRoman"/>
      <w:lvlText w:val="%9."/>
      <w:lvlJc w:val="right"/>
      <w:pPr>
        <w:ind w:left="6480" w:hanging="180"/>
      </w:pPr>
    </w:lvl>
  </w:abstractNum>
  <w:abstractNum w:abstractNumId="5" w15:restartNumberingAfterBreak="0">
    <w:nsid w:val="692177C9"/>
    <w:multiLevelType w:val="singleLevel"/>
    <w:tmpl w:val="4C48E00C"/>
    <w:lvl w:ilvl="0">
      <w:numFmt w:val="bullet"/>
      <w:lvlText w:val="-"/>
      <w:lvlJc w:val="left"/>
      <w:pPr>
        <w:tabs>
          <w:tab w:val="num" w:pos="1068"/>
        </w:tabs>
        <w:ind w:left="1068" w:hanging="360"/>
      </w:pPr>
      <w:rPr>
        <w:rFonts w:hint="default"/>
      </w:rPr>
    </w:lvl>
  </w:abstractNum>
  <w:abstractNum w:abstractNumId="6" w15:restartNumberingAfterBreak="0">
    <w:nsid w:val="6A8C5C18"/>
    <w:multiLevelType w:val="singleLevel"/>
    <w:tmpl w:val="877AC2AC"/>
    <w:lvl w:ilvl="0">
      <w:numFmt w:val="bullet"/>
      <w:lvlText w:val="-"/>
      <w:lvlJc w:val="left"/>
      <w:pPr>
        <w:tabs>
          <w:tab w:val="num" w:pos="1065"/>
        </w:tabs>
        <w:ind w:left="1065" w:hanging="360"/>
      </w:pPr>
      <w:rPr>
        <w:rFonts w:hint="default"/>
      </w:rPr>
    </w:lvl>
  </w:abstractNum>
  <w:abstractNum w:abstractNumId="7" w15:restartNumberingAfterBreak="0">
    <w:nsid w:val="6CD16B41"/>
    <w:multiLevelType w:val="hybridMultilevel"/>
    <w:tmpl w:val="B6A8D160"/>
    <w:lvl w:ilvl="0" w:tplc="0ED44FDE">
      <w:start w:val="4"/>
      <w:numFmt w:val="bullet"/>
      <w:lvlText w:val="-"/>
      <w:lvlJc w:val="left"/>
      <w:pPr>
        <w:ind w:left="720" w:hanging="360"/>
      </w:pPr>
      <w:rPr>
        <w:rFonts w:ascii="Times New Roman" w:eastAsia="Times New Roman" w:hAnsi="Times New Roman" w:cs="Times New Roman" w:hint="default"/>
      </w:rPr>
    </w:lvl>
    <w:lvl w:ilvl="1" w:tplc="4EF819A2" w:tentative="1">
      <w:start w:val="1"/>
      <w:numFmt w:val="bullet"/>
      <w:lvlText w:val="o"/>
      <w:lvlJc w:val="left"/>
      <w:pPr>
        <w:ind w:left="1440" w:hanging="360"/>
      </w:pPr>
      <w:rPr>
        <w:rFonts w:ascii="Courier New" w:hAnsi="Courier New" w:cs="Courier New" w:hint="default"/>
      </w:rPr>
    </w:lvl>
    <w:lvl w:ilvl="2" w:tplc="A0D2294C" w:tentative="1">
      <w:start w:val="1"/>
      <w:numFmt w:val="bullet"/>
      <w:lvlText w:val=""/>
      <w:lvlJc w:val="left"/>
      <w:pPr>
        <w:ind w:left="2160" w:hanging="360"/>
      </w:pPr>
      <w:rPr>
        <w:rFonts w:ascii="Wingdings" w:hAnsi="Wingdings" w:hint="default"/>
      </w:rPr>
    </w:lvl>
    <w:lvl w:ilvl="3" w:tplc="A4F84FEC" w:tentative="1">
      <w:start w:val="1"/>
      <w:numFmt w:val="bullet"/>
      <w:lvlText w:val=""/>
      <w:lvlJc w:val="left"/>
      <w:pPr>
        <w:ind w:left="2880" w:hanging="360"/>
      </w:pPr>
      <w:rPr>
        <w:rFonts w:ascii="Symbol" w:hAnsi="Symbol" w:hint="default"/>
      </w:rPr>
    </w:lvl>
    <w:lvl w:ilvl="4" w:tplc="74E4AE6A" w:tentative="1">
      <w:start w:val="1"/>
      <w:numFmt w:val="bullet"/>
      <w:lvlText w:val="o"/>
      <w:lvlJc w:val="left"/>
      <w:pPr>
        <w:ind w:left="3600" w:hanging="360"/>
      </w:pPr>
      <w:rPr>
        <w:rFonts w:ascii="Courier New" w:hAnsi="Courier New" w:cs="Courier New" w:hint="default"/>
      </w:rPr>
    </w:lvl>
    <w:lvl w:ilvl="5" w:tplc="96805C3A" w:tentative="1">
      <w:start w:val="1"/>
      <w:numFmt w:val="bullet"/>
      <w:lvlText w:val=""/>
      <w:lvlJc w:val="left"/>
      <w:pPr>
        <w:ind w:left="4320" w:hanging="360"/>
      </w:pPr>
      <w:rPr>
        <w:rFonts w:ascii="Wingdings" w:hAnsi="Wingdings" w:hint="default"/>
      </w:rPr>
    </w:lvl>
    <w:lvl w:ilvl="6" w:tplc="A142DEE4" w:tentative="1">
      <w:start w:val="1"/>
      <w:numFmt w:val="bullet"/>
      <w:lvlText w:val=""/>
      <w:lvlJc w:val="left"/>
      <w:pPr>
        <w:ind w:left="5040" w:hanging="360"/>
      </w:pPr>
      <w:rPr>
        <w:rFonts w:ascii="Symbol" w:hAnsi="Symbol" w:hint="default"/>
      </w:rPr>
    </w:lvl>
    <w:lvl w:ilvl="7" w:tplc="6100DBA2" w:tentative="1">
      <w:start w:val="1"/>
      <w:numFmt w:val="bullet"/>
      <w:lvlText w:val="o"/>
      <w:lvlJc w:val="left"/>
      <w:pPr>
        <w:ind w:left="5760" w:hanging="360"/>
      </w:pPr>
      <w:rPr>
        <w:rFonts w:ascii="Courier New" w:hAnsi="Courier New" w:cs="Courier New" w:hint="default"/>
      </w:rPr>
    </w:lvl>
    <w:lvl w:ilvl="8" w:tplc="7FEAB1FA" w:tentative="1">
      <w:start w:val="1"/>
      <w:numFmt w:val="bullet"/>
      <w:lvlText w:val=""/>
      <w:lvlJc w:val="left"/>
      <w:pPr>
        <w:ind w:left="6480" w:hanging="360"/>
      </w:pPr>
      <w:rPr>
        <w:rFonts w:ascii="Wingdings" w:hAnsi="Wingdings" w:hint="default"/>
      </w:rPr>
    </w:lvl>
  </w:abstractNum>
  <w:abstractNum w:abstractNumId="8" w15:restartNumberingAfterBreak="0">
    <w:nsid w:val="731F4322"/>
    <w:multiLevelType w:val="singleLevel"/>
    <w:tmpl w:val="3EA81872"/>
    <w:lvl w:ilvl="0">
      <w:start w:val="1"/>
      <w:numFmt w:val="bullet"/>
      <w:lvlText w:val=""/>
      <w:lvlJc w:val="left"/>
      <w:pPr>
        <w:tabs>
          <w:tab w:val="num" w:pos="360"/>
        </w:tabs>
        <w:ind w:left="360" w:hanging="360"/>
      </w:pPr>
      <w:rPr>
        <w:rFonts w:ascii="Symbol" w:hAnsi="Symbol" w:hint="default"/>
        <w:sz w:val="10"/>
      </w:rPr>
    </w:lvl>
  </w:abstractNum>
  <w:num w:numId="1" w16cid:durableId="1376811003">
    <w:abstractNumId w:val="2"/>
  </w:num>
  <w:num w:numId="2" w16cid:durableId="757874463">
    <w:abstractNumId w:val="6"/>
  </w:num>
  <w:num w:numId="3" w16cid:durableId="90975665">
    <w:abstractNumId w:val="5"/>
  </w:num>
  <w:num w:numId="4" w16cid:durableId="2144343894">
    <w:abstractNumId w:val="8"/>
  </w:num>
  <w:num w:numId="5" w16cid:durableId="2090693611">
    <w:abstractNumId w:val="7"/>
  </w:num>
  <w:num w:numId="6" w16cid:durableId="1243416011">
    <w:abstractNumId w:val="3"/>
  </w:num>
  <w:num w:numId="7" w16cid:durableId="485510158">
    <w:abstractNumId w:val="4"/>
  </w:num>
  <w:num w:numId="8" w16cid:durableId="1529832434">
    <w:abstractNumId w:val="1"/>
  </w:num>
  <w:num w:numId="9" w16cid:durableId="115224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56D"/>
    <w:rsid w:val="00027102"/>
    <w:rsid w:val="00041437"/>
    <w:rsid w:val="00053A6A"/>
    <w:rsid w:val="00062FE6"/>
    <w:rsid w:val="00063F30"/>
    <w:rsid w:val="00064DEC"/>
    <w:rsid w:val="0006508C"/>
    <w:rsid w:val="00095759"/>
    <w:rsid w:val="000B000E"/>
    <w:rsid w:val="000B3360"/>
    <w:rsid w:val="000B786D"/>
    <w:rsid w:val="000C314F"/>
    <w:rsid w:val="000C3C03"/>
    <w:rsid w:val="000C6583"/>
    <w:rsid w:val="000E10C1"/>
    <w:rsid w:val="000E3038"/>
    <w:rsid w:val="000E4EDF"/>
    <w:rsid w:val="000E6826"/>
    <w:rsid w:val="000F1DA4"/>
    <w:rsid w:val="000F5E17"/>
    <w:rsid w:val="001032D7"/>
    <w:rsid w:val="001118D5"/>
    <w:rsid w:val="001211DE"/>
    <w:rsid w:val="00134C9D"/>
    <w:rsid w:val="0013774E"/>
    <w:rsid w:val="00142914"/>
    <w:rsid w:val="00151C16"/>
    <w:rsid w:val="00154A65"/>
    <w:rsid w:val="00160CEA"/>
    <w:rsid w:val="0016357A"/>
    <w:rsid w:val="00167F36"/>
    <w:rsid w:val="001720DD"/>
    <w:rsid w:val="00173017"/>
    <w:rsid w:val="00173D6F"/>
    <w:rsid w:val="00177F1A"/>
    <w:rsid w:val="0018256B"/>
    <w:rsid w:val="001A0196"/>
    <w:rsid w:val="001A53E8"/>
    <w:rsid w:val="001B5638"/>
    <w:rsid w:val="001C1902"/>
    <w:rsid w:val="001D21D6"/>
    <w:rsid w:val="001D279A"/>
    <w:rsid w:val="001D5BB9"/>
    <w:rsid w:val="001D7A7C"/>
    <w:rsid w:val="001E7988"/>
    <w:rsid w:val="002047D8"/>
    <w:rsid w:val="002301E8"/>
    <w:rsid w:val="00233BA7"/>
    <w:rsid w:val="002427D5"/>
    <w:rsid w:val="00242ACA"/>
    <w:rsid w:val="00243C0C"/>
    <w:rsid w:val="00256D74"/>
    <w:rsid w:val="002630C5"/>
    <w:rsid w:val="00291A00"/>
    <w:rsid w:val="002925FF"/>
    <w:rsid w:val="00292B9B"/>
    <w:rsid w:val="002A7D10"/>
    <w:rsid w:val="002B6A48"/>
    <w:rsid w:val="002C63B3"/>
    <w:rsid w:val="002D0540"/>
    <w:rsid w:val="002D399A"/>
    <w:rsid w:val="002F0B63"/>
    <w:rsid w:val="00300329"/>
    <w:rsid w:val="00304B07"/>
    <w:rsid w:val="00311294"/>
    <w:rsid w:val="00317CF1"/>
    <w:rsid w:val="00334C95"/>
    <w:rsid w:val="00355559"/>
    <w:rsid w:val="0036030E"/>
    <w:rsid w:val="0037649F"/>
    <w:rsid w:val="00387D91"/>
    <w:rsid w:val="00391518"/>
    <w:rsid w:val="00396C7B"/>
    <w:rsid w:val="003A4ED3"/>
    <w:rsid w:val="003C142C"/>
    <w:rsid w:val="003C6C27"/>
    <w:rsid w:val="003E008E"/>
    <w:rsid w:val="003E238D"/>
    <w:rsid w:val="003E4FD8"/>
    <w:rsid w:val="003F2E11"/>
    <w:rsid w:val="00404931"/>
    <w:rsid w:val="00404A1B"/>
    <w:rsid w:val="00432373"/>
    <w:rsid w:val="0044006A"/>
    <w:rsid w:val="00445F60"/>
    <w:rsid w:val="00460853"/>
    <w:rsid w:val="00463EC5"/>
    <w:rsid w:val="0046579C"/>
    <w:rsid w:val="004663CC"/>
    <w:rsid w:val="00473BE5"/>
    <w:rsid w:val="004C0492"/>
    <w:rsid w:val="004C10B5"/>
    <w:rsid w:val="004D4ACF"/>
    <w:rsid w:val="004E2160"/>
    <w:rsid w:val="004F302C"/>
    <w:rsid w:val="004F5211"/>
    <w:rsid w:val="0050384F"/>
    <w:rsid w:val="00506E7D"/>
    <w:rsid w:val="00507772"/>
    <w:rsid w:val="00516EE9"/>
    <w:rsid w:val="00531014"/>
    <w:rsid w:val="005320F3"/>
    <w:rsid w:val="00537CD8"/>
    <w:rsid w:val="00546095"/>
    <w:rsid w:val="0055032C"/>
    <w:rsid w:val="005542D9"/>
    <w:rsid w:val="00554F09"/>
    <w:rsid w:val="00556FBE"/>
    <w:rsid w:val="00564401"/>
    <w:rsid w:val="005934B0"/>
    <w:rsid w:val="005949F7"/>
    <w:rsid w:val="005A46A6"/>
    <w:rsid w:val="005B139D"/>
    <w:rsid w:val="005D2DA6"/>
    <w:rsid w:val="005D7C91"/>
    <w:rsid w:val="005F256D"/>
    <w:rsid w:val="00605C1D"/>
    <w:rsid w:val="0061328B"/>
    <w:rsid w:val="00613691"/>
    <w:rsid w:val="0062099C"/>
    <w:rsid w:val="00625E72"/>
    <w:rsid w:val="00645B7C"/>
    <w:rsid w:val="00655CE8"/>
    <w:rsid w:val="00657105"/>
    <w:rsid w:val="006612EE"/>
    <w:rsid w:val="006C2FB6"/>
    <w:rsid w:val="006D5F88"/>
    <w:rsid w:val="006E298E"/>
    <w:rsid w:val="006E7277"/>
    <w:rsid w:val="00710320"/>
    <w:rsid w:val="00713526"/>
    <w:rsid w:val="007229F5"/>
    <w:rsid w:val="007460EF"/>
    <w:rsid w:val="00764794"/>
    <w:rsid w:val="00774ED2"/>
    <w:rsid w:val="00795D7F"/>
    <w:rsid w:val="007C1F86"/>
    <w:rsid w:val="007D341D"/>
    <w:rsid w:val="007D47B4"/>
    <w:rsid w:val="007E0494"/>
    <w:rsid w:val="007F014E"/>
    <w:rsid w:val="007F16AB"/>
    <w:rsid w:val="00813EA0"/>
    <w:rsid w:val="00816512"/>
    <w:rsid w:val="00834813"/>
    <w:rsid w:val="00871FB9"/>
    <w:rsid w:val="00872D7D"/>
    <w:rsid w:val="008745CA"/>
    <w:rsid w:val="008767D3"/>
    <w:rsid w:val="00880999"/>
    <w:rsid w:val="00882B96"/>
    <w:rsid w:val="0089146B"/>
    <w:rsid w:val="008A3EC0"/>
    <w:rsid w:val="008B03C0"/>
    <w:rsid w:val="008B39DE"/>
    <w:rsid w:val="008B66A2"/>
    <w:rsid w:val="008D11B0"/>
    <w:rsid w:val="008D3C92"/>
    <w:rsid w:val="008E20C7"/>
    <w:rsid w:val="008E611A"/>
    <w:rsid w:val="008F422D"/>
    <w:rsid w:val="008F5AFA"/>
    <w:rsid w:val="009013B0"/>
    <w:rsid w:val="00904A46"/>
    <w:rsid w:val="009163E0"/>
    <w:rsid w:val="009206B8"/>
    <w:rsid w:val="00921846"/>
    <w:rsid w:val="00921AF9"/>
    <w:rsid w:val="0092469E"/>
    <w:rsid w:val="00927753"/>
    <w:rsid w:val="00930DB7"/>
    <w:rsid w:val="00937AD7"/>
    <w:rsid w:val="009413AA"/>
    <w:rsid w:val="00953A49"/>
    <w:rsid w:val="0095776B"/>
    <w:rsid w:val="00960B8B"/>
    <w:rsid w:val="0096100C"/>
    <w:rsid w:val="00966230"/>
    <w:rsid w:val="009706B3"/>
    <w:rsid w:val="00994477"/>
    <w:rsid w:val="00994FED"/>
    <w:rsid w:val="009A6318"/>
    <w:rsid w:val="009A7328"/>
    <w:rsid w:val="009B1C47"/>
    <w:rsid w:val="009C783F"/>
    <w:rsid w:val="009D091C"/>
    <w:rsid w:val="009F25B9"/>
    <w:rsid w:val="00A01B44"/>
    <w:rsid w:val="00A109D3"/>
    <w:rsid w:val="00A15A45"/>
    <w:rsid w:val="00A32F28"/>
    <w:rsid w:val="00A419AA"/>
    <w:rsid w:val="00A427C3"/>
    <w:rsid w:val="00A675BB"/>
    <w:rsid w:val="00A71C36"/>
    <w:rsid w:val="00AA7345"/>
    <w:rsid w:val="00AB4B73"/>
    <w:rsid w:val="00AD0169"/>
    <w:rsid w:val="00AD577F"/>
    <w:rsid w:val="00AD6704"/>
    <w:rsid w:val="00AE458B"/>
    <w:rsid w:val="00AE48D3"/>
    <w:rsid w:val="00AF10C8"/>
    <w:rsid w:val="00AF4AC2"/>
    <w:rsid w:val="00AF6EA4"/>
    <w:rsid w:val="00B074DB"/>
    <w:rsid w:val="00B136FC"/>
    <w:rsid w:val="00B17BA7"/>
    <w:rsid w:val="00B476B7"/>
    <w:rsid w:val="00B72F03"/>
    <w:rsid w:val="00B77876"/>
    <w:rsid w:val="00B82A90"/>
    <w:rsid w:val="00B915EF"/>
    <w:rsid w:val="00BA6842"/>
    <w:rsid w:val="00BB0112"/>
    <w:rsid w:val="00BB2A62"/>
    <w:rsid w:val="00BB4E9B"/>
    <w:rsid w:val="00BB5F4D"/>
    <w:rsid w:val="00BC23C1"/>
    <w:rsid w:val="00BD5EE6"/>
    <w:rsid w:val="00BD7430"/>
    <w:rsid w:val="00BF5472"/>
    <w:rsid w:val="00C0100B"/>
    <w:rsid w:val="00C01CE2"/>
    <w:rsid w:val="00C04A13"/>
    <w:rsid w:val="00C14DAE"/>
    <w:rsid w:val="00C21DC3"/>
    <w:rsid w:val="00C6045A"/>
    <w:rsid w:val="00C64075"/>
    <w:rsid w:val="00C725DA"/>
    <w:rsid w:val="00C76883"/>
    <w:rsid w:val="00C9272A"/>
    <w:rsid w:val="00CA11BB"/>
    <w:rsid w:val="00CC02EC"/>
    <w:rsid w:val="00CC0909"/>
    <w:rsid w:val="00CE10FD"/>
    <w:rsid w:val="00CF3ED5"/>
    <w:rsid w:val="00D02CEA"/>
    <w:rsid w:val="00D07D3D"/>
    <w:rsid w:val="00D35127"/>
    <w:rsid w:val="00D40A1E"/>
    <w:rsid w:val="00D40AAC"/>
    <w:rsid w:val="00D417A8"/>
    <w:rsid w:val="00D5550E"/>
    <w:rsid w:val="00D7467D"/>
    <w:rsid w:val="00D74EFF"/>
    <w:rsid w:val="00D81037"/>
    <w:rsid w:val="00DB6F4C"/>
    <w:rsid w:val="00DB7C9E"/>
    <w:rsid w:val="00DC1333"/>
    <w:rsid w:val="00DD08DC"/>
    <w:rsid w:val="00DE4EFE"/>
    <w:rsid w:val="00DF6800"/>
    <w:rsid w:val="00DF6AB7"/>
    <w:rsid w:val="00E1128D"/>
    <w:rsid w:val="00E148E5"/>
    <w:rsid w:val="00E266EE"/>
    <w:rsid w:val="00E30EA0"/>
    <w:rsid w:val="00E423B0"/>
    <w:rsid w:val="00E42E7B"/>
    <w:rsid w:val="00E56F36"/>
    <w:rsid w:val="00E64718"/>
    <w:rsid w:val="00E747F5"/>
    <w:rsid w:val="00E76D9A"/>
    <w:rsid w:val="00E8018F"/>
    <w:rsid w:val="00E838A9"/>
    <w:rsid w:val="00E8693D"/>
    <w:rsid w:val="00E86A00"/>
    <w:rsid w:val="00E87C4A"/>
    <w:rsid w:val="00E929D3"/>
    <w:rsid w:val="00E95BE8"/>
    <w:rsid w:val="00E9691C"/>
    <w:rsid w:val="00EB0DB9"/>
    <w:rsid w:val="00EB2E13"/>
    <w:rsid w:val="00EB344E"/>
    <w:rsid w:val="00EC1CC7"/>
    <w:rsid w:val="00EC5CA5"/>
    <w:rsid w:val="00EC7136"/>
    <w:rsid w:val="00ED13DA"/>
    <w:rsid w:val="00ED77E9"/>
    <w:rsid w:val="00EE29DD"/>
    <w:rsid w:val="00EE345C"/>
    <w:rsid w:val="00F013A7"/>
    <w:rsid w:val="00F0476F"/>
    <w:rsid w:val="00F05D4B"/>
    <w:rsid w:val="00F16B50"/>
    <w:rsid w:val="00F25E6F"/>
    <w:rsid w:val="00F3484B"/>
    <w:rsid w:val="00F37CF6"/>
    <w:rsid w:val="00F56FBB"/>
    <w:rsid w:val="00F63BDB"/>
    <w:rsid w:val="00F71479"/>
    <w:rsid w:val="00F80C44"/>
    <w:rsid w:val="00F85056"/>
    <w:rsid w:val="00F94F6C"/>
    <w:rsid w:val="00F9545F"/>
    <w:rsid w:val="00FA1457"/>
    <w:rsid w:val="00FB45B5"/>
    <w:rsid w:val="00FC5634"/>
    <w:rsid w:val="00FC5F56"/>
    <w:rsid w:val="00FC67A6"/>
    <w:rsid w:val="00FD60E0"/>
    <w:rsid w:val="00FE5BEF"/>
    <w:rsid w:val="00FE6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C440B7"/>
  <w15:docId w15:val="{FB855F25-8EEB-4936-A5AA-03ED17E8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link w:val="Ttulo2Car"/>
    <w:qFormat/>
    <w:pPr>
      <w:keepNext/>
      <w:spacing w:before="240" w:after="480"/>
      <w:outlineLvl w:val="1"/>
    </w:pPr>
    <w:rPr>
      <w:b/>
      <w:sz w:val="24"/>
    </w:rPr>
  </w:style>
  <w:style w:type="paragraph" w:styleId="Ttulo3">
    <w:name w:val="heading 3"/>
    <w:basedOn w:val="Normal"/>
    <w:next w:val="Normal"/>
    <w:qFormat/>
    <w:pPr>
      <w:keepNext/>
      <w:spacing w:before="1440" w:line="240" w:lineRule="exact"/>
      <w:outlineLvl w:val="2"/>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link w:val="SangradetextonormalCar"/>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3">
    <w:name w:val="Body Text 3"/>
    <w:basedOn w:val="Normal"/>
    <w:semiHidden/>
    <w:pPr>
      <w:jc w:val="both"/>
    </w:pPr>
    <w:rPr>
      <w:sz w:val="24"/>
      <w:lang w:val="es-ES"/>
    </w:rPr>
  </w:style>
  <w:style w:type="paragraph" w:styleId="Textoindependiente">
    <w:name w:val="Body Text"/>
    <w:basedOn w:val="Normal"/>
    <w:link w:val="TextoindependienteCar"/>
    <w:pPr>
      <w:spacing w:after="240"/>
      <w:jc w:val="both"/>
    </w:pPr>
    <w:rPr>
      <w:sz w:val="22"/>
    </w:rPr>
  </w:style>
  <w:style w:type="paragraph" w:styleId="Textoindependiente2">
    <w:name w:val="Body Text 2"/>
    <w:basedOn w:val="Normal"/>
    <w:link w:val="Textoindependiente2Car"/>
    <w:pPr>
      <w:ind w:right="-1"/>
      <w:jc w:val="both"/>
    </w:pPr>
    <w:rPr>
      <w:rFonts w:ascii="Arial" w:hAnsi="Arial"/>
      <w:sz w:val="22"/>
    </w:rPr>
  </w:style>
  <w:style w:type="paragraph" w:styleId="Sangra2detindependiente">
    <w:name w:val="Body Text Indent 2"/>
    <w:basedOn w:val="Normal"/>
    <w:semiHidden/>
    <w:pPr>
      <w:ind w:firstLine="708"/>
      <w:jc w:val="both"/>
    </w:pPr>
    <w:rPr>
      <w:sz w:val="22"/>
    </w:rPr>
  </w:style>
  <w:style w:type="paragraph" w:styleId="Sangra3detindependiente">
    <w:name w:val="Body Text Indent 3"/>
    <w:basedOn w:val="Normal"/>
    <w:semiHidden/>
    <w:pPr>
      <w:ind w:left="709" w:hanging="709"/>
      <w:jc w:val="both"/>
    </w:pPr>
    <w:rPr>
      <w:rFonts w:ascii="Arial" w:hAnsi="Arial"/>
      <w:sz w:val="22"/>
    </w:rPr>
  </w:style>
  <w:style w:type="paragraph" w:styleId="Textodeglobo">
    <w:name w:val="Balloon Text"/>
    <w:basedOn w:val="Normal"/>
    <w:link w:val="TextodegloboCar"/>
    <w:uiPriority w:val="99"/>
    <w:semiHidden/>
    <w:unhideWhenUsed/>
    <w:rsid w:val="00AE458B"/>
    <w:rPr>
      <w:rFonts w:ascii="Tahoma" w:hAnsi="Tahoma" w:cs="Tahoma"/>
      <w:sz w:val="16"/>
      <w:szCs w:val="16"/>
    </w:rPr>
  </w:style>
  <w:style w:type="character" w:customStyle="1" w:styleId="TextodegloboCar">
    <w:name w:val="Texto de globo Car"/>
    <w:basedOn w:val="Fuentedeprrafopredeter"/>
    <w:link w:val="Textodeglobo"/>
    <w:uiPriority w:val="99"/>
    <w:semiHidden/>
    <w:rsid w:val="00AE458B"/>
    <w:rPr>
      <w:rFonts w:ascii="Tahoma" w:hAnsi="Tahoma" w:cs="Tahoma"/>
      <w:sz w:val="16"/>
      <w:szCs w:val="16"/>
      <w:lang w:val="es-ES_tradnl" w:bidi="or-IN"/>
    </w:rPr>
  </w:style>
  <w:style w:type="character" w:customStyle="1" w:styleId="SangradetextonormalCar">
    <w:name w:val="Sangría de texto normal Car"/>
    <w:basedOn w:val="Fuentedeprrafopredeter"/>
    <w:link w:val="Sangradetextonormal"/>
    <w:semiHidden/>
    <w:rsid w:val="00BA6842"/>
    <w:rPr>
      <w:rFonts w:ascii="Arial" w:hAnsi="Arial" w:cs="Arial"/>
      <w:b/>
      <w:bCs/>
      <w:color w:val="FF0000"/>
      <w:sz w:val="24"/>
      <w:szCs w:val="24"/>
      <w:lang w:val="es-ES_tradnl" w:bidi="or-IN"/>
    </w:rPr>
  </w:style>
  <w:style w:type="character" w:customStyle="1" w:styleId="Ttulo2Car">
    <w:name w:val="Título 2 Car"/>
    <w:basedOn w:val="Fuentedeprrafopredeter"/>
    <w:link w:val="Ttulo2"/>
    <w:rsid w:val="00317CF1"/>
    <w:rPr>
      <w:rFonts w:cs="Arial"/>
      <w:b/>
      <w:sz w:val="24"/>
      <w:lang w:val="es-ES_tradnl" w:bidi="or-IN"/>
    </w:rPr>
  </w:style>
  <w:style w:type="character" w:styleId="Hipervnculo">
    <w:name w:val="Hyperlink"/>
    <w:uiPriority w:val="99"/>
    <w:unhideWhenUsed/>
    <w:rsid w:val="00317CF1"/>
    <w:rPr>
      <w:color w:val="0000FF"/>
      <w:u w:val="single"/>
    </w:rPr>
  </w:style>
  <w:style w:type="paragraph" w:styleId="Prrafodelista">
    <w:name w:val="List Paragraph"/>
    <w:basedOn w:val="Normal"/>
    <w:uiPriority w:val="34"/>
    <w:qFormat/>
    <w:rsid w:val="00FE676E"/>
    <w:pPr>
      <w:ind w:left="720"/>
      <w:contextualSpacing/>
    </w:pPr>
  </w:style>
  <w:style w:type="character" w:customStyle="1" w:styleId="EncabezadoCar">
    <w:name w:val="Encabezado Car"/>
    <w:basedOn w:val="Fuentedeprrafopredeter"/>
    <w:link w:val="Encabezado"/>
    <w:uiPriority w:val="99"/>
    <w:rsid w:val="004C0492"/>
    <w:rPr>
      <w:rFonts w:cs="Arial"/>
      <w:lang w:val="es-ES_tradnl" w:bidi="or-IN"/>
    </w:rPr>
  </w:style>
  <w:style w:type="table" w:styleId="Tablaconcuadrcula">
    <w:name w:val="Table Grid"/>
    <w:basedOn w:val="Tablanormal"/>
    <w:uiPriority w:val="59"/>
    <w:rsid w:val="00D35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927753"/>
    <w:rPr>
      <w:rFonts w:cs="Arial"/>
      <w:sz w:val="22"/>
      <w:lang w:val="es-ES_tradnl" w:bidi="or-IN"/>
    </w:rPr>
  </w:style>
  <w:style w:type="character" w:customStyle="1" w:styleId="Textoindependiente2Car">
    <w:name w:val="Texto independiente 2 Car"/>
    <w:basedOn w:val="Fuentedeprrafopredeter"/>
    <w:link w:val="Textoindependiente2"/>
    <w:rsid w:val="00927753"/>
    <w:rPr>
      <w:rFonts w:ascii="Arial" w:hAnsi="Arial" w:cs="Arial"/>
      <w:sz w:val="22"/>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uerd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56EEE-1A60-4AB2-B443-EA339452D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Acuerdo.dot</Template>
  <TotalTime>2</TotalTime>
  <Pages>1</Pages>
  <Words>383</Words>
  <Characters>2785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Plantilla de Acuerdo del Consejo de Diputados</vt:lpstr>
    </vt:vector>
  </TitlesOfParts>
  <Company>DFA-AFA</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Acuerdo del Consejo de Diputados</dc:title>
  <dc:creator>MVR</dc:creator>
  <cp:lastModifiedBy>Crespo Mas, Julia</cp:lastModifiedBy>
  <cp:revision>2</cp:revision>
  <cp:lastPrinted>2024-01-10T12:53:00Z</cp:lastPrinted>
  <dcterms:created xsi:type="dcterms:W3CDTF">2026-03-25T09:23:00Z</dcterms:created>
  <dcterms:modified xsi:type="dcterms:W3CDTF">2026-03-25T09:23:00Z</dcterms:modified>
</cp:coreProperties>
</file>