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724A8" w14:textId="77777777" w:rsidR="00E44C2A" w:rsidRDefault="00E44C2A" w:rsidP="00E44C2A">
      <w:r>
        <w:t xml:space="preserve">Las convocatorias de subvenciones en concurrencia competitiva del Departamento de Igualdad, </w:t>
      </w:r>
      <w:proofErr w:type="gramStart"/>
      <w:r>
        <w:t>Euskera</w:t>
      </w:r>
      <w:proofErr w:type="gramEnd"/>
      <w:r>
        <w:t xml:space="preserve"> y Gobernanza se regulan por el Decreto Foral 23/2020, del Consejo de Gobierno Foral de 21 de julio. Aprobar las bases generales reguladoras de la concesión de subvenciones en régimen de concurrencia del Departamento de Diputado General. Este Decreto Foral tiene cláusulas relativas al respeto a la igualdad como la siguiente:</w:t>
      </w:r>
    </w:p>
    <w:p w14:paraId="021727F6" w14:textId="77777777" w:rsidR="00E44C2A" w:rsidRDefault="00E44C2A" w:rsidP="00BF55CE">
      <w:pPr>
        <w:ind w:left="708"/>
      </w:pPr>
      <w:r>
        <w:t>“De acuerdo con lo previsto en el artículo 3.1.c) de la Ley 4/2005, de 18 de febrero, para la Igualdad de Mujeres y Hombres (en adelante, Ley para la Igualdad de Mujeres y Hombres), no se subvencionará ninguna actividad que sea discriminatoria por razón de sexo. Asimismo, de conformidad con dicho texto legal, las entidades solicitantes deberán integrar la perspectiva de género en el proyecto subvencionable, entendiéndose por tal «la consideración sistemática de las diferentes situaciones, condiciones, aspiraciones y necesidades de mujeres y hombres, incorporando objetivos y actuaciones específicas dirigidas a eliminar las desigualdades y promover la igualdad en todas las políticas y acciones, a todos los niveles y en todas sus fases de planificación, ejecución y evaluación». En cada convocatoria se especificarán los términos concretos en los que las entidades beneficiarias deberán dar cumplimiento a este artículo.”</w:t>
      </w:r>
    </w:p>
    <w:p w14:paraId="4D64CB47" w14:textId="77777777" w:rsidR="00E44C2A" w:rsidRDefault="00E44C2A" w:rsidP="00E44C2A"/>
    <w:p w14:paraId="29C8A8E3" w14:textId="77777777" w:rsidR="00E44C2A" w:rsidRDefault="00E44C2A" w:rsidP="00E44C2A">
      <w:r>
        <w:t>Al margen de lo anterior, por ejemplo, en la convocatoria de subvenciones de igualdad privadas se exige lo siguiente:</w:t>
      </w:r>
    </w:p>
    <w:p w14:paraId="392E80F3" w14:textId="77777777" w:rsidR="00E44C2A" w:rsidRDefault="00E44C2A" w:rsidP="00BF55CE">
      <w:pPr>
        <w:ind w:left="708"/>
      </w:pPr>
      <w:r>
        <w:t>“Si procede, en caso de personal encargado de la impartición de cursos, talleres o similares, así como de la puesta en marcha de actuaciones o programas en igualdad acreditación de al menos 150 horas de formación en igualdad en un único curso o dos experiencias profesionales con perspectiva feminista organizadas en el marco de las escuelas de empoderamiento o casas de mujeres.”</w:t>
      </w:r>
    </w:p>
    <w:p w14:paraId="439E810A" w14:textId="77777777" w:rsidR="00E44C2A" w:rsidRDefault="00E44C2A" w:rsidP="00E44C2A"/>
    <w:p w14:paraId="32C93679" w14:textId="77777777" w:rsidR="00E44C2A" w:rsidRDefault="00E44C2A" w:rsidP="00E44C2A">
      <w:r>
        <w:t xml:space="preserve">En las demás convocatorias está previsto que no será objeto de subvención lo siguiente: </w:t>
      </w:r>
    </w:p>
    <w:p w14:paraId="444EA6E1" w14:textId="759D4378" w:rsidR="00E44C2A" w:rsidRDefault="00E44C2A" w:rsidP="00BF55CE">
      <w:pPr>
        <w:ind w:left="708"/>
      </w:pPr>
      <w:r>
        <w:t>“Los proyectos que incluyan actividades que, de acuerdo con el artículo 1 de las bases generales reguladoras de la concesión de subvenciones en régimen de concurrencia del Departamento de Diputado General, no integren la perspectiva de género en el apartado de justificación (punto 1. del Anexo II), recogiéndose en el mismo al menos un análisis diferenciado de las necesidades y situaciones específicas de mujeres y hombres, así como la contribución de dicho proyecto al avance de la igualdad. En todas las referencias relativas a la igualdad de mujeres y hombres que se realizan en lo largo de esta convocatoria, también debe considerarse la posición en las que se encuentran las personas no binarias, las cuales no se identifican ni como mujeres ni como hombres. Se sigue utilizando dicho término a fin de mantener la coherencia con el marco legislativo y programático que ampara esta convocatoria.”</w:t>
      </w:r>
    </w:p>
    <w:p w14:paraId="1864D40B" w14:textId="77777777" w:rsidR="00E44C2A" w:rsidRDefault="00E44C2A" w:rsidP="00E44C2A"/>
    <w:p w14:paraId="4064B392" w14:textId="77777777" w:rsidR="00E44C2A" w:rsidRDefault="00E44C2A" w:rsidP="00E44C2A"/>
    <w:p w14:paraId="7C158B15" w14:textId="77777777" w:rsidR="00BF55CE" w:rsidRDefault="00BF55CE" w:rsidP="00E44C2A"/>
    <w:p w14:paraId="7249CB51" w14:textId="77777777" w:rsidR="00E44C2A" w:rsidRDefault="00E44C2A" w:rsidP="00E44C2A">
      <w:r>
        <w:lastRenderedPageBreak/>
        <w:t>En subvenciones directas nominativas se incluye la siguiente cláusula de igualdad:</w:t>
      </w:r>
    </w:p>
    <w:p w14:paraId="586801C2" w14:textId="77777777" w:rsidR="00E44C2A" w:rsidRDefault="00E44C2A" w:rsidP="00BF55CE">
      <w:pPr>
        <w:ind w:left="708"/>
      </w:pPr>
      <w:r>
        <w:t>“Constituye un deber inexcusable para la persona o entidad beneficiaria cumplir los principios y obligaciones establecidos en Decreto Legislativo 1/2023, de 16 de marzo, por el que se aprueba el texto refundido de la Ley para la Igualdad de Mujeres y Hombres y Vidas Libres de Violencia Machista contra las Mujeres. Toda la documentación, publicidad, imagen o materiales deberán emplear un uso no sexista del lenguaje, evitar cualquier imagen discriminatoria de las mujeres o estereotipos sexistas y fomentar una imagen con valores de igualdad, presencia equilibrada, diversidad, corresponsabilidad, y pluralidad de roles e identidades de género.”</w:t>
      </w:r>
    </w:p>
    <w:sectPr w:rsidR="00E44C2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C2A"/>
    <w:rsid w:val="00004DA6"/>
    <w:rsid w:val="002343E5"/>
    <w:rsid w:val="004E34DB"/>
    <w:rsid w:val="00BF55CE"/>
    <w:rsid w:val="00E44C2A"/>
    <w:rsid w:val="00E72E78"/>
    <w:rsid w:val="00ED35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E45D"/>
  <w15:chartTrackingRefBased/>
  <w15:docId w15:val="{F60790CB-959B-4C4B-8758-EFBA6403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4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4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4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4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4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4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4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4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4C2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4C2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4C2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4C2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4C2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4C2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4C2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4C2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4C2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4C2A"/>
    <w:rPr>
      <w:rFonts w:eastAsiaTheme="majorEastAsia" w:cstheme="majorBidi"/>
      <w:color w:val="272727" w:themeColor="text1" w:themeTint="D8"/>
    </w:rPr>
  </w:style>
  <w:style w:type="paragraph" w:styleId="Ttulo">
    <w:name w:val="Title"/>
    <w:basedOn w:val="Normal"/>
    <w:next w:val="Normal"/>
    <w:link w:val="TtuloCar"/>
    <w:uiPriority w:val="10"/>
    <w:qFormat/>
    <w:rsid w:val="00E44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4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4C2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4C2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4C2A"/>
    <w:pPr>
      <w:spacing w:before="160"/>
      <w:jc w:val="center"/>
    </w:pPr>
    <w:rPr>
      <w:i/>
      <w:iCs/>
      <w:color w:val="404040" w:themeColor="text1" w:themeTint="BF"/>
    </w:rPr>
  </w:style>
  <w:style w:type="character" w:customStyle="1" w:styleId="CitaCar">
    <w:name w:val="Cita Car"/>
    <w:basedOn w:val="Fuentedeprrafopredeter"/>
    <w:link w:val="Cita"/>
    <w:uiPriority w:val="29"/>
    <w:rsid w:val="00E44C2A"/>
    <w:rPr>
      <w:i/>
      <w:iCs/>
      <w:color w:val="404040" w:themeColor="text1" w:themeTint="BF"/>
    </w:rPr>
  </w:style>
  <w:style w:type="paragraph" w:styleId="Prrafodelista">
    <w:name w:val="List Paragraph"/>
    <w:basedOn w:val="Normal"/>
    <w:uiPriority w:val="34"/>
    <w:qFormat/>
    <w:rsid w:val="00E44C2A"/>
    <w:pPr>
      <w:ind w:left="720"/>
      <w:contextualSpacing/>
    </w:pPr>
  </w:style>
  <w:style w:type="character" w:styleId="nfasisintenso">
    <w:name w:val="Intense Emphasis"/>
    <w:basedOn w:val="Fuentedeprrafopredeter"/>
    <w:uiPriority w:val="21"/>
    <w:qFormat/>
    <w:rsid w:val="00E44C2A"/>
    <w:rPr>
      <w:i/>
      <w:iCs/>
      <w:color w:val="0F4761" w:themeColor="accent1" w:themeShade="BF"/>
    </w:rPr>
  </w:style>
  <w:style w:type="paragraph" w:styleId="Citadestacada">
    <w:name w:val="Intense Quote"/>
    <w:basedOn w:val="Normal"/>
    <w:next w:val="Normal"/>
    <w:link w:val="CitadestacadaCar"/>
    <w:uiPriority w:val="30"/>
    <w:qFormat/>
    <w:rsid w:val="00E44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4C2A"/>
    <w:rPr>
      <w:i/>
      <w:iCs/>
      <w:color w:val="0F4761" w:themeColor="accent1" w:themeShade="BF"/>
    </w:rPr>
  </w:style>
  <w:style w:type="character" w:styleId="Referenciaintensa">
    <w:name w:val="Intense Reference"/>
    <w:basedOn w:val="Fuentedeprrafopredeter"/>
    <w:uiPriority w:val="32"/>
    <w:qFormat/>
    <w:rsid w:val="00E44C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551</Words>
  <Characters>3031</Characters>
  <Application>Microsoft Office Word</Application>
  <DocSecurity>0</DocSecurity>
  <Lines>25</Lines>
  <Paragraphs>7</Paragraphs>
  <ScaleCrop>false</ScaleCrop>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Arias Lopez de Lacalle, Arrate</dc:creator>
  <cp:keywords/>
  <dc:description/>
  <cp:lastModifiedBy>Arias Lopez de Lacalle, Arrate</cp:lastModifiedBy>
  <cp:revision>2</cp:revision>
  <dcterms:created xsi:type="dcterms:W3CDTF">2026-04-14T10:23:00Z</dcterms:created>
  <dcterms:modified xsi:type="dcterms:W3CDTF">2026-04-14T11:14:00Z</dcterms:modified>
</cp:coreProperties>
</file>