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161A5" w14:textId="77777777" w:rsidR="004C4D1A" w:rsidRPr="00AF390C" w:rsidRDefault="004C4D1A" w:rsidP="004C4D1A">
      <w:pPr>
        <w:spacing w:before="240" w:after="480"/>
        <w:rPr>
          <w:rFonts w:cs="Times New Roman"/>
          <w:b/>
          <w:bCs/>
          <w:sz w:val="24"/>
          <w:szCs w:val="24"/>
          <w:lang w:val="es-ES" w:bidi="ar-SA"/>
        </w:rPr>
      </w:pPr>
      <w:r w:rsidRPr="00AF390C">
        <w:rPr>
          <w:rFonts w:cs="Times New Roman"/>
          <w:b/>
          <w:bCs/>
          <w:sz w:val="24"/>
          <w:szCs w:val="24"/>
          <w:lang w:val="es-ES" w:bidi="ar-SA"/>
        </w:rPr>
        <w:t>DECRETO FORAL</w:t>
      </w:r>
    </w:p>
    <w:p w14:paraId="39ABCD1C" w14:textId="77777777" w:rsidR="004C4D1A" w:rsidRPr="00AF390C" w:rsidRDefault="004C4D1A" w:rsidP="004C4D1A">
      <w:pPr>
        <w:tabs>
          <w:tab w:val="right" w:pos="8789"/>
        </w:tabs>
        <w:rPr>
          <w:sz w:val="22"/>
          <w:lang w:val="es-ES"/>
        </w:rPr>
      </w:pPr>
      <w:r w:rsidRPr="00AF390C">
        <w:rPr>
          <w:sz w:val="22"/>
          <w:lang w:val="es-ES"/>
        </w:rPr>
        <w:t>Departamento de Políticas Sociales</w:t>
      </w:r>
    </w:p>
    <w:p w14:paraId="0EE880AB" w14:textId="543B83C6" w:rsidR="004C4D1A" w:rsidRPr="00AF390C" w:rsidRDefault="004C4D1A" w:rsidP="004C4D1A">
      <w:pPr>
        <w:tabs>
          <w:tab w:val="right" w:pos="8789"/>
        </w:tabs>
        <w:spacing w:after="480"/>
        <w:rPr>
          <w:sz w:val="22"/>
          <w:lang w:val="es-ES"/>
        </w:rPr>
      </w:pPr>
      <w:r w:rsidRPr="00AF390C">
        <w:rPr>
          <w:sz w:val="22"/>
          <w:lang w:val="es-ES"/>
        </w:rPr>
        <w:t xml:space="preserve">Dirección de Servicios Sociales </w:t>
      </w:r>
      <w:r w:rsidRPr="00AF390C">
        <w:rPr>
          <w:sz w:val="22"/>
          <w:lang w:val="es-ES"/>
        </w:rPr>
        <w:br/>
        <w:t xml:space="preserve">Nº </w:t>
      </w:r>
      <w:proofErr w:type="spellStart"/>
      <w:r w:rsidRPr="00AF390C">
        <w:rPr>
          <w:sz w:val="22"/>
          <w:lang w:val="es-ES"/>
        </w:rPr>
        <w:t>expte</w:t>
      </w:r>
      <w:proofErr w:type="spellEnd"/>
      <w:r w:rsidRPr="00AF390C">
        <w:rPr>
          <w:sz w:val="22"/>
          <w:lang w:val="es-ES"/>
        </w:rPr>
        <w:t xml:space="preserve">.: </w:t>
      </w:r>
      <w:r w:rsidR="00F112D7" w:rsidRPr="00F112D7">
        <w:rPr>
          <w:sz w:val="22"/>
          <w:highlight w:val="yellow"/>
          <w:lang w:val="es-ES"/>
        </w:rPr>
        <w:t>XX</w:t>
      </w:r>
      <w:r w:rsidRPr="00F112D7">
        <w:rPr>
          <w:sz w:val="22"/>
          <w:highlight w:val="yellow"/>
          <w:lang w:val="es-ES"/>
        </w:rPr>
        <w:t>/</w:t>
      </w:r>
      <w:r w:rsidR="00F112D7" w:rsidRPr="00F112D7">
        <w:rPr>
          <w:sz w:val="22"/>
          <w:highlight w:val="yellow"/>
          <w:lang w:val="es-ES"/>
        </w:rPr>
        <w:t>2026</w:t>
      </w:r>
    </w:p>
    <w:p w14:paraId="089CDD44" w14:textId="57974447" w:rsidR="004C4D1A" w:rsidRPr="00AF390C" w:rsidRDefault="004C4D1A" w:rsidP="004C4D1A">
      <w:pPr>
        <w:spacing w:after="240"/>
        <w:jc w:val="both"/>
        <w:rPr>
          <w:rFonts w:cs="Times New Roman"/>
          <w:b/>
          <w:bCs/>
          <w:sz w:val="22"/>
          <w:szCs w:val="22"/>
          <w:lang w:val="es-ES" w:bidi="ar-SA"/>
        </w:rPr>
      </w:pPr>
      <w:r w:rsidRPr="00AF390C">
        <w:rPr>
          <w:rFonts w:cs="Times New Roman"/>
          <w:b/>
          <w:bCs/>
          <w:sz w:val="22"/>
          <w:szCs w:val="22"/>
          <w:lang w:val="es-ES" w:bidi="ar-SA"/>
        </w:rPr>
        <w:t xml:space="preserve">Modificar el Decreto Foral </w:t>
      </w:r>
      <w:r w:rsidR="00B64D3E" w:rsidRPr="00AF390C">
        <w:rPr>
          <w:rFonts w:cs="Times New Roman"/>
          <w:b/>
          <w:bCs/>
          <w:sz w:val="22"/>
          <w:szCs w:val="22"/>
          <w:lang w:val="es-ES" w:bidi="ar-SA"/>
        </w:rPr>
        <w:t>35/2021</w:t>
      </w:r>
      <w:r w:rsidRPr="00AF390C">
        <w:rPr>
          <w:rFonts w:cs="Times New Roman"/>
          <w:b/>
          <w:bCs/>
          <w:sz w:val="22"/>
          <w:szCs w:val="22"/>
          <w:lang w:val="es-ES" w:bidi="ar-SA"/>
        </w:rPr>
        <w:t xml:space="preserve">, del Consejo de Gobierno Foral de </w:t>
      </w:r>
      <w:r w:rsidR="00AF390C" w:rsidRPr="00AF390C">
        <w:rPr>
          <w:rFonts w:cs="Times New Roman"/>
          <w:b/>
          <w:bCs/>
          <w:sz w:val="22"/>
          <w:szCs w:val="22"/>
          <w:lang w:val="es-ES" w:bidi="ar-SA"/>
        </w:rPr>
        <w:t>27</w:t>
      </w:r>
      <w:r w:rsidRPr="00AF390C">
        <w:rPr>
          <w:rFonts w:cs="Times New Roman"/>
          <w:b/>
          <w:bCs/>
          <w:sz w:val="22"/>
          <w:szCs w:val="22"/>
          <w:lang w:val="es-ES" w:bidi="ar-SA"/>
        </w:rPr>
        <w:t xml:space="preserve"> de </w:t>
      </w:r>
      <w:r w:rsidR="00AF390C" w:rsidRPr="00AF390C">
        <w:rPr>
          <w:rFonts w:cs="Times New Roman"/>
          <w:b/>
          <w:bCs/>
          <w:sz w:val="22"/>
          <w:szCs w:val="22"/>
          <w:lang w:val="es-ES" w:bidi="ar-SA"/>
        </w:rPr>
        <w:t>julio</w:t>
      </w:r>
      <w:r w:rsidRPr="00AF390C">
        <w:rPr>
          <w:rFonts w:cs="Times New Roman"/>
          <w:b/>
          <w:bCs/>
          <w:sz w:val="22"/>
          <w:szCs w:val="22"/>
          <w:lang w:val="es-ES" w:bidi="ar-SA"/>
        </w:rPr>
        <w:t xml:space="preserve">, por el que se aprueba la </w:t>
      </w:r>
      <w:r w:rsidR="00AF390C" w:rsidRPr="00AF390C">
        <w:rPr>
          <w:rFonts w:cs="Times New Roman"/>
          <w:b/>
          <w:bCs/>
          <w:sz w:val="22"/>
          <w:szCs w:val="22"/>
          <w:lang w:val="es-ES" w:bidi="ar-SA"/>
        </w:rPr>
        <w:t>normativa reguladora de las compensaciones económicas ordinarias para el apoyo al acogimiento familiar y a la conviv</w:t>
      </w:r>
      <w:r w:rsidR="00AF390C">
        <w:rPr>
          <w:rFonts w:cs="Times New Roman"/>
          <w:b/>
          <w:bCs/>
          <w:sz w:val="22"/>
          <w:szCs w:val="22"/>
          <w:lang w:val="es-ES" w:bidi="ar-SA"/>
        </w:rPr>
        <w:t>e</w:t>
      </w:r>
      <w:r w:rsidR="00AF390C" w:rsidRPr="00AF390C">
        <w:rPr>
          <w:rFonts w:cs="Times New Roman"/>
          <w:b/>
          <w:bCs/>
          <w:sz w:val="22"/>
          <w:szCs w:val="22"/>
          <w:lang w:val="es-ES" w:bidi="ar-SA"/>
        </w:rPr>
        <w:t>ncia una v</w:t>
      </w:r>
      <w:r w:rsidR="00AF390C">
        <w:rPr>
          <w:rFonts w:cs="Times New Roman"/>
          <w:b/>
          <w:bCs/>
          <w:sz w:val="22"/>
          <w:szCs w:val="22"/>
          <w:lang w:val="es-ES" w:bidi="ar-SA"/>
        </w:rPr>
        <w:t>e</w:t>
      </w:r>
      <w:r w:rsidR="00AF390C" w:rsidRPr="00AF390C">
        <w:rPr>
          <w:rFonts w:cs="Times New Roman"/>
          <w:b/>
          <w:bCs/>
          <w:sz w:val="22"/>
          <w:szCs w:val="22"/>
          <w:lang w:val="es-ES" w:bidi="ar-SA"/>
        </w:rPr>
        <w:t>z finalizada la medida de acogimiento familiar</w:t>
      </w:r>
      <w:r w:rsidRPr="00AF390C">
        <w:rPr>
          <w:rFonts w:cs="Times New Roman"/>
          <w:b/>
          <w:bCs/>
          <w:sz w:val="22"/>
          <w:szCs w:val="22"/>
          <w:lang w:val="es-ES" w:bidi="ar-SA"/>
        </w:rPr>
        <w:t>.</w:t>
      </w:r>
    </w:p>
    <w:p w14:paraId="04E13593" w14:textId="38E021EF" w:rsidR="004C4D1A" w:rsidRDefault="00115DC5" w:rsidP="004C4D1A">
      <w:pPr>
        <w:spacing w:after="240"/>
        <w:jc w:val="both"/>
        <w:rPr>
          <w:rFonts w:cs="Times New Roman"/>
          <w:sz w:val="22"/>
          <w:szCs w:val="22"/>
          <w:lang w:val="es-ES" w:bidi="ar-SA"/>
        </w:rPr>
      </w:pPr>
      <w:r>
        <w:rPr>
          <w:rFonts w:cs="Times New Roman"/>
          <w:sz w:val="22"/>
          <w:szCs w:val="22"/>
          <w:lang w:val="es-ES" w:bidi="ar-SA"/>
        </w:rPr>
        <w:t xml:space="preserve">El presente Decreto Foral tiene por objeto introducir algunas modificaciones en el </w:t>
      </w:r>
      <w:r w:rsidR="004C4D1A" w:rsidRPr="00AF390C">
        <w:rPr>
          <w:rFonts w:cs="Times New Roman"/>
          <w:sz w:val="22"/>
          <w:szCs w:val="22"/>
          <w:lang w:val="es-ES" w:bidi="ar-SA"/>
        </w:rPr>
        <w:t xml:space="preserve">Decreto Foral </w:t>
      </w:r>
      <w:r w:rsidR="00AF390C" w:rsidRPr="00AF390C">
        <w:rPr>
          <w:rFonts w:cs="Times New Roman"/>
          <w:sz w:val="22"/>
          <w:szCs w:val="22"/>
          <w:lang w:val="es-ES" w:bidi="ar-SA"/>
        </w:rPr>
        <w:t>35/2021</w:t>
      </w:r>
      <w:r w:rsidR="004C4D1A" w:rsidRPr="00AF390C">
        <w:rPr>
          <w:rFonts w:cs="Times New Roman"/>
          <w:sz w:val="22"/>
          <w:szCs w:val="22"/>
          <w:lang w:val="es-ES" w:bidi="ar-SA"/>
        </w:rPr>
        <w:t xml:space="preserve">, del Consejo de Gobierno Foral </w:t>
      </w:r>
      <w:r w:rsidR="00277194">
        <w:rPr>
          <w:rFonts w:cs="Times New Roman"/>
          <w:sz w:val="22"/>
          <w:szCs w:val="22"/>
          <w:lang w:val="es-ES" w:bidi="ar-SA"/>
        </w:rPr>
        <w:t>de 27 de julio</w:t>
      </w:r>
      <w:r w:rsidR="004C4D1A" w:rsidRPr="00AF390C">
        <w:rPr>
          <w:rFonts w:cs="Times New Roman"/>
          <w:sz w:val="22"/>
          <w:szCs w:val="22"/>
          <w:lang w:val="es-ES" w:bidi="ar-SA"/>
        </w:rPr>
        <w:t xml:space="preserve">, </w:t>
      </w:r>
      <w:r>
        <w:rPr>
          <w:rFonts w:cs="Times New Roman"/>
          <w:sz w:val="22"/>
          <w:szCs w:val="22"/>
          <w:lang w:val="es-ES" w:bidi="ar-SA"/>
        </w:rPr>
        <w:t xml:space="preserve">por el que </w:t>
      </w:r>
      <w:r w:rsidR="004C4D1A" w:rsidRPr="00AF390C">
        <w:rPr>
          <w:rFonts w:cs="Times New Roman"/>
          <w:sz w:val="22"/>
          <w:szCs w:val="22"/>
          <w:lang w:val="es-ES" w:bidi="ar-SA"/>
        </w:rPr>
        <w:t xml:space="preserve">se aprobó </w:t>
      </w:r>
      <w:r w:rsidR="00AF390C" w:rsidRPr="00AF390C">
        <w:rPr>
          <w:rFonts w:cs="Times New Roman"/>
          <w:sz w:val="22"/>
          <w:szCs w:val="22"/>
          <w:lang w:val="es-ES" w:bidi="ar-SA"/>
        </w:rPr>
        <w:t>la normativa reguladora de las compensaciones económicas ordinarias para el apoyo al acogimiento familiar y a la convivencia una vez finalizada la medida de acogimiento familiar</w:t>
      </w:r>
      <w:r w:rsidR="004C4D1A" w:rsidRPr="00AF390C">
        <w:rPr>
          <w:rFonts w:cs="Times New Roman"/>
          <w:sz w:val="22"/>
          <w:szCs w:val="22"/>
          <w:lang w:val="es-ES" w:bidi="ar-SA"/>
        </w:rPr>
        <w:t>.</w:t>
      </w:r>
    </w:p>
    <w:p w14:paraId="468830C2" w14:textId="71C3562B" w:rsidR="008809C5" w:rsidRPr="00DE2FCF" w:rsidRDefault="00A81C65" w:rsidP="008809C5">
      <w:pPr>
        <w:spacing w:after="240"/>
        <w:jc w:val="both"/>
        <w:rPr>
          <w:rFonts w:cs="Times New Roman"/>
          <w:sz w:val="22"/>
          <w:szCs w:val="22"/>
          <w:lang w:val="es-ES" w:bidi="ar-SA"/>
        </w:rPr>
      </w:pPr>
      <w:r w:rsidRPr="00DE2FCF">
        <w:rPr>
          <w:rFonts w:cs="Times New Roman"/>
          <w:sz w:val="22"/>
          <w:szCs w:val="22"/>
          <w:lang w:val="es-ES" w:bidi="ar-SA"/>
        </w:rPr>
        <w:t>En primer lugar,</w:t>
      </w:r>
      <w:r w:rsidR="008809C5" w:rsidRPr="00DE2FCF">
        <w:rPr>
          <w:rFonts w:cs="Times New Roman"/>
          <w:sz w:val="22"/>
          <w:szCs w:val="22"/>
          <w:lang w:val="es-ES" w:bidi="ar-SA"/>
        </w:rPr>
        <w:t xml:space="preserve"> Se introducen nuevas clasificación de los acogimientos familiares en base al perfil de la persona menor de edad acogida y en base al contenido de la atención dispensada respectivamente. Estas clasificaciones tienen fundamentalmente una función definitoria y aclaratoria, sin que afecten en la práctica a los derechos y obligaciones que pertenecen a las familias acogedoras y a las propias personas menores acogidas.</w:t>
      </w:r>
    </w:p>
    <w:p w14:paraId="68C10331" w14:textId="69BB3FD9" w:rsidR="00A81C65" w:rsidRDefault="008809C5" w:rsidP="004C4D1A">
      <w:pPr>
        <w:spacing w:after="240"/>
        <w:jc w:val="both"/>
        <w:rPr>
          <w:rFonts w:cs="Times New Roman"/>
          <w:sz w:val="22"/>
          <w:szCs w:val="22"/>
          <w:lang w:val="es-ES" w:bidi="ar-SA"/>
        </w:rPr>
      </w:pPr>
      <w:r>
        <w:rPr>
          <w:rFonts w:cs="Times New Roman"/>
          <w:sz w:val="22"/>
          <w:szCs w:val="22"/>
          <w:lang w:val="es-ES" w:bidi="ar-SA"/>
        </w:rPr>
        <w:t xml:space="preserve">En lo que al acogimiento familiar especializado se refiere, </w:t>
      </w:r>
      <w:r w:rsidR="00A81C65">
        <w:rPr>
          <w:rFonts w:cs="Times New Roman"/>
          <w:sz w:val="22"/>
          <w:szCs w:val="22"/>
          <w:lang w:val="es-ES" w:bidi="ar-SA"/>
        </w:rPr>
        <w:t>se considera necesario introducir algunas aclaraciones en relación con</w:t>
      </w:r>
      <w:r>
        <w:rPr>
          <w:rFonts w:cs="Times New Roman"/>
          <w:sz w:val="22"/>
          <w:szCs w:val="22"/>
          <w:lang w:val="es-ES" w:bidi="ar-SA"/>
        </w:rPr>
        <w:t xml:space="preserve"> dicha figura</w:t>
      </w:r>
      <w:r w:rsidR="00A81C65">
        <w:rPr>
          <w:rFonts w:cs="Times New Roman"/>
          <w:sz w:val="22"/>
          <w:szCs w:val="22"/>
          <w:lang w:val="es-ES" w:bidi="ar-SA"/>
        </w:rPr>
        <w:t xml:space="preserve">. Para ello, se procede a diferenciar dos subcategorías claras mismo como son el acogimiento familiar especializado de especial dedicación y el de especial preparación. Se realiza una definición de cada uno de estos conceptos y se delimita su radio de acción, </w:t>
      </w:r>
      <w:r w:rsidR="00115DC5">
        <w:rPr>
          <w:rFonts w:cs="Times New Roman"/>
          <w:sz w:val="22"/>
          <w:szCs w:val="22"/>
          <w:lang w:val="es-ES" w:bidi="ar-SA"/>
        </w:rPr>
        <w:t>e igualmente</w:t>
      </w:r>
      <w:r w:rsidR="00A81C65">
        <w:rPr>
          <w:rFonts w:cs="Times New Roman"/>
          <w:sz w:val="22"/>
          <w:szCs w:val="22"/>
          <w:lang w:val="es-ES" w:bidi="ar-SA"/>
        </w:rPr>
        <w:t xml:space="preserve"> se recogen de manera detallada las retribuciones a percibir en cada caso. De este modo, el texto se adapta mejor a la casuística existente y otorga mayor seguridad jurídica tanto a </w:t>
      </w:r>
      <w:r w:rsidR="00485711">
        <w:rPr>
          <w:rFonts w:cs="Times New Roman"/>
          <w:sz w:val="22"/>
          <w:szCs w:val="22"/>
          <w:lang w:val="es-ES" w:bidi="ar-SA"/>
        </w:rPr>
        <w:t>las personas o familias acogedoras</w:t>
      </w:r>
      <w:r w:rsidR="00A81C65">
        <w:rPr>
          <w:rFonts w:cs="Times New Roman"/>
          <w:sz w:val="22"/>
          <w:szCs w:val="22"/>
          <w:lang w:val="es-ES" w:bidi="ar-SA"/>
        </w:rPr>
        <w:t xml:space="preserve"> como a las entidades encargadas de gestionar el acogimiento en cuestión.</w:t>
      </w:r>
    </w:p>
    <w:p w14:paraId="21E119DA" w14:textId="30694A28" w:rsidR="00A81C65" w:rsidRPr="009316AE" w:rsidRDefault="00115DC5" w:rsidP="004C4D1A">
      <w:pPr>
        <w:spacing w:after="240"/>
        <w:jc w:val="both"/>
        <w:rPr>
          <w:rFonts w:cs="Times New Roman"/>
          <w:sz w:val="22"/>
          <w:szCs w:val="22"/>
          <w:lang w:val="es-ES" w:bidi="ar-SA"/>
        </w:rPr>
      </w:pPr>
      <w:r w:rsidRPr="009316AE">
        <w:rPr>
          <w:rFonts w:cs="Times New Roman"/>
          <w:sz w:val="22"/>
          <w:szCs w:val="22"/>
          <w:lang w:val="es-ES" w:bidi="ar-SA"/>
        </w:rPr>
        <w:t>Por otro lado</w:t>
      </w:r>
      <w:r w:rsidR="00A81C65" w:rsidRPr="009316AE">
        <w:rPr>
          <w:rFonts w:cs="Times New Roman"/>
          <w:sz w:val="22"/>
          <w:szCs w:val="22"/>
          <w:lang w:val="es-ES" w:bidi="ar-SA"/>
        </w:rPr>
        <w:t xml:space="preserve">, se </w:t>
      </w:r>
      <w:r w:rsidR="008809C5" w:rsidRPr="009316AE">
        <w:rPr>
          <w:rFonts w:cs="Times New Roman"/>
          <w:sz w:val="22"/>
          <w:szCs w:val="22"/>
          <w:lang w:val="es-ES" w:bidi="ar-SA"/>
        </w:rPr>
        <w:t xml:space="preserve">aumenta hasta </w:t>
      </w:r>
      <w:r w:rsidR="009316AE" w:rsidRPr="009316AE">
        <w:rPr>
          <w:rFonts w:cs="Times New Roman"/>
          <w:sz w:val="22"/>
          <w:szCs w:val="22"/>
          <w:lang w:val="es-ES" w:bidi="ar-SA"/>
        </w:rPr>
        <w:t xml:space="preserve">los veintiún años la edad </w:t>
      </w:r>
      <w:r w:rsidR="00A85F2D" w:rsidRPr="009316AE">
        <w:rPr>
          <w:rFonts w:cs="Times New Roman"/>
          <w:sz w:val="22"/>
          <w:szCs w:val="22"/>
          <w:lang w:val="es-ES" w:bidi="ar-SA"/>
        </w:rPr>
        <w:t>del o la joven</w:t>
      </w:r>
      <w:r w:rsidR="008809C5" w:rsidRPr="009316AE">
        <w:rPr>
          <w:rFonts w:cs="Times New Roman"/>
          <w:sz w:val="22"/>
          <w:szCs w:val="22"/>
          <w:lang w:val="es-ES" w:bidi="ar-SA"/>
        </w:rPr>
        <w:t xml:space="preserve"> en seguimiento </w:t>
      </w:r>
      <w:proofErr w:type="spellStart"/>
      <w:r w:rsidR="008809C5" w:rsidRPr="009316AE">
        <w:rPr>
          <w:rFonts w:cs="Times New Roman"/>
          <w:sz w:val="22"/>
          <w:szCs w:val="22"/>
          <w:lang w:val="es-ES" w:bidi="ar-SA"/>
        </w:rPr>
        <w:t>postacogimiento</w:t>
      </w:r>
      <w:proofErr w:type="spellEnd"/>
      <w:r w:rsidR="008809C5" w:rsidRPr="009316AE">
        <w:rPr>
          <w:rFonts w:cs="Times New Roman"/>
          <w:sz w:val="22"/>
          <w:szCs w:val="22"/>
          <w:lang w:val="es-ES" w:bidi="ar-SA"/>
        </w:rPr>
        <w:t xml:space="preserve"> familiar hasta la cual</w:t>
      </w:r>
      <w:r w:rsidRPr="009316AE">
        <w:rPr>
          <w:rFonts w:cs="Times New Roman"/>
          <w:sz w:val="22"/>
          <w:szCs w:val="22"/>
          <w:lang w:val="es-ES" w:bidi="ar-SA"/>
        </w:rPr>
        <w:t xml:space="preserve"> se permite mantener las </w:t>
      </w:r>
      <w:r w:rsidR="008809C5" w:rsidRPr="009316AE">
        <w:rPr>
          <w:rFonts w:cs="Times New Roman"/>
          <w:sz w:val="22"/>
          <w:szCs w:val="22"/>
          <w:lang w:val="es-ES" w:bidi="ar-SA"/>
        </w:rPr>
        <w:t>medidas de apoyo</w:t>
      </w:r>
      <w:r w:rsidRPr="009316AE">
        <w:rPr>
          <w:rFonts w:cs="Times New Roman"/>
          <w:sz w:val="22"/>
          <w:szCs w:val="22"/>
          <w:lang w:val="es-ES" w:bidi="ar-SA"/>
        </w:rPr>
        <w:t xml:space="preserve"> a las familias acogedoras en los supuestos recogidos en el texto de la norma. </w:t>
      </w:r>
      <w:r w:rsidR="004932F6" w:rsidRPr="009316AE">
        <w:rPr>
          <w:rFonts w:cs="Times New Roman"/>
          <w:sz w:val="22"/>
          <w:szCs w:val="22"/>
          <w:lang w:val="es-ES" w:bidi="ar-SA"/>
        </w:rPr>
        <w:t>Se introduce en este sentido una disposición transitoria para habilitar que las</w:t>
      </w:r>
      <w:r w:rsidR="004932F6" w:rsidRPr="009316AE">
        <w:t xml:space="preserve"> </w:t>
      </w:r>
      <w:r w:rsidR="004932F6" w:rsidRPr="009316AE">
        <w:rPr>
          <w:rFonts w:cs="Times New Roman"/>
          <w:sz w:val="22"/>
          <w:szCs w:val="22"/>
          <w:lang w:val="es-ES" w:bidi="ar-SA"/>
        </w:rPr>
        <w:t xml:space="preserve">personas que a fecha de entrada en vigor de esta disposición se encuentren en el programa de seguimiento </w:t>
      </w:r>
      <w:proofErr w:type="spellStart"/>
      <w:r w:rsidR="004932F6" w:rsidRPr="009316AE">
        <w:rPr>
          <w:rFonts w:cs="Times New Roman"/>
          <w:sz w:val="22"/>
          <w:szCs w:val="22"/>
          <w:lang w:val="es-ES" w:bidi="ar-SA"/>
        </w:rPr>
        <w:t>postacogimiento</w:t>
      </w:r>
      <w:proofErr w:type="spellEnd"/>
      <w:r w:rsidR="004932F6" w:rsidRPr="009316AE">
        <w:rPr>
          <w:rFonts w:cs="Times New Roman"/>
          <w:sz w:val="22"/>
          <w:szCs w:val="22"/>
          <w:lang w:val="es-ES" w:bidi="ar-SA"/>
        </w:rPr>
        <w:t xml:space="preserve"> familiar cumpliendo con el resto de requisitos requeridos en esta norma.</w:t>
      </w:r>
    </w:p>
    <w:p w14:paraId="7A8878C9" w14:textId="2DD3BFB7" w:rsidR="004932F6" w:rsidRPr="009316AE" w:rsidRDefault="004932F6" w:rsidP="004C4D1A">
      <w:pPr>
        <w:spacing w:after="240"/>
        <w:jc w:val="both"/>
        <w:rPr>
          <w:rFonts w:cs="Times New Roman"/>
          <w:sz w:val="22"/>
          <w:szCs w:val="22"/>
          <w:lang w:val="es-ES" w:bidi="ar-SA"/>
        </w:rPr>
      </w:pPr>
      <w:r w:rsidRPr="009316AE">
        <w:rPr>
          <w:rFonts w:cs="Times New Roman"/>
          <w:sz w:val="22"/>
          <w:szCs w:val="22"/>
          <w:lang w:val="es-ES" w:bidi="ar-SA"/>
        </w:rPr>
        <w:t>Se recoge un nuevo apartado que habilita la posibilidad de llevar a cabo revisiones periódicas de los importes de las compensaciones económicas establecidas para las diferentes modalidades de acogimiento familiar con posterioridad a la aprobación del presente decreto foral.</w:t>
      </w:r>
    </w:p>
    <w:p w14:paraId="32BD24C1" w14:textId="1DDF2B94" w:rsidR="004932F6" w:rsidRPr="009316AE" w:rsidRDefault="004932F6" w:rsidP="004C4D1A">
      <w:pPr>
        <w:spacing w:after="240"/>
        <w:jc w:val="both"/>
        <w:rPr>
          <w:rFonts w:cs="Times New Roman"/>
          <w:sz w:val="22"/>
          <w:szCs w:val="22"/>
          <w:lang w:val="es-ES" w:bidi="ar-SA"/>
        </w:rPr>
      </w:pPr>
      <w:r w:rsidRPr="009316AE">
        <w:rPr>
          <w:rFonts w:cs="Times New Roman"/>
          <w:sz w:val="22"/>
          <w:szCs w:val="22"/>
          <w:lang w:val="es-ES" w:bidi="ar-SA"/>
        </w:rPr>
        <w:t>Además de todo lo anterior, se realizan algunas correcciones terminológicas y gramaticales con carácter general.</w:t>
      </w:r>
    </w:p>
    <w:p w14:paraId="5A007ADA" w14:textId="64F431C5" w:rsidR="007B649E" w:rsidRPr="001E6EB5" w:rsidRDefault="007B649E" w:rsidP="007B649E">
      <w:pPr>
        <w:spacing w:after="240"/>
        <w:jc w:val="both"/>
        <w:rPr>
          <w:sz w:val="22"/>
          <w:szCs w:val="22"/>
        </w:rPr>
      </w:pPr>
      <w:r w:rsidRPr="009316AE">
        <w:rPr>
          <w:sz w:val="22"/>
          <w:szCs w:val="22"/>
        </w:rPr>
        <w:lastRenderedPageBreak/>
        <w:t>La iniciativa no está incluida en el Plan Anual Normativo del ejercicio 2026. No obstante, es necesaria la aprobación de la m</w:t>
      </w:r>
      <w:r>
        <w:rPr>
          <w:sz w:val="22"/>
          <w:szCs w:val="22"/>
        </w:rPr>
        <w:t>isma dada la necesidad de dotar de una regulación adecuada a la casuística real que actualmente se está aplicando con los acogimientos familiares especializados.</w:t>
      </w:r>
    </w:p>
    <w:p w14:paraId="3BE1622C" w14:textId="77777777" w:rsidR="00485711" w:rsidRDefault="004C4D1A" w:rsidP="004C4D1A">
      <w:pPr>
        <w:spacing w:after="240"/>
        <w:jc w:val="both"/>
        <w:rPr>
          <w:rFonts w:cs="Times New Roman"/>
          <w:sz w:val="22"/>
          <w:szCs w:val="22"/>
          <w:lang w:val="es-ES" w:bidi="ar-SA"/>
        </w:rPr>
      </w:pPr>
      <w:r w:rsidRPr="006C35AC">
        <w:rPr>
          <w:rFonts w:cs="Times New Roman"/>
          <w:sz w:val="22"/>
          <w:szCs w:val="22"/>
          <w:lang w:val="es-ES" w:bidi="ar-SA"/>
        </w:rPr>
        <w:t>En la tramitación del presente decreto foral se han observado los principios de buena regulación previstos en la Ley 39/2015, de 1 de octubre, del Procedimiento Administrativo Común de las Administraciones Públicas, y recogidos en el artículo 3 del Decreto Foral 6/2023, de 28 de febrero, por el que se aprueba el procedimiento de elaboración de disposiciones de carácter general en la Diputación Foral de Álava.</w:t>
      </w:r>
    </w:p>
    <w:p w14:paraId="311B7F2A" w14:textId="5BE7E899" w:rsidR="00485711" w:rsidRDefault="004C4D1A" w:rsidP="004C4D1A">
      <w:pPr>
        <w:spacing w:after="240"/>
        <w:jc w:val="both"/>
        <w:rPr>
          <w:rFonts w:cs="Times New Roman"/>
          <w:sz w:val="22"/>
          <w:szCs w:val="22"/>
          <w:lang w:val="es-ES" w:bidi="ar-SA"/>
        </w:rPr>
      </w:pPr>
      <w:r w:rsidRPr="006C35AC">
        <w:rPr>
          <w:rFonts w:cs="Times New Roman"/>
          <w:sz w:val="22"/>
          <w:szCs w:val="22"/>
          <w:lang w:val="es-ES" w:bidi="ar-SA"/>
        </w:rPr>
        <w:t>Así, en los antecedentes expuestos se ha justificado suficientemente la necesidad de una nueva regulación, siendo además de una actuación normativa proporcionada, ya que se limita al mínimo imprescindible para conseguir el fin perseguido, esto es, actualizar y adecuar la legislación foral a la nueva regulación común.</w:t>
      </w:r>
    </w:p>
    <w:p w14:paraId="34C5E99D" w14:textId="77777777" w:rsidR="00485711" w:rsidRDefault="004C4D1A" w:rsidP="004C4D1A">
      <w:pPr>
        <w:spacing w:after="240"/>
        <w:jc w:val="both"/>
        <w:rPr>
          <w:rFonts w:cs="Times New Roman"/>
          <w:sz w:val="22"/>
          <w:szCs w:val="22"/>
          <w:lang w:val="es-ES" w:bidi="ar-SA"/>
        </w:rPr>
      </w:pPr>
      <w:r w:rsidRPr="006C35AC">
        <w:rPr>
          <w:rFonts w:cs="Times New Roman"/>
          <w:sz w:val="22"/>
          <w:szCs w:val="22"/>
          <w:lang w:val="es-ES" w:bidi="ar-SA"/>
        </w:rPr>
        <w:t>En su elaboración se han tenido en cuenta los principios de igualdad entre mujeres y hombres que inspiran el V Plan Foral para la Igualdad de Mujeres y Hombres en Álava (2022-2026), el contenido de la Ley Orgánica 3/2007 para la Igualdad E</w:t>
      </w:r>
      <w:r w:rsidR="006C35AC" w:rsidRPr="006C35AC">
        <w:rPr>
          <w:rFonts w:cs="Times New Roman"/>
          <w:sz w:val="22"/>
          <w:szCs w:val="22"/>
          <w:lang w:val="es-ES" w:bidi="ar-SA"/>
        </w:rPr>
        <w:t>fectiva entre Mujeres y Hombres y</w:t>
      </w:r>
      <w:r w:rsidRPr="006C35AC">
        <w:rPr>
          <w:rFonts w:cs="Times New Roman"/>
          <w:sz w:val="22"/>
          <w:szCs w:val="22"/>
          <w:lang w:val="es-ES" w:bidi="ar-SA"/>
        </w:rPr>
        <w:t xml:space="preserve"> en el Decreto Legislativo 1/2023, de 16 de marzo, por el que se aprueba el texto refundido de la Ley para la Igualdad de Mujeres y Hombres y Vidas Libres de Violencia Machista contra las Mujeres. Asimismo, han sido tenidas en cuenta las observaciones recogidas en el informe elaborado al respecto por el Servicio de Igualdad de Diputación Foral de Álava. Se garantiza igualmente el principio de seguridad jurídica, puesto que queda suficientemente justificada tanto su inserción en el ordenamiento jurídico como la habili</w:t>
      </w:r>
      <w:r w:rsidR="00485711">
        <w:rPr>
          <w:rFonts w:cs="Times New Roman"/>
          <w:sz w:val="22"/>
          <w:szCs w:val="22"/>
          <w:lang w:val="es-ES" w:bidi="ar-SA"/>
        </w:rPr>
        <w:t>tación del órgano que lo dicta.</w:t>
      </w:r>
    </w:p>
    <w:p w14:paraId="2875EC95" w14:textId="279FEB80" w:rsidR="004C4D1A" w:rsidRPr="00A009AD" w:rsidRDefault="004C4D1A" w:rsidP="004C4D1A">
      <w:pPr>
        <w:spacing w:after="240"/>
        <w:jc w:val="both"/>
        <w:rPr>
          <w:rFonts w:cs="Times New Roman"/>
          <w:sz w:val="22"/>
          <w:szCs w:val="22"/>
          <w:highlight w:val="yellow"/>
          <w:lang w:val="es-ES" w:bidi="ar-SA"/>
        </w:rPr>
      </w:pPr>
      <w:r w:rsidRPr="006C35AC">
        <w:rPr>
          <w:rFonts w:cs="Times New Roman"/>
          <w:sz w:val="22"/>
          <w:szCs w:val="22"/>
          <w:lang w:val="es-ES" w:bidi="ar-SA"/>
        </w:rPr>
        <w:t>En relación con los principios de simplicidad y comprensibilidad, el texto propuesto ha sido redactado de forma estructurada y utilizando un lenguaje claro y comprensible.</w:t>
      </w:r>
    </w:p>
    <w:p w14:paraId="4F01D61D" w14:textId="77777777" w:rsidR="004C4D1A" w:rsidRPr="006C35AC" w:rsidRDefault="004C4D1A" w:rsidP="004C4D1A">
      <w:pPr>
        <w:spacing w:after="240"/>
        <w:jc w:val="both"/>
        <w:rPr>
          <w:rFonts w:cs="Times New Roman"/>
          <w:sz w:val="22"/>
          <w:szCs w:val="22"/>
          <w:lang w:val="es-ES" w:bidi="ar-SA"/>
        </w:rPr>
      </w:pPr>
      <w:r w:rsidRPr="006C35AC">
        <w:rPr>
          <w:rFonts w:cs="Times New Roman"/>
          <w:sz w:val="22"/>
          <w:szCs w:val="22"/>
          <w:lang w:val="es-ES" w:bidi="ar-SA"/>
        </w:rPr>
        <w:t>Finalmente, y en lo relativo a la rendición de cuentas, este decreto foral será evaluado y se podrá hacer un seguimiento en relación con su grado de cumplimiento a través del plan anual normativo.</w:t>
      </w:r>
    </w:p>
    <w:p w14:paraId="147FE30A" w14:textId="4E5ADBD0" w:rsidR="004C4D1A" w:rsidRPr="00AF390C" w:rsidRDefault="004C4D1A" w:rsidP="004C4D1A">
      <w:pPr>
        <w:spacing w:after="240"/>
        <w:jc w:val="both"/>
        <w:rPr>
          <w:rFonts w:cs="Times New Roman"/>
          <w:sz w:val="22"/>
          <w:szCs w:val="22"/>
          <w:lang w:val="es-ES" w:bidi="ar-SA"/>
        </w:rPr>
      </w:pPr>
      <w:r w:rsidRPr="006C35AC">
        <w:rPr>
          <w:rFonts w:cs="Times New Roman"/>
          <w:sz w:val="22"/>
          <w:szCs w:val="22"/>
          <w:lang w:val="es-ES" w:bidi="ar-SA"/>
        </w:rPr>
        <w:t xml:space="preserve">En sesión de </w:t>
      </w:r>
      <w:r w:rsidR="006C35AC" w:rsidRPr="006C35AC">
        <w:rPr>
          <w:rFonts w:cs="Times New Roman"/>
          <w:sz w:val="22"/>
          <w:szCs w:val="22"/>
          <w:highlight w:val="yellow"/>
          <w:lang w:val="es-ES" w:bidi="ar-SA"/>
        </w:rPr>
        <w:t>X</w:t>
      </w:r>
      <w:r w:rsidRPr="006C35AC">
        <w:rPr>
          <w:rFonts w:cs="Times New Roman"/>
          <w:sz w:val="22"/>
          <w:szCs w:val="22"/>
          <w:highlight w:val="yellow"/>
          <w:lang w:val="es-ES" w:bidi="ar-SA"/>
        </w:rPr>
        <w:t xml:space="preserve"> de </w:t>
      </w:r>
      <w:r w:rsidR="006C35AC" w:rsidRPr="006C35AC">
        <w:rPr>
          <w:rFonts w:cs="Times New Roman"/>
          <w:sz w:val="22"/>
          <w:szCs w:val="22"/>
          <w:highlight w:val="yellow"/>
          <w:lang w:val="es-ES" w:bidi="ar-SA"/>
        </w:rPr>
        <w:t>XXXX</w:t>
      </w:r>
      <w:r w:rsidRPr="006C35AC">
        <w:rPr>
          <w:rFonts w:cs="Times New Roman"/>
          <w:sz w:val="22"/>
          <w:szCs w:val="22"/>
          <w:highlight w:val="yellow"/>
          <w:lang w:val="es-ES" w:bidi="ar-SA"/>
        </w:rPr>
        <w:t xml:space="preserve"> de 2026</w:t>
      </w:r>
      <w:r w:rsidRPr="006C35AC">
        <w:rPr>
          <w:rFonts w:cs="Times New Roman"/>
          <w:sz w:val="22"/>
          <w:szCs w:val="22"/>
          <w:lang w:val="es-ES" w:bidi="ar-SA"/>
        </w:rPr>
        <w:t>, el Consejo de Administración del Instituto Foral de Bienestar Social ha acordado proponer al Consejo de Gobierno Foral el presente decreto, a propuesta del diputado foral del Departamento de Políticas Sociales y previa deliberación y aprobación del Consejo de Gobierno Foral en sesión celebrada en el día de la fecha.</w:t>
      </w:r>
    </w:p>
    <w:p w14:paraId="0935BB92" w14:textId="77777777" w:rsidR="004C4D1A" w:rsidRPr="00AF390C" w:rsidRDefault="004C4D1A" w:rsidP="004C4D1A">
      <w:pPr>
        <w:spacing w:after="240"/>
        <w:jc w:val="center"/>
        <w:rPr>
          <w:rFonts w:cs="Times New Roman"/>
          <w:b/>
          <w:bCs/>
          <w:sz w:val="22"/>
          <w:szCs w:val="22"/>
          <w:lang w:val="es-ES" w:bidi="ar-SA"/>
        </w:rPr>
      </w:pPr>
      <w:r w:rsidRPr="00AF390C">
        <w:rPr>
          <w:rFonts w:cs="Times New Roman"/>
          <w:b/>
          <w:bCs/>
          <w:sz w:val="22"/>
          <w:szCs w:val="22"/>
          <w:lang w:val="es-ES" w:bidi="ar-SA"/>
        </w:rPr>
        <w:t>DISPONGO</w:t>
      </w:r>
    </w:p>
    <w:p w14:paraId="791618C8" w14:textId="77777777" w:rsidR="00277194" w:rsidRPr="00AF390C" w:rsidRDefault="00277194" w:rsidP="00277194">
      <w:pPr>
        <w:spacing w:after="240"/>
        <w:jc w:val="both"/>
        <w:rPr>
          <w:rFonts w:cs="Times New Roman"/>
          <w:sz w:val="22"/>
          <w:szCs w:val="22"/>
          <w:lang w:val="es-ES" w:bidi="ar-SA"/>
        </w:rPr>
      </w:pPr>
      <w:r w:rsidRPr="00AF390C">
        <w:rPr>
          <w:rFonts w:cs="Times New Roman"/>
          <w:b/>
          <w:bCs/>
          <w:sz w:val="22"/>
          <w:szCs w:val="22"/>
          <w:lang w:val="es-ES" w:bidi="ar-SA"/>
        </w:rPr>
        <w:t>Primero.</w:t>
      </w:r>
      <w:r w:rsidRPr="00AF390C">
        <w:rPr>
          <w:rFonts w:cs="Times New Roman"/>
          <w:sz w:val="22"/>
          <w:szCs w:val="22"/>
          <w:lang w:val="es-ES" w:bidi="ar-SA"/>
        </w:rPr>
        <w:t xml:space="preserve"> Modificar el artículo 3 del </w:t>
      </w:r>
      <w:r w:rsidRPr="00A009AD">
        <w:rPr>
          <w:rFonts w:cs="Times New Roman"/>
          <w:sz w:val="22"/>
          <w:szCs w:val="22"/>
          <w:lang w:val="es-ES" w:bidi="ar-SA"/>
        </w:rPr>
        <w:t xml:space="preserve">Decreto Foral 35/2021, del Consejo de Gobierno Foral de 27 de julio, </w:t>
      </w:r>
      <w:r w:rsidRPr="00AF390C">
        <w:rPr>
          <w:rFonts w:cs="Times New Roman"/>
          <w:sz w:val="22"/>
          <w:szCs w:val="22"/>
          <w:lang w:val="es-ES" w:bidi="ar-SA"/>
        </w:rPr>
        <w:t>que queda redactado en los siguientes términos:</w:t>
      </w:r>
    </w:p>
    <w:p w14:paraId="22A081F2" w14:textId="77777777" w:rsidR="005C3F9A" w:rsidRPr="005C3F9A" w:rsidRDefault="005C3F9A" w:rsidP="005C3F9A">
      <w:pPr>
        <w:spacing w:after="240"/>
        <w:jc w:val="both"/>
        <w:rPr>
          <w:rFonts w:cs="Times New Roman"/>
          <w:bCs/>
          <w:sz w:val="22"/>
          <w:szCs w:val="22"/>
          <w:lang w:val="es-ES" w:bidi="ar-SA"/>
        </w:rPr>
      </w:pPr>
      <w:r w:rsidRPr="005C3F9A">
        <w:rPr>
          <w:rFonts w:cs="Times New Roman"/>
          <w:bCs/>
          <w:sz w:val="22"/>
          <w:szCs w:val="22"/>
          <w:lang w:val="es-ES" w:bidi="ar-SA"/>
        </w:rPr>
        <w:t xml:space="preserve">Artículo 3. Modalidades de acogimiento familiar y guarda con finalidad adoptiva </w:t>
      </w:r>
    </w:p>
    <w:p w14:paraId="02A5D418" w14:textId="77777777" w:rsidR="005C3F9A" w:rsidRPr="005C3F9A" w:rsidRDefault="005C3F9A" w:rsidP="005C3F9A">
      <w:pPr>
        <w:spacing w:after="240"/>
        <w:jc w:val="both"/>
        <w:rPr>
          <w:rFonts w:cs="Times New Roman"/>
          <w:bCs/>
          <w:sz w:val="22"/>
          <w:szCs w:val="22"/>
          <w:lang w:val="es-ES" w:bidi="ar-SA"/>
        </w:rPr>
      </w:pPr>
      <w:r w:rsidRPr="005C3F9A">
        <w:rPr>
          <w:rFonts w:cs="Times New Roman"/>
          <w:bCs/>
          <w:sz w:val="22"/>
          <w:szCs w:val="22"/>
          <w:lang w:val="es-ES" w:bidi="ar-SA"/>
        </w:rPr>
        <w:t xml:space="preserve">1. Las modalidades y requisitos del acogimiento familiar son los establecidos en los artículos 7 y 8 del Decreto 179/2018, de 11 de diciembre, por el que se regula el acogimiento familiar en la Comunidad Autónoma del País Vasco. </w:t>
      </w:r>
    </w:p>
    <w:p w14:paraId="2EC65285" w14:textId="77777777" w:rsidR="005C3F9A" w:rsidRPr="005C3F9A" w:rsidRDefault="005C3F9A" w:rsidP="005C3F9A">
      <w:pPr>
        <w:spacing w:after="240"/>
        <w:jc w:val="both"/>
        <w:rPr>
          <w:rFonts w:cs="Times New Roman"/>
          <w:bCs/>
          <w:sz w:val="22"/>
          <w:szCs w:val="22"/>
          <w:lang w:val="es-ES" w:bidi="ar-SA"/>
        </w:rPr>
      </w:pPr>
      <w:r w:rsidRPr="005C3F9A">
        <w:rPr>
          <w:rFonts w:cs="Times New Roman"/>
          <w:bCs/>
          <w:sz w:val="22"/>
          <w:szCs w:val="22"/>
          <w:lang w:val="es-ES" w:bidi="ar-SA"/>
        </w:rPr>
        <w:t xml:space="preserve">a. Atendiendo a la duración y objetivos del acogimiento familiar, éste puede presentar las siguientes modalidades: </w:t>
      </w:r>
    </w:p>
    <w:p w14:paraId="6E21FEE0" w14:textId="7518398C" w:rsidR="005C3F9A" w:rsidRPr="005C3F9A" w:rsidRDefault="005C3F9A" w:rsidP="005C3F9A">
      <w:pPr>
        <w:spacing w:after="240"/>
        <w:ind w:left="284"/>
        <w:jc w:val="both"/>
        <w:rPr>
          <w:rFonts w:cs="Times New Roman"/>
          <w:bCs/>
          <w:sz w:val="22"/>
          <w:szCs w:val="22"/>
          <w:lang w:val="es-ES" w:bidi="ar-SA"/>
        </w:rPr>
      </w:pPr>
      <w:r w:rsidRPr="005C3F9A">
        <w:rPr>
          <w:rFonts w:cs="Times New Roman"/>
          <w:bCs/>
          <w:sz w:val="22"/>
          <w:szCs w:val="22"/>
          <w:lang w:val="es-ES" w:bidi="ar-SA"/>
        </w:rPr>
        <w:lastRenderedPageBreak/>
        <w:t>a) Ac</w:t>
      </w:r>
      <w:r>
        <w:rPr>
          <w:rFonts w:cs="Times New Roman"/>
          <w:bCs/>
          <w:sz w:val="22"/>
          <w:szCs w:val="22"/>
          <w:lang w:val="es-ES" w:bidi="ar-SA"/>
        </w:rPr>
        <w:t>ogimiento familiar de urgencia.</w:t>
      </w:r>
    </w:p>
    <w:p w14:paraId="229357BF" w14:textId="77777777" w:rsidR="005C3F9A" w:rsidRPr="005C3F9A" w:rsidRDefault="005C3F9A" w:rsidP="005C3F9A">
      <w:pPr>
        <w:spacing w:after="240"/>
        <w:ind w:left="284"/>
        <w:jc w:val="both"/>
        <w:rPr>
          <w:rFonts w:cs="Times New Roman"/>
          <w:bCs/>
          <w:sz w:val="22"/>
          <w:szCs w:val="22"/>
          <w:lang w:val="es-ES" w:bidi="ar-SA"/>
        </w:rPr>
      </w:pPr>
      <w:r w:rsidRPr="005C3F9A">
        <w:rPr>
          <w:rFonts w:cs="Times New Roman"/>
          <w:bCs/>
          <w:sz w:val="22"/>
          <w:szCs w:val="22"/>
          <w:lang w:val="es-ES" w:bidi="ar-SA"/>
        </w:rPr>
        <w:t xml:space="preserve">b) Acogimiento familiar temporal. </w:t>
      </w:r>
    </w:p>
    <w:p w14:paraId="099A0B2A" w14:textId="46F401E9" w:rsidR="005C3F9A" w:rsidRPr="005C3F9A" w:rsidRDefault="005C3F9A" w:rsidP="005C3F9A">
      <w:pPr>
        <w:spacing w:after="240"/>
        <w:ind w:left="284"/>
        <w:jc w:val="both"/>
        <w:rPr>
          <w:rFonts w:cs="Times New Roman"/>
          <w:bCs/>
          <w:sz w:val="22"/>
          <w:szCs w:val="22"/>
          <w:lang w:val="es-ES" w:bidi="ar-SA"/>
        </w:rPr>
      </w:pPr>
      <w:r w:rsidRPr="005C3F9A">
        <w:rPr>
          <w:rFonts w:cs="Times New Roman"/>
          <w:bCs/>
          <w:sz w:val="22"/>
          <w:szCs w:val="22"/>
          <w:lang w:val="es-ES" w:bidi="ar-SA"/>
        </w:rPr>
        <w:t xml:space="preserve">c) Acogimiento familiar permanente. </w:t>
      </w:r>
    </w:p>
    <w:p w14:paraId="75AAF663" w14:textId="77777777" w:rsidR="005C3F9A" w:rsidRPr="005C3F9A" w:rsidRDefault="005C3F9A" w:rsidP="005C3F9A">
      <w:pPr>
        <w:spacing w:after="240"/>
        <w:jc w:val="both"/>
        <w:rPr>
          <w:rFonts w:cs="Times New Roman"/>
          <w:bCs/>
          <w:sz w:val="22"/>
          <w:szCs w:val="22"/>
          <w:lang w:val="es-ES" w:bidi="ar-SA"/>
        </w:rPr>
      </w:pPr>
      <w:r w:rsidRPr="005C3F9A">
        <w:rPr>
          <w:rFonts w:cs="Times New Roman"/>
          <w:bCs/>
          <w:sz w:val="22"/>
          <w:szCs w:val="22"/>
          <w:lang w:val="es-ES" w:bidi="ar-SA"/>
        </w:rPr>
        <w:t xml:space="preserve">b. Atendiendo a la vinculación de la persona menor de edad con la persona o familia acogedora y a las características que presenten las mismas, el acogimiento podrá tener lugar bajo las siguientes modalidades: </w:t>
      </w:r>
    </w:p>
    <w:p w14:paraId="3ABB33A5" w14:textId="77777777" w:rsidR="005C3F9A" w:rsidRPr="005C3F9A" w:rsidRDefault="005C3F9A" w:rsidP="005C3F9A">
      <w:pPr>
        <w:spacing w:after="240"/>
        <w:ind w:left="284"/>
        <w:jc w:val="both"/>
        <w:rPr>
          <w:rFonts w:cs="Times New Roman"/>
          <w:bCs/>
          <w:sz w:val="22"/>
          <w:szCs w:val="22"/>
          <w:lang w:val="es-ES" w:bidi="ar-SA"/>
        </w:rPr>
      </w:pPr>
      <w:r w:rsidRPr="005C3F9A">
        <w:rPr>
          <w:rFonts w:cs="Times New Roman"/>
          <w:bCs/>
          <w:sz w:val="22"/>
          <w:szCs w:val="22"/>
          <w:lang w:val="es-ES" w:bidi="ar-SA"/>
        </w:rPr>
        <w:t xml:space="preserve">a) En familia extensa. </w:t>
      </w:r>
    </w:p>
    <w:p w14:paraId="3AB90833" w14:textId="77777777" w:rsidR="005C3F9A" w:rsidRPr="009316AE" w:rsidRDefault="005C3F9A" w:rsidP="005C3F9A">
      <w:pPr>
        <w:spacing w:after="240"/>
        <w:ind w:left="284"/>
        <w:jc w:val="both"/>
        <w:rPr>
          <w:rFonts w:cs="Times New Roman"/>
          <w:bCs/>
          <w:sz w:val="22"/>
          <w:szCs w:val="22"/>
          <w:lang w:val="es-ES" w:bidi="ar-SA"/>
        </w:rPr>
      </w:pPr>
      <w:r w:rsidRPr="005C3F9A">
        <w:rPr>
          <w:rFonts w:cs="Times New Roman"/>
          <w:bCs/>
          <w:sz w:val="22"/>
          <w:szCs w:val="22"/>
          <w:lang w:val="es-ES" w:bidi="ar-SA"/>
        </w:rPr>
        <w:t xml:space="preserve">b) En familia </w:t>
      </w:r>
      <w:r w:rsidRPr="009316AE">
        <w:rPr>
          <w:rFonts w:cs="Times New Roman"/>
          <w:bCs/>
          <w:sz w:val="22"/>
          <w:szCs w:val="22"/>
          <w:lang w:val="es-ES" w:bidi="ar-SA"/>
        </w:rPr>
        <w:t xml:space="preserve">ajena. </w:t>
      </w:r>
    </w:p>
    <w:p w14:paraId="521C2D6A" w14:textId="592391B1" w:rsidR="001E2D1D" w:rsidRPr="009316AE" w:rsidRDefault="005C3F9A" w:rsidP="005C3F9A">
      <w:pPr>
        <w:spacing w:after="240"/>
        <w:jc w:val="both"/>
        <w:rPr>
          <w:rFonts w:cs="Times New Roman"/>
          <w:bCs/>
          <w:sz w:val="22"/>
          <w:szCs w:val="22"/>
          <w:lang w:val="es-ES" w:bidi="ar-SA"/>
        </w:rPr>
      </w:pPr>
      <w:r w:rsidRPr="009316AE">
        <w:rPr>
          <w:rFonts w:cs="Times New Roman"/>
          <w:bCs/>
          <w:sz w:val="22"/>
          <w:szCs w:val="22"/>
          <w:lang w:val="es-ES" w:bidi="ar-SA"/>
        </w:rPr>
        <w:t xml:space="preserve">c. </w:t>
      </w:r>
      <w:r w:rsidR="001E2D1D" w:rsidRPr="009316AE">
        <w:rPr>
          <w:rFonts w:cs="Times New Roman"/>
          <w:bCs/>
          <w:sz w:val="22"/>
          <w:szCs w:val="22"/>
          <w:lang w:val="es-ES" w:bidi="ar-SA"/>
        </w:rPr>
        <w:t>Atendiendo al perfil de la persona menor de edad acogida, el acogimiento podrá tener lugar bajo las siguientes modalidades:</w:t>
      </w:r>
    </w:p>
    <w:p w14:paraId="212B8F6C" w14:textId="5666AD28" w:rsidR="001E2D1D" w:rsidRPr="009316AE" w:rsidRDefault="001E2D1D" w:rsidP="0069018A">
      <w:pPr>
        <w:spacing w:after="240"/>
        <w:ind w:left="284"/>
        <w:jc w:val="both"/>
        <w:rPr>
          <w:rFonts w:cs="Times New Roman"/>
          <w:bCs/>
          <w:sz w:val="22"/>
          <w:szCs w:val="22"/>
          <w:lang w:val="es-ES" w:bidi="ar-SA"/>
        </w:rPr>
      </w:pPr>
      <w:r w:rsidRPr="009316AE">
        <w:rPr>
          <w:rFonts w:cs="Times New Roman"/>
          <w:bCs/>
          <w:sz w:val="22"/>
          <w:szCs w:val="22"/>
          <w:lang w:val="es-ES" w:bidi="ar-SA"/>
        </w:rPr>
        <w:t>a) Ordinarios</w:t>
      </w:r>
      <w:r w:rsidR="0069018A" w:rsidRPr="009316AE">
        <w:rPr>
          <w:rFonts w:cs="Times New Roman"/>
          <w:bCs/>
          <w:sz w:val="22"/>
          <w:szCs w:val="22"/>
          <w:lang w:val="es-ES" w:bidi="ar-SA"/>
        </w:rPr>
        <w:t>, cuando las personas menores de edad no presenten necesidades o circunstancias especiales.</w:t>
      </w:r>
    </w:p>
    <w:p w14:paraId="73B2DA68" w14:textId="1113F18B" w:rsidR="00E04B7E" w:rsidRPr="00E04B7E" w:rsidRDefault="001E2D1D" w:rsidP="00E04B7E">
      <w:pPr>
        <w:spacing w:after="240"/>
        <w:ind w:left="284"/>
        <w:jc w:val="both"/>
        <w:rPr>
          <w:rFonts w:ascii="open_sans_regular" w:hAnsi="open_sans_regular" w:cs="Times New Roman"/>
          <w:sz w:val="23"/>
          <w:szCs w:val="23"/>
          <w:lang w:val="es-ES" w:bidi="ar-SA"/>
        </w:rPr>
      </w:pPr>
      <w:r w:rsidRPr="009316AE">
        <w:rPr>
          <w:rFonts w:cs="Times New Roman"/>
          <w:bCs/>
          <w:sz w:val="22"/>
          <w:szCs w:val="22"/>
          <w:lang w:val="es-ES" w:bidi="ar-SA"/>
        </w:rPr>
        <w:t>b) De necesidad</w:t>
      </w:r>
      <w:r w:rsidR="0069018A" w:rsidRPr="009316AE">
        <w:rPr>
          <w:rFonts w:cs="Times New Roman"/>
          <w:bCs/>
          <w:sz w:val="22"/>
          <w:szCs w:val="22"/>
          <w:lang w:val="es-ES" w:bidi="ar-SA"/>
        </w:rPr>
        <w:t>es</w:t>
      </w:r>
      <w:r w:rsidRPr="009316AE">
        <w:rPr>
          <w:rFonts w:cs="Times New Roman"/>
          <w:bCs/>
          <w:sz w:val="22"/>
          <w:szCs w:val="22"/>
          <w:lang w:val="es-ES" w:bidi="ar-SA"/>
        </w:rPr>
        <w:t xml:space="preserve"> especial</w:t>
      </w:r>
      <w:r w:rsidR="0069018A" w:rsidRPr="009316AE">
        <w:rPr>
          <w:rFonts w:cs="Times New Roman"/>
          <w:bCs/>
          <w:sz w:val="22"/>
          <w:szCs w:val="22"/>
          <w:lang w:val="es-ES" w:bidi="ar-SA"/>
        </w:rPr>
        <w:t>es, cuando las personas menores de edad presenten necesidades o circunstancias especiales de acuerdo con lo dispuesto en el artículo 6 del Decreto 179/2018, de 11 de diciembre, por el que se regula el acogimiento familiar en la Comunidad Autónoma del Pa</w:t>
      </w:r>
      <w:r w:rsidR="00E04B7E" w:rsidRPr="009316AE">
        <w:rPr>
          <w:rFonts w:cs="Times New Roman"/>
          <w:bCs/>
          <w:sz w:val="22"/>
          <w:szCs w:val="22"/>
          <w:lang w:val="es-ES" w:bidi="ar-SA"/>
        </w:rPr>
        <w:t xml:space="preserve">ís Vasco, que </w:t>
      </w:r>
      <w:r w:rsidR="009316AE">
        <w:rPr>
          <w:rFonts w:cs="Times New Roman"/>
          <w:bCs/>
          <w:sz w:val="22"/>
          <w:szCs w:val="22"/>
          <w:lang w:val="es-ES" w:bidi="ar-SA"/>
        </w:rPr>
        <w:t>son las siguientes</w:t>
      </w:r>
      <w:r w:rsidR="00E04B7E" w:rsidRPr="00E04B7E">
        <w:rPr>
          <w:rFonts w:ascii="open_sans_regular" w:hAnsi="open_sans_regular" w:cs="Times New Roman"/>
          <w:sz w:val="23"/>
          <w:szCs w:val="23"/>
          <w:lang w:val="es-ES" w:bidi="ar-SA"/>
        </w:rPr>
        <w:t>:</w:t>
      </w:r>
    </w:p>
    <w:p w14:paraId="3B2E9F00" w14:textId="63D6778A" w:rsidR="00E04B7E" w:rsidRPr="00E04B7E" w:rsidRDefault="00E04B7E" w:rsidP="00E04B7E">
      <w:pPr>
        <w:spacing w:after="240"/>
        <w:ind w:left="851"/>
        <w:jc w:val="both"/>
        <w:rPr>
          <w:rFonts w:cs="Times New Roman"/>
          <w:bCs/>
          <w:sz w:val="22"/>
          <w:szCs w:val="22"/>
          <w:lang w:val="es-ES" w:bidi="ar-SA"/>
        </w:rPr>
      </w:pPr>
      <w:r w:rsidRPr="00E04B7E">
        <w:rPr>
          <w:rFonts w:cs="Times New Roman"/>
          <w:bCs/>
          <w:sz w:val="22"/>
          <w:szCs w:val="22"/>
          <w:lang w:val="es-ES" w:bidi="ar-SA"/>
        </w:rPr>
        <w:t>a) Grupos de hermanos o de hermanas o en reagrupamiento familiar.</w:t>
      </w:r>
    </w:p>
    <w:p w14:paraId="0696A084" w14:textId="77777777" w:rsidR="00E04B7E" w:rsidRPr="00E04B7E" w:rsidRDefault="00E04B7E" w:rsidP="00E04B7E">
      <w:pPr>
        <w:spacing w:after="240"/>
        <w:ind w:left="851"/>
        <w:jc w:val="both"/>
        <w:rPr>
          <w:rFonts w:cs="Times New Roman"/>
          <w:bCs/>
          <w:sz w:val="22"/>
          <w:szCs w:val="22"/>
          <w:lang w:val="es-ES" w:bidi="ar-SA"/>
        </w:rPr>
      </w:pPr>
      <w:r w:rsidRPr="00E04B7E">
        <w:rPr>
          <w:rFonts w:cs="Times New Roman"/>
          <w:bCs/>
          <w:sz w:val="22"/>
          <w:szCs w:val="22"/>
          <w:lang w:val="es-ES" w:bidi="ar-SA"/>
        </w:rPr>
        <w:t>b) Niñas o niños de edad igual o superior a siete años.</w:t>
      </w:r>
    </w:p>
    <w:p w14:paraId="06C3B154" w14:textId="77777777" w:rsidR="00E04B7E" w:rsidRPr="00E04B7E" w:rsidRDefault="00E04B7E" w:rsidP="00E04B7E">
      <w:pPr>
        <w:spacing w:after="240"/>
        <w:ind w:left="851"/>
        <w:jc w:val="both"/>
        <w:rPr>
          <w:rFonts w:cs="Times New Roman"/>
          <w:bCs/>
          <w:sz w:val="22"/>
          <w:szCs w:val="22"/>
          <w:lang w:val="es-ES" w:bidi="ar-SA"/>
        </w:rPr>
      </w:pPr>
      <w:r w:rsidRPr="00E04B7E">
        <w:rPr>
          <w:rFonts w:cs="Times New Roman"/>
          <w:bCs/>
          <w:sz w:val="22"/>
          <w:szCs w:val="22"/>
          <w:lang w:val="es-ES" w:bidi="ar-SA"/>
        </w:rPr>
        <w:t>c) Personas menores de edad con discapacidad reconocida.</w:t>
      </w:r>
    </w:p>
    <w:p w14:paraId="0D8E144F" w14:textId="77777777" w:rsidR="00E04B7E" w:rsidRPr="00E04B7E" w:rsidRDefault="00E04B7E" w:rsidP="00E04B7E">
      <w:pPr>
        <w:spacing w:after="240"/>
        <w:ind w:left="851"/>
        <w:jc w:val="both"/>
        <w:rPr>
          <w:rFonts w:cs="Times New Roman"/>
          <w:bCs/>
          <w:sz w:val="22"/>
          <w:szCs w:val="22"/>
          <w:lang w:val="es-ES" w:bidi="ar-SA"/>
        </w:rPr>
      </w:pPr>
      <w:r w:rsidRPr="00E04B7E">
        <w:rPr>
          <w:rFonts w:cs="Times New Roman"/>
          <w:bCs/>
          <w:sz w:val="22"/>
          <w:szCs w:val="22"/>
          <w:lang w:val="es-ES" w:bidi="ar-SA"/>
        </w:rPr>
        <w:t>d) Personas menores de edad con problemas de salud especiales o de riesgo.</w:t>
      </w:r>
    </w:p>
    <w:p w14:paraId="0EA2D0D0" w14:textId="77777777" w:rsidR="00E04B7E" w:rsidRPr="00E04B7E" w:rsidRDefault="00E04B7E" w:rsidP="00E04B7E">
      <w:pPr>
        <w:spacing w:after="240"/>
        <w:ind w:left="851"/>
        <w:jc w:val="both"/>
        <w:rPr>
          <w:rFonts w:cs="Times New Roman"/>
          <w:bCs/>
          <w:sz w:val="22"/>
          <w:szCs w:val="22"/>
          <w:lang w:val="es-ES" w:bidi="ar-SA"/>
        </w:rPr>
      </w:pPr>
      <w:r w:rsidRPr="00E04B7E">
        <w:rPr>
          <w:rFonts w:cs="Times New Roman"/>
          <w:bCs/>
          <w:sz w:val="22"/>
          <w:szCs w:val="22"/>
          <w:lang w:val="es-ES" w:bidi="ar-SA"/>
        </w:rPr>
        <w:t>e) Personas menores de edad con problemas de conducta o adaptación que dificulten su plena integración familiar y social.</w:t>
      </w:r>
    </w:p>
    <w:p w14:paraId="609FCBBB" w14:textId="77777777" w:rsidR="00E04B7E" w:rsidRPr="00E04B7E" w:rsidRDefault="00E04B7E" w:rsidP="00E04B7E">
      <w:pPr>
        <w:spacing w:after="240"/>
        <w:ind w:left="851"/>
        <w:jc w:val="both"/>
        <w:rPr>
          <w:rFonts w:cs="Times New Roman"/>
          <w:bCs/>
          <w:sz w:val="22"/>
          <w:szCs w:val="22"/>
          <w:lang w:val="es-ES" w:bidi="ar-SA"/>
        </w:rPr>
      </w:pPr>
      <w:r w:rsidRPr="00E04B7E">
        <w:rPr>
          <w:rFonts w:cs="Times New Roman"/>
          <w:bCs/>
          <w:sz w:val="22"/>
          <w:szCs w:val="22"/>
          <w:lang w:val="es-ES" w:bidi="ar-SA"/>
        </w:rPr>
        <w:t xml:space="preserve">f) Personas extranjeras menores de </w:t>
      </w:r>
      <w:proofErr w:type="gramStart"/>
      <w:r w:rsidRPr="00E04B7E">
        <w:rPr>
          <w:rFonts w:cs="Times New Roman"/>
          <w:bCs/>
          <w:sz w:val="22"/>
          <w:szCs w:val="22"/>
          <w:lang w:val="es-ES" w:bidi="ar-SA"/>
        </w:rPr>
        <w:t>edad no acompañadas</w:t>
      </w:r>
      <w:proofErr w:type="gramEnd"/>
      <w:r w:rsidRPr="00E04B7E">
        <w:rPr>
          <w:rFonts w:cs="Times New Roman"/>
          <w:bCs/>
          <w:sz w:val="22"/>
          <w:szCs w:val="22"/>
          <w:lang w:val="es-ES" w:bidi="ar-SA"/>
        </w:rPr>
        <w:t xml:space="preserve"> o sin referentes familiares.</w:t>
      </w:r>
    </w:p>
    <w:p w14:paraId="1321F72A" w14:textId="49E1F6A1" w:rsidR="00E04B7E" w:rsidRPr="009316AE" w:rsidRDefault="00E04B7E" w:rsidP="00E04B7E">
      <w:pPr>
        <w:spacing w:after="240"/>
        <w:ind w:left="851"/>
        <w:jc w:val="both"/>
        <w:rPr>
          <w:rFonts w:cs="Times New Roman"/>
          <w:bCs/>
          <w:sz w:val="22"/>
          <w:szCs w:val="22"/>
          <w:lang w:val="es-ES" w:bidi="ar-SA"/>
        </w:rPr>
      </w:pPr>
      <w:r w:rsidRPr="00E04B7E">
        <w:rPr>
          <w:rFonts w:cs="Times New Roman"/>
          <w:bCs/>
          <w:sz w:val="22"/>
          <w:szCs w:val="22"/>
          <w:lang w:val="es-ES" w:bidi="ar-SA"/>
        </w:rPr>
        <w:t>g) Personas menores de edad con otras necesidades especiale</w:t>
      </w:r>
      <w:r w:rsidRPr="009316AE">
        <w:rPr>
          <w:rFonts w:cs="Times New Roman"/>
          <w:bCs/>
          <w:sz w:val="22"/>
          <w:szCs w:val="22"/>
          <w:lang w:val="es-ES" w:bidi="ar-SA"/>
        </w:rPr>
        <w:t>s.</w:t>
      </w:r>
    </w:p>
    <w:p w14:paraId="677C5C66" w14:textId="6507081B" w:rsidR="005C3F9A" w:rsidRPr="009316AE" w:rsidRDefault="001E2D1D" w:rsidP="005C3F9A">
      <w:pPr>
        <w:spacing w:after="240"/>
        <w:jc w:val="both"/>
        <w:rPr>
          <w:rFonts w:cs="Times New Roman"/>
          <w:bCs/>
          <w:sz w:val="22"/>
          <w:szCs w:val="22"/>
          <w:lang w:val="es-ES" w:bidi="ar-SA"/>
        </w:rPr>
      </w:pPr>
      <w:r w:rsidRPr="009316AE">
        <w:rPr>
          <w:rFonts w:cs="Times New Roman"/>
          <w:bCs/>
          <w:sz w:val="22"/>
          <w:szCs w:val="22"/>
          <w:lang w:val="es-ES" w:bidi="ar-SA"/>
        </w:rPr>
        <w:t xml:space="preserve">d. </w:t>
      </w:r>
      <w:r w:rsidR="005C3F9A" w:rsidRPr="009316AE">
        <w:rPr>
          <w:rFonts w:cs="Times New Roman"/>
          <w:bCs/>
          <w:sz w:val="22"/>
          <w:szCs w:val="22"/>
          <w:lang w:val="es-ES" w:bidi="ar-SA"/>
        </w:rPr>
        <w:t>Atendiendo al contenido de la atención dispensada, el acogimiento podrá tener lugar bajo las siguientes modalidades:</w:t>
      </w:r>
    </w:p>
    <w:p w14:paraId="28F1A706" w14:textId="62CD8C24" w:rsidR="005C3F9A" w:rsidRPr="009316AE" w:rsidRDefault="005C3F9A" w:rsidP="005C3F9A">
      <w:pPr>
        <w:spacing w:after="240"/>
        <w:ind w:left="284"/>
        <w:jc w:val="both"/>
        <w:rPr>
          <w:rFonts w:cs="Times New Roman"/>
          <w:bCs/>
          <w:sz w:val="22"/>
          <w:szCs w:val="22"/>
          <w:lang w:val="es-ES" w:bidi="ar-SA"/>
        </w:rPr>
      </w:pPr>
      <w:r w:rsidRPr="009316AE">
        <w:rPr>
          <w:rFonts w:cs="Times New Roman"/>
          <w:bCs/>
          <w:sz w:val="22"/>
          <w:szCs w:val="22"/>
          <w:lang w:val="es-ES" w:bidi="ar-SA"/>
        </w:rPr>
        <w:t>a)</w:t>
      </w:r>
      <w:r w:rsidR="00485711" w:rsidRPr="009316AE">
        <w:rPr>
          <w:rFonts w:cs="Times New Roman"/>
          <w:bCs/>
          <w:sz w:val="22"/>
          <w:szCs w:val="22"/>
          <w:lang w:val="es-ES" w:bidi="ar-SA"/>
        </w:rPr>
        <w:t xml:space="preserve"> </w:t>
      </w:r>
      <w:r w:rsidR="001E2D1D" w:rsidRPr="009316AE">
        <w:rPr>
          <w:rFonts w:cs="Times New Roman"/>
          <w:bCs/>
          <w:sz w:val="22"/>
          <w:szCs w:val="22"/>
          <w:lang w:val="es-ES" w:bidi="ar-SA"/>
        </w:rPr>
        <w:t>No especializados</w:t>
      </w:r>
      <w:r w:rsidRPr="009316AE">
        <w:rPr>
          <w:rFonts w:cs="Times New Roman"/>
          <w:bCs/>
          <w:sz w:val="22"/>
          <w:szCs w:val="22"/>
          <w:lang w:val="es-ES" w:bidi="ar-SA"/>
        </w:rPr>
        <w:t xml:space="preserve">, para los supuestos en los que </w:t>
      </w:r>
      <w:r w:rsidR="001E2D1D" w:rsidRPr="009316AE">
        <w:rPr>
          <w:rFonts w:cs="Times New Roman"/>
          <w:bCs/>
          <w:sz w:val="22"/>
          <w:szCs w:val="22"/>
          <w:lang w:val="es-ES" w:bidi="ar-SA"/>
        </w:rPr>
        <w:t>la persona menor de edad</w:t>
      </w:r>
      <w:r w:rsidRPr="009316AE">
        <w:rPr>
          <w:rFonts w:cs="Times New Roman"/>
          <w:bCs/>
          <w:sz w:val="22"/>
          <w:szCs w:val="22"/>
          <w:lang w:val="es-ES" w:bidi="ar-SA"/>
        </w:rPr>
        <w:t xml:space="preserve"> no demande una atención específica y no se requiera cualificación, experiencia o formación específica a la persona o familia acogedora.</w:t>
      </w:r>
    </w:p>
    <w:p w14:paraId="59A14F38" w14:textId="14FBF6BF" w:rsidR="005C3F9A" w:rsidRPr="009316AE" w:rsidRDefault="005C3F9A" w:rsidP="005C3F9A">
      <w:pPr>
        <w:spacing w:after="240"/>
        <w:ind w:left="284"/>
        <w:jc w:val="both"/>
        <w:rPr>
          <w:rFonts w:cs="Times New Roman"/>
          <w:bCs/>
          <w:sz w:val="22"/>
          <w:szCs w:val="22"/>
          <w:lang w:val="es-ES" w:bidi="ar-SA"/>
        </w:rPr>
      </w:pPr>
      <w:r>
        <w:rPr>
          <w:rFonts w:cs="Times New Roman"/>
          <w:bCs/>
          <w:sz w:val="22"/>
          <w:szCs w:val="22"/>
          <w:lang w:val="es-ES" w:bidi="ar-SA"/>
        </w:rPr>
        <w:lastRenderedPageBreak/>
        <w:t xml:space="preserve">b) </w:t>
      </w:r>
      <w:r w:rsidRPr="005C3F9A">
        <w:rPr>
          <w:rFonts w:cs="Times New Roman"/>
          <w:bCs/>
          <w:sz w:val="22"/>
          <w:szCs w:val="22"/>
          <w:lang w:val="es-ES" w:bidi="ar-SA"/>
        </w:rPr>
        <w:t xml:space="preserve">Especializados, para los supuestos en los que la atención se desarrolle en una familia en la que, al menos, uno de sus miembros dispone de una cualificación, experiencia y formación específica para desempeñar esta función respecto de personas menores de edad con necesidades o </w:t>
      </w:r>
      <w:r w:rsidRPr="009316AE">
        <w:rPr>
          <w:rFonts w:cs="Times New Roman"/>
          <w:bCs/>
          <w:sz w:val="22"/>
          <w:szCs w:val="22"/>
          <w:lang w:val="es-ES" w:bidi="ar-SA"/>
        </w:rPr>
        <w:t>circunstancias especiales, en atención con la definición dada en el artículo 226.5 de la Ley 2/2024, de 15 de junio, de Infancia y Adolescencia, y en el Decreto 179/2018, de 11 de diciembre, por el que se regula el acogimiento familiar en la Comunidad Autónoma del País Vasco.</w:t>
      </w:r>
    </w:p>
    <w:p w14:paraId="1C690078" w14:textId="77777777" w:rsidR="005C3F9A" w:rsidRPr="009316AE" w:rsidRDefault="005C3F9A" w:rsidP="00503ACB">
      <w:pPr>
        <w:spacing w:after="240"/>
        <w:ind w:left="284"/>
        <w:jc w:val="both"/>
        <w:rPr>
          <w:rFonts w:cs="Times New Roman"/>
          <w:bCs/>
          <w:sz w:val="22"/>
          <w:szCs w:val="22"/>
          <w:lang w:val="es-ES" w:bidi="ar-SA"/>
        </w:rPr>
      </w:pPr>
      <w:r w:rsidRPr="009316AE">
        <w:rPr>
          <w:rFonts w:cs="Times New Roman"/>
          <w:bCs/>
          <w:sz w:val="22"/>
          <w:szCs w:val="22"/>
          <w:lang w:val="es-ES" w:bidi="ar-SA"/>
        </w:rPr>
        <w:t>A su vez, el acogimiento familiar especializado podrá ser:</w:t>
      </w:r>
    </w:p>
    <w:p w14:paraId="0343CF5E" w14:textId="04A6EB08" w:rsidR="005C3F9A" w:rsidRPr="009316AE" w:rsidRDefault="00503ACB" w:rsidP="00503ACB">
      <w:pPr>
        <w:spacing w:after="240"/>
        <w:ind w:left="567"/>
        <w:jc w:val="both"/>
        <w:rPr>
          <w:rFonts w:cs="Times New Roman"/>
          <w:bCs/>
          <w:sz w:val="22"/>
          <w:szCs w:val="22"/>
          <w:lang w:val="es-ES" w:bidi="ar-SA"/>
        </w:rPr>
      </w:pPr>
      <w:r w:rsidRPr="009316AE">
        <w:rPr>
          <w:rFonts w:cs="Times New Roman"/>
          <w:bCs/>
          <w:sz w:val="22"/>
          <w:szCs w:val="22"/>
          <w:lang w:val="es-ES" w:bidi="ar-SA"/>
        </w:rPr>
        <w:t xml:space="preserve">1) </w:t>
      </w:r>
      <w:r w:rsidR="005C3F9A" w:rsidRPr="009316AE">
        <w:rPr>
          <w:rFonts w:cs="Times New Roman"/>
          <w:bCs/>
          <w:sz w:val="22"/>
          <w:szCs w:val="22"/>
          <w:lang w:val="es-ES" w:bidi="ar-SA"/>
        </w:rPr>
        <w:t xml:space="preserve">De especial dedicación: Acogimientos </w:t>
      </w:r>
      <w:r w:rsidR="00A85F2D" w:rsidRPr="009316AE">
        <w:rPr>
          <w:rFonts w:cs="Times New Roman"/>
          <w:bCs/>
          <w:sz w:val="22"/>
          <w:szCs w:val="22"/>
          <w:lang w:val="es-ES" w:bidi="ar-SA"/>
        </w:rPr>
        <w:t xml:space="preserve">familiares </w:t>
      </w:r>
      <w:r w:rsidR="00CF07C7" w:rsidRPr="009316AE">
        <w:rPr>
          <w:rFonts w:cs="Times New Roman"/>
          <w:bCs/>
          <w:sz w:val="22"/>
          <w:szCs w:val="22"/>
          <w:lang w:val="es-ES" w:bidi="ar-SA"/>
        </w:rPr>
        <w:t xml:space="preserve">con personas menores </w:t>
      </w:r>
      <w:r w:rsidR="00A85F2D" w:rsidRPr="009316AE">
        <w:rPr>
          <w:rFonts w:cs="Times New Roman"/>
          <w:bCs/>
          <w:sz w:val="22"/>
          <w:szCs w:val="22"/>
          <w:lang w:val="es-ES" w:bidi="ar-SA"/>
        </w:rPr>
        <w:t xml:space="preserve">de edad </w:t>
      </w:r>
      <w:r w:rsidR="00CF07C7" w:rsidRPr="009316AE">
        <w:rPr>
          <w:rFonts w:cs="Times New Roman"/>
          <w:bCs/>
          <w:sz w:val="22"/>
          <w:szCs w:val="22"/>
          <w:lang w:val="es-ES" w:bidi="ar-SA"/>
        </w:rPr>
        <w:t>que no presenten especiales dificultades conductuales, problemas graves de salud física o discapacidad intelectual severa, pero que exijan de las personas acogedoras una especial dedicación, formación y experiencia, sin que para ello sea preciso un nivel técnico altamente cualificado.</w:t>
      </w:r>
      <w:r w:rsidR="005C3F9A" w:rsidRPr="009316AE">
        <w:rPr>
          <w:rFonts w:cs="Times New Roman"/>
          <w:bCs/>
          <w:sz w:val="22"/>
          <w:szCs w:val="22"/>
          <w:lang w:val="es-ES" w:bidi="ar-SA"/>
        </w:rPr>
        <w:t xml:space="preserve"> </w:t>
      </w:r>
    </w:p>
    <w:p w14:paraId="5B76FF78" w14:textId="77777777" w:rsidR="005C3F9A" w:rsidRPr="009316AE" w:rsidRDefault="005C3F9A" w:rsidP="00503ACB">
      <w:pPr>
        <w:spacing w:after="240"/>
        <w:ind w:left="567"/>
        <w:jc w:val="both"/>
        <w:rPr>
          <w:rFonts w:cs="Times New Roman"/>
          <w:bCs/>
          <w:sz w:val="22"/>
          <w:szCs w:val="22"/>
          <w:lang w:val="es-ES" w:bidi="ar-SA"/>
        </w:rPr>
      </w:pPr>
      <w:r w:rsidRPr="009316AE">
        <w:rPr>
          <w:rFonts w:cs="Times New Roman"/>
          <w:bCs/>
          <w:sz w:val="22"/>
          <w:szCs w:val="22"/>
          <w:lang w:val="es-ES" w:bidi="ar-SA"/>
        </w:rPr>
        <w:t>Estos acogimientos son compatibles con el desempeño de un trabajo, profesión o cargo en cualquier modalidad, tanto por cuenta propia como por cuenta ajena.</w:t>
      </w:r>
    </w:p>
    <w:p w14:paraId="7F3392E2" w14:textId="12933F17" w:rsidR="005C3F9A" w:rsidRPr="009316AE" w:rsidRDefault="00503ACB" w:rsidP="00503ACB">
      <w:pPr>
        <w:spacing w:after="240"/>
        <w:ind w:left="567"/>
        <w:jc w:val="both"/>
        <w:rPr>
          <w:rFonts w:cs="Times New Roman"/>
          <w:bCs/>
          <w:sz w:val="22"/>
          <w:szCs w:val="22"/>
          <w:lang w:val="es-ES" w:bidi="ar-SA"/>
        </w:rPr>
      </w:pPr>
      <w:r w:rsidRPr="009316AE">
        <w:rPr>
          <w:rFonts w:cs="Times New Roman"/>
          <w:bCs/>
          <w:sz w:val="22"/>
          <w:szCs w:val="22"/>
          <w:lang w:val="es-ES" w:bidi="ar-SA"/>
        </w:rPr>
        <w:t xml:space="preserve">2) </w:t>
      </w:r>
      <w:r w:rsidR="005C3F9A" w:rsidRPr="009316AE">
        <w:rPr>
          <w:rFonts w:cs="Times New Roman"/>
          <w:bCs/>
          <w:sz w:val="22"/>
          <w:szCs w:val="22"/>
          <w:lang w:val="es-ES" w:bidi="ar-SA"/>
        </w:rPr>
        <w:t xml:space="preserve">De especial preparación: </w:t>
      </w:r>
      <w:r w:rsidR="00CF07C7" w:rsidRPr="009316AE">
        <w:rPr>
          <w:rFonts w:cs="Times New Roman"/>
          <w:bCs/>
          <w:sz w:val="22"/>
          <w:szCs w:val="22"/>
          <w:lang w:val="es-ES" w:bidi="ar-SA"/>
        </w:rPr>
        <w:t xml:space="preserve">Acogimientos </w:t>
      </w:r>
      <w:r w:rsidR="00A85F2D" w:rsidRPr="009316AE">
        <w:rPr>
          <w:rFonts w:cs="Times New Roman"/>
          <w:bCs/>
          <w:sz w:val="22"/>
          <w:szCs w:val="22"/>
          <w:lang w:val="es-ES" w:bidi="ar-SA"/>
        </w:rPr>
        <w:t xml:space="preserve">familiares </w:t>
      </w:r>
      <w:r w:rsidR="00CF07C7" w:rsidRPr="009316AE">
        <w:rPr>
          <w:rFonts w:cs="Times New Roman"/>
          <w:bCs/>
          <w:sz w:val="22"/>
          <w:szCs w:val="22"/>
          <w:lang w:val="es-ES" w:bidi="ar-SA"/>
        </w:rPr>
        <w:t>con personas menores de edad con graves problemas de conducta, de salud mental, de adaptación, y en general con patologías que exijan una intensidad elevada en la atención e intervención y una especialmente cualificada preparación, formación y experiencia en las personas acogedoras, de acuerdo con el programa específico que se desarrolle al efecto</w:t>
      </w:r>
      <w:r w:rsidR="005C3F9A" w:rsidRPr="009316AE">
        <w:rPr>
          <w:rFonts w:cs="Times New Roman"/>
          <w:bCs/>
          <w:sz w:val="22"/>
          <w:szCs w:val="22"/>
          <w:lang w:val="es-ES" w:bidi="ar-SA"/>
        </w:rPr>
        <w:t xml:space="preserve">. </w:t>
      </w:r>
    </w:p>
    <w:p w14:paraId="7896D558" w14:textId="12F21263" w:rsidR="005C3F9A" w:rsidRPr="005C3F9A" w:rsidRDefault="005C3F9A" w:rsidP="00503ACB">
      <w:pPr>
        <w:spacing w:after="240"/>
        <w:ind w:left="567"/>
        <w:jc w:val="both"/>
        <w:rPr>
          <w:rFonts w:cs="Times New Roman"/>
          <w:bCs/>
          <w:sz w:val="22"/>
          <w:szCs w:val="22"/>
          <w:lang w:val="es-ES" w:bidi="ar-SA"/>
        </w:rPr>
      </w:pPr>
      <w:r w:rsidRPr="005C3F9A">
        <w:rPr>
          <w:rFonts w:cs="Times New Roman"/>
          <w:bCs/>
          <w:sz w:val="22"/>
          <w:szCs w:val="22"/>
          <w:lang w:val="es-ES" w:bidi="ar-SA"/>
        </w:rPr>
        <w:t xml:space="preserve">Estos </w:t>
      </w:r>
      <w:r w:rsidRPr="009316AE">
        <w:rPr>
          <w:rFonts w:cs="Times New Roman"/>
          <w:bCs/>
          <w:sz w:val="22"/>
          <w:szCs w:val="22"/>
          <w:lang w:val="es-ES" w:bidi="ar-SA"/>
        </w:rPr>
        <w:t xml:space="preserve">acogimientos </w:t>
      </w:r>
      <w:r w:rsidR="00A85F2D" w:rsidRPr="009316AE">
        <w:rPr>
          <w:rFonts w:cs="Times New Roman"/>
          <w:bCs/>
          <w:sz w:val="22"/>
          <w:szCs w:val="22"/>
          <w:lang w:val="es-ES" w:bidi="ar-SA"/>
        </w:rPr>
        <w:t xml:space="preserve">familiares </w:t>
      </w:r>
      <w:r w:rsidR="009316AE" w:rsidRPr="009316AE">
        <w:rPr>
          <w:rFonts w:cs="Times New Roman"/>
          <w:bCs/>
          <w:sz w:val="22"/>
          <w:szCs w:val="22"/>
          <w:lang w:val="es-ES" w:bidi="ar-SA"/>
        </w:rPr>
        <w:t>podrán ser compatibles</w:t>
      </w:r>
      <w:r w:rsidRPr="009316AE">
        <w:rPr>
          <w:rFonts w:cs="Times New Roman"/>
          <w:bCs/>
          <w:sz w:val="22"/>
          <w:szCs w:val="22"/>
          <w:lang w:val="es-ES" w:bidi="ar-SA"/>
        </w:rPr>
        <w:t xml:space="preserve"> con el desempeño de un trabajo, profesión o cargo tanto por cuenta propia como por cuenta ajena siempre </w:t>
      </w:r>
      <w:r w:rsidRPr="005C3F9A">
        <w:rPr>
          <w:rFonts w:cs="Times New Roman"/>
          <w:bCs/>
          <w:sz w:val="22"/>
          <w:szCs w:val="22"/>
          <w:lang w:val="es-ES" w:bidi="ar-SA"/>
        </w:rPr>
        <w:t>y cuando los ingresos percibidos por esta actividad no superen el 25% del total de ingresos percibidos por la persona cuidadora en concepto de rendimientos de trabajo y de actividades económicas o profesionales.</w:t>
      </w:r>
    </w:p>
    <w:p w14:paraId="4D838AE0" w14:textId="77777777" w:rsidR="005C3F9A" w:rsidRPr="005C3F9A" w:rsidRDefault="005C3F9A" w:rsidP="00503ACB">
      <w:pPr>
        <w:spacing w:after="240"/>
        <w:ind w:left="284"/>
        <w:jc w:val="both"/>
        <w:rPr>
          <w:rFonts w:cs="Times New Roman"/>
          <w:bCs/>
          <w:sz w:val="22"/>
          <w:szCs w:val="22"/>
          <w:lang w:val="es-ES" w:bidi="ar-SA"/>
        </w:rPr>
      </w:pPr>
      <w:r w:rsidRPr="005C3F9A">
        <w:rPr>
          <w:rFonts w:cs="Times New Roman"/>
          <w:bCs/>
          <w:sz w:val="22"/>
          <w:szCs w:val="22"/>
          <w:lang w:val="es-ES" w:bidi="ar-SA"/>
        </w:rPr>
        <w:t>En cualquier caso, el acogimiento familiar especializado requerirá de la plena disponibilidad de la persona acogedora para el desempeño de dicha función.</w:t>
      </w:r>
    </w:p>
    <w:p w14:paraId="4A73A198" w14:textId="05132B7A" w:rsidR="005C3F9A" w:rsidRPr="005C3F9A" w:rsidRDefault="005C3F9A" w:rsidP="005C3F9A">
      <w:pPr>
        <w:spacing w:after="240"/>
        <w:jc w:val="both"/>
        <w:rPr>
          <w:rFonts w:cs="Times New Roman"/>
          <w:bCs/>
          <w:sz w:val="22"/>
          <w:szCs w:val="22"/>
          <w:lang w:val="es-ES" w:bidi="ar-SA"/>
        </w:rPr>
      </w:pPr>
      <w:r w:rsidRPr="005C3F9A">
        <w:rPr>
          <w:rFonts w:cs="Times New Roman"/>
          <w:bCs/>
          <w:sz w:val="22"/>
          <w:szCs w:val="22"/>
          <w:lang w:val="es-ES" w:bidi="ar-SA"/>
        </w:rPr>
        <w:t>2. Con anterioridad a la presentación de la propuesta de adopción y conforme a lo dispuesto en artículo 176 bis del Código Civil, la Entidad Pública de Protección delegará la guarda con fines de adopción hasta que se dicte la resolución judicial de la adopción. Las personas guardadoras con fines de adopción tendrán los mismos derechos y obligaciones que las familias acogedoras, conforme a la legislación vigente.</w:t>
      </w:r>
      <w:r>
        <w:rPr>
          <w:rFonts w:cs="Times New Roman"/>
          <w:bCs/>
          <w:sz w:val="22"/>
          <w:szCs w:val="22"/>
          <w:lang w:val="es-ES" w:bidi="ar-SA"/>
        </w:rPr>
        <w:t>”</w:t>
      </w:r>
    </w:p>
    <w:p w14:paraId="0B2232AB" w14:textId="2EB45E3B" w:rsidR="004C4D1A" w:rsidRPr="00AF390C" w:rsidRDefault="004C4D1A" w:rsidP="004C4D1A">
      <w:pPr>
        <w:spacing w:after="240"/>
        <w:jc w:val="both"/>
        <w:rPr>
          <w:rFonts w:cs="Times New Roman"/>
          <w:sz w:val="22"/>
          <w:szCs w:val="22"/>
          <w:lang w:val="es-ES" w:bidi="ar-SA"/>
        </w:rPr>
      </w:pPr>
      <w:r w:rsidRPr="00AF390C">
        <w:rPr>
          <w:rFonts w:cs="Times New Roman"/>
          <w:b/>
          <w:bCs/>
          <w:sz w:val="22"/>
          <w:szCs w:val="22"/>
          <w:lang w:val="es-ES" w:bidi="ar-SA"/>
        </w:rPr>
        <w:t xml:space="preserve">Segundo. </w:t>
      </w:r>
      <w:r w:rsidR="00277194" w:rsidRPr="00AF390C">
        <w:rPr>
          <w:rFonts w:cs="Times New Roman"/>
          <w:sz w:val="22"/>
          <w:szCs w:val="22"/>
          <w:lang w:val="es-ES" w:bidi="ar-SA"/>
        </w:rPr>
        <w:t xml:space="preserve">Modificar el artículo </w:t>
      </w:r>
      <w:r w:rsidR="00277194">
        <w:rPr>
          <w:rFonts w:cs="Times New Roman"/>
          <w:sz w:val="22"/>
          <w:szCs w:val="22"/>
          <w:lang w:val="es-ES" w:bidi="ar-SA"/>
        </w:rPr>
        <w:t>4</w:t>
      </w:r>
      <w:r w:rsidR="00277194" w:rsidRPr="00AF390C">
        <w:rPr>
          <w:rFonts w:cs="Times New Roman"/>
          <w:sz w:val="22"/>
          <w:szCs w:val="22"/>
          <w:lang w:val="es-ES" w:bidi="ar-SA"/>
        </w:rPr>
        <w:t xml:space="preserve"> del </w:t>
      </w:r>
      <w:r w:rsidR="00277194" w:rsidRPr="00A009AD">
        <w:rPr>
          <w:rFonts w:cs="Times New Roman"/>
          <w:sz w:val="22"/>
          <w:szCs w:val="22"/>
          <w:lang w:val="es-ES" w:bidi="ar-SA"/>
        </w:rPr>
        <w:t xml:space="preserve">Decreto Foral 35/2021, del Consejo de Gobierno Foral de 27 de julio, </w:t>
      </w:r>
      <w:r w:rsidR="00277194" w:rsidRPr="00AF390C">
        <w:rPr>
          <w:rFonts w:cs="Times New Roman"/>
          <w:sz w:val="22"/>
          <w:szCs w:val="22"/>
          <w:lang w:val="es-ES" w:bidi="ar-SA"/>
        </w:rPr>
        <w:t>que queda redactado en los siguientes términos:</w:t>
      </w:r>
    </w:p>
    <w:p w14:paraId="1D13DA5D" w14:textId="77777777" w:rsidR="00277194" w:rsidRPr="009316AE" w:rsidRDefault="004C4D1A" w:rsidP="00277194">
      <w:pPr>
        <w:spacing w:after="240"/>
        <w:jc w:val="both"/>
        <w:rPr>
          <w:rFonts w:cs="Times New Roman"/>
          <w:sz w:val="22"/>
          <w:szCs w:val="22"/>
          <w:lang w:val="es-ES" w:bidi="ar-SA"/>
        </w:rPr>
      </w:pPr>
      <w:r w:rsidRPr="00AF390C">
        <w:rPr>
          <w:rFonts w:cs="Times New Roman"/>
          <w:sz w:val="22"/>
          <w:szCs w:val="22"/>
          <w:lang w:val="es-ES" w:bidi="ar-SA"/>
        </w:rPr>
        <w:t xml:space="preserve"> “</w:t>
      </w:r>
      <w:r w:rsidR="00277194" w:rsidRPr="009316AE">
        <w:rPr>
          <w:rFonts w:cs="Times New Roman"/>
          <w:sz w:val="22"/>
          <w:szCs w:val="22"/>
          <w:lang w:val="es-ES" w:bidi="ar-SA"/>
        </w:rPr>
        <w:t>Artículo 4. Convivencia una vez finalizada la medida de acogimiento familiar</w:t>
      </w:r>
    </w:p>
    <w:p w14:paraId="1DACD0FE" w14:textId="11ABB53F" w:rsidR="00277194" w:rsidRPr="009316AE" w:rsidRDefault="00A65B6F" w:rsidP="00A65B6F">
      <w:pPr>
        <w:spacing w:after="240"/>
        <w:jc w:val="both"/>
        <w:rPr>
          <w:rFonts w:cs="Times New Roman"/>
          <w:sz w:val="22"/>
          <w:szCs w:val="22"/>
          <w:lang w:val="es-ES" w:bidi="ar-SA"/>
        </w:rPr>
      </w:pPr>
      <w:r w:rsidRPr="009316AE">
        <w:rPr>
          <w:rFonts w:cs="Times New Roman"/>
          <w:sz w:val="22"/>
          <w:szCs w:val="22"/>
          <w:lang w:val="es-ES" w:bidi="ar-SA"/>
        </w:rPr>
        <w:t>Para favorecer la autonomía de las personas menores de edad que se encuentren en acogimiento familiar y cumplan dieciocho años, las medidas de apoyo a las personas o familias acogedoras podrán mantenerse hasta que estas alcancen los veintiún años, siempre y cuando muestren su conformidad</w:t>
      </w:r>
      <w:r w:rsidR="00277194" w:rsidRPr="009316AE">
        <w:rPr>
          <w:rFonts w:cs="Times New Roman"/>
          <w:sz w:val="22"/>
          <w:szCs w:val="22"/>
          <w:lang w:val="es-ES" w:bidi="ar-SA"/>
        </w:rPr>
        <w:t>, y se cumplan todos los siguientes requisitos:</w:t>
      </w:r>
    </w:p>
    <w:p w14:paraId="09DA6463" w14:textId="77777777" w:rsidR="00277194" w:rsidRPr="00277194" w:rsidRDefault="00277194" w:rsidP="00277194">
      <w:pPr>
        <w:spacing w:after="240"/>
        <w:ind w:left="284"/>
        <w:jc w:val="both"/>
        <w:rPr>
          <w:rFonts w:cs="Times New Roman"/>
          <w:sz w:val="22"/>
          <w:szCs w:val="22"/>
          <w:lang w:val="es-ES" w:bidi="ar-SA"/>
        </w:rPr>
      </w:pPr>
      <w:r w:rsidRPr="009316AE">
        <w:rPr>
          <w:rFonts w:cs="Times New Roman"/>
          <w:sz w:val="22"/>
          <w:szCs w:val="22"/>
          <w:lang w:val="es-ES" w:bidi="ar-SA"/>
        </w:rPr>
        <w:t xml:space="preserve">a) Continuar de forma ininterrumpida </w:t>
      </w:r>
      <w:r w:rsidRPr="00277194">
        <w:rPr>
          <w:rFonts w:cs="Times New Roman"/>
          <w:sz w:val="22"/>
          <w:szCs w:val="22"/>
          <w:lang w:val="es-ES" w:bidi="ar-SA"/>
        </w:rPr>
        <w:t>la convivencia con el núcleo acogedor una vez alcanzada la mayoría de edad.</w:t>
      </w:r>
    </w:p>
    <w:p w14:paraId="1A49E1B7" w14:textId="77777777" w:rsidR="00277194" w:rsidRPr="00277194" w:rsidRDefault="00277194" w:rsidP="00277194">
      <w:pPr>
        <w:spacing w:after="240"/>
        <w:ind w:left="284"/>
        <w:jc w:val="both"/>
        <w:rPr>
          <w:rFonts w:cs="Times New Roman"/>
          <w:sz w:val="22"/>
          <w:szCs w:val="22"/>
          <w:lang w:val="es-ES" w:bidi="ar-SA"/>
        </w:rPr>
      </w:pPr>
      <w:r w:rsidRPr="00277194">
        <w:rPr>
          <w:rFonts w:cs="Times New Roman"/>
          <w:sz w:val="22"/>
          <w:szCs w:val="22"/>
          <w:lang w:val="es-ES" w:bidi="ar-SA"/>
        </w:rPr>
        <w:lastRenderedPageBreak/>
        <w:t>b) Haber formalizado el acogimiento familiar con una antelación mínima de un año a la fecha de la mayoría de edad.</w:t>
      </w:r>
    </w:p>
    <w:p w14:paraId="1F64E25A" w14:textId="68D1FB44" w:rsidR="00277194" w:rsidRPr="009316AE" w:rsidRDefault="005C6F5B" w:rsidP="00277194">
      <w:pPr>
        <w:spacing w:after="240"/>
        <w:ind w:left="284"/>
        <w:jc w:val="both"/>
        <w:rPr>
          <w:rFonts w:cs="Times New Roman"/>
          <w:sz w:val="22"/>
          <w:szCs w:val="22"/>
          <w:lang w:val="es-ES" w:bidi="ar-SA"/>
        </w:rPr>
      </w:pPr>
      <w:r>
        <w:rPr>
          <w:rFonts w:cs="Times New Roman"/>
          <w:sz w:val="22"/>
          <w:szCs w:val="22"/>
          <w:lang w:val="es-ES" w:bidi="ar-SA"/>
        </w:rPr>
        <w:t xml:space="preserve">c) Encontrarse </w:t>
      </w:r>
      <w:r w:rsidR="00277194" w:rsidRPr="00277194">
        <w:rPr>
          <w:rFonts w:cs="Times New Roman"/>
          <w:sz w:val="22"/>
          <w:szCs w:val="22"/>
          <w:lang w:val="es-ES" w:bidi="ar-SA"/>
        </w:rPr>
        <w:t xml:space="preserve">en el </w:t>
      </w:r>
      <w:r w:rsidR="00277194" w:rsidRPr="009316AE">
        <w:rPr>
          <w:rFonts w:cs="Times New Roman"/>
          <w:sz w:val="22"/>
          <w:szCs w:val="22"/>
          <w:lang w:val="es-ES" w:bidi="ar-SA"/>
        </w:rPr>
        <w:t>programa de seguimiento postacogimiento del Área de</w:t>
      </w:r>
      <w:r w:rsidR="001E2D1D" w:rsidRPr="009316AE">
        <w:rPr>
          <w:rFonts w:cs="Times New Roman"/>
          <w:sz w:val="22"/>
          <w:szCs w:val="22"/>
          <w:lang w:val="es-ES" w:bidi="ar-SA"/>
        </w:rPr>
        <w:t>l</w:t>
      </w:r>
      <w:r w:rsidR="00277194" w:rsidRPr="009316AE">
        <w:rPr>
          <w:rFonts w:cs="Times New Roman"/>
          <w:sz w:val="22"/>
          <w:szCs w:val="22"/>
          <w:lang w:val="es-ES" w:bidi="ar-SA"/>
        </w:rPr>
        <w:t xml:space="preserve"> Menor y </w:t>
      </w:r>
      <w:r w:rsidR="001E2D1D" w:rsidRPr="009316AE">
        <w:rPr>
          <w:rFonts w:cs="Times New Roman"/>
          <w:sz w:val="22"/>
          <w:szCs w:val="22"/>
          <w:lang w:val="es-ES" w:bidi="ar-SA"/>
        </w:rPr>
        <w:t xml:space="preserve">la </w:t>
      </w:r>
      <w:r w:rsidR="00277194" w:rsidRPr="009316AE">
        <w:rPr>
          <w:rFonts w:cs="Times New Roman"/>
          <w:sz w:val="22"/>
          <w:szCs w:val="22"/>
          <w:lang w:val="es-ES" w:bidi="ar-SA"/>
        </w:rPr>
        <w:t>Familia del Instituto Foral de Bienestar Social.</w:t>
      </w:r>
    </w:p>
    <w:p w14:paraId="72A6ADF1" w14:textId="45BA666E" w:rsidR="004C4D1A" w:rsidRPr="009316AE" w:rsidRDefault="00277194" w:rsidP="00277194">
      <w:pPr>
        <w:spacing w:after="240"/>
        <w:ind w:left="284"/>
        <w:jc w:val="both"/>
        <w:rPr>
          <w:rFonts w:cs="Times New Roman"/>
          <w:sz w:val="22"/>
          <w:szCs w:val="22"/>
          <w:lang w:val="es-ES" w:bidi="ar-SA"/>
        </w:rPr>
      </w:pPr>
      <w:r w:rsidRPr="009316AE">
        <w:rPr>
          <w:rFonts w:cs="Times New Roman"/>
          <w:sz w:val="22"/>
          <w:szCs w:val="22"/>
          <w:lang w:val="es-ES" w:bidi="ar-SA"/>
        </w:rPr>
        <w:t xml:space="preserve">d) </w:t>
      </w:r>
      <w:r w:rsidR="005C6F5B" w:rsidRPr="009316AE">
        <w:rPr>
          <w:rFonts w:cs="Times New Roman"/>
          <w:sz w:val="22"/>
          <w:szCs w:val="22"/>
          <w:lang w:val="es-ES" w:bidi="ar-SA"/>
        </w:rPr>
        <w:t>En caso de encontrarse realizando una actividad laboral de carácter remunerado, que sus ingresos no superen el salario mínimo interprofesional.</w:t>
      </w:r>
    </w:p>
    <w:p w14:paraId="7F6BEBCF" w14:textId="0041C387" w:rsidR="004C4D1A" w:rsidRPr="00AF390C" w:rsidRDefault="004C4D1A" w:rsidP="004C4D1A">
      <w:pPr>
        <w:spacing w:after="240"/>
        <w:jc w:val="both"/>
        <w:rPr>
          <w:rFonts w:cs="Times New Roman"/>
          <w:sz w:val="22"/>
          <w:szCs w:val="22"/>
          <w:lang w:val="es-ES" w:bidi="ar-SA"/>
        </w:rPr>
      </w:pPr>
      <w:r w:rsidRPr="009316AE">
        <w:rPr>
          <w:rFonts w:cs="Times New Roman"/>
          <w:b/>
          <w:bCs/>
          <w:sz w:val="22"/>
          <w:szCs w:val="22"/>
          <w:lang w:val="es-ES" w:bidi="ar-SA"/>
        </w:rPr>
        <w:t>Tercero.</w:t>
      </w:r>
      <w:r w:rsidRPr="009316AE">
        <w:rPr>
          <w:rFonts w:cs="Times New Roman"/>
          <w:sz w:val="22"/>
          <w:szCs w:val="22"/>
          <w:lang w:val="es-ES" w:bidi="ar-SA"/>
        </w:rPr>
        <w:t xml:space="preserve"> Modificar el artículo </w:t>
      </w:r>
      <w:r w:rsidR="00277194" w:rsidRPr="009316AE">
        <w:rPr>
          <w:rFonts w:cs="Times New Roman"/>
          <w:sz w:val="22"/>
          <w:szCs w:val="22"/>
          <w:lang w:val="es-ES" w:bidi="ar-SA"/>
        </w:rPr>
        <w:t>6</w:t>
      </w:r>
      <w:r w:rsidRPr="009316AE">
        <w:rPr>
          <w:rFonts w:cs="Times New Roman"/>
          <w:sz w:val="22"/>
          <w:szCs w:val="22"/>
          <w:lang w:val="es-ES" w:bidi="ar-SA"/>
        </w:rPr>
        <w:t xml:space="preserve"> del </w:t>
      </w:r>
      <w:r w:rsidR="00277194" w:rsidRPr="009316AE">
        <w:rPr>
          <w:rFonts w:cs="Times New Roman"/>
          <w:sz w:val="22"/>
          <w:szCs w:val="22"/>
          <w:lang w:val="es-ES" w:bidi="ar-SA"/>
        </w:rPr>
        <w:t>Decreto Foral 35/2021, del Consejo de Gobierno Foral de 27 de julio, que queda redactado en los siguientes términos</w:t>
      </w:r>
      <w:r w:rsidR="00277194">
        <w:rPr>
          <w:rFonts w:cs="Times New Roman"/>
          <w:sz w:val="22"/>
          <w:szCs w:val="22"/>
          <w:lang w:val="es-ES" w:bidi="ar-SA"/>
        </w:rPr>
        <w:t>:</w:t>
      </w:r>
      <w:r w:rsidRPr="00AF390C">
        <w:rPr>
          <w:rFonts w:cs="Times New Roman"/>
          <w:sz w:val="22"/>
          <w:szCs w:val="22"/>
          <w:lang w:val="es-ES" w:bidi="ar-SA"/>
        </w:rPr>
        <w:t xml:space="preserve"> </w:t>
      </w:r>
    </w:p>
    <w:p w14:paraId="76826129" w14:textId="77777777" w:rsidR="00277194" w:rsidRPr="00277194" w:rsidRDefault="004C4D1A" w:rsidP="00277194">
      <w:pPr>
        <w:spacing w:after="240"/>
        <w:jc w:val="both"/>
        <w:rPr>
          <w:rFonts w:cs="Times New Roman"/>
          <w:bCs/>
          <w:sz w:val="22"/>
          <w:szCs w:val="22"/>
          <w:lang w:val="es-ES" w:bidi="ar-SA"/>
        </w:rPr>
      </w:pPr>
      <w:r w:rsidRPr="00AF390C">
        <w:rPr>
          <w:rFonts w:cs="Times New Roman"/>
          <w:bCs/>
          <w:sz w:val="22"/>
          <w:szCs w:val="22"/>
          <w:lang w:val="es-ES" w:bidi="ar-SA"/>
        </w:rPr>
        <w:t xml:space="preserve"> “</w:t>
      </w:r>
      <w:r w:rsidR="00277194" w:rsidRPr="00277194">
        <w:rPr>
          <w:rFonts w:cs="Times New Roman"/>
          <w:bCs/>
          <w:sz w:val="22"/>
          <w:szCs w:val="22"/>
          <w:lang w:val="es-ES" w:bidi="ar-SA"/>
        </w:rPr>
        <w:t>Artículo 6. Cuantías de la compensación económica</w:t>
      </w:r>
    </w:p>
    <w:p w14:paraId="02D65224" w14:textId="77777777" w:rsidR="00277194" w:rsidRPr="00277194" w:rsidRDefault="00277194" w:rsidP="00277194">
      <w:pPr>
        <w:spacing w:after="240"/>
        <w:jc w:val="both"/>
        <w:rPr>
          <w:rFonts w:cs="Times New Roman"/>
          <w:bCs/>
          <w:sz w:val="22"/>
          <w:szCs w:val="22"/>
          <w:lang w:val="es-ES" w:bidi="ar-SA"/>
        </w:rPr>
      </w:pPr>
      <w:r w:rsidRPr="00277194">
        <w:rPr>
          <w:rFonts w:cs="Times New Roman"/>
          <w:bCs/>
          <w:sz w:val="22"/>
          <w:szCs w:val="22"/>
          <w:lang w:val="es-ES" w:bidi="ar-SA"/>
        </w:rPr>
        <w:t>1. Las compensaciones establecidas para las modalidades de acogimiento familiar de urgencia, temporal y permanente, sea en familia extensa o familia ajena y para las guardas con finalidad adoptiva, son las siguientes:</w:t>
      </w:r>
    </w:p>
    <w:p w14:paraId="7319E673" w14:textId="159FE107" w:rsidR="00277194" w:rsidRPr="009316AE" w:rsidRDefault="00277194" w:rsidP="00277194">
      <w:pPr>
        <w:spacing w:after="240"/>
        <w:ind w:left="284"/>
        <w:jc w:val="both"/>
        <w:rPr>
          <w:rFonts w:cs="Times New Roman"/>
          <w:bCs/>
          <w:sz w:val="22"/>
          <w:szCs w:val="22"/>
          <w:lang w:val="es-ES" w:bidi="ar-SA"/>
        </w:rPr>
      </w:pPr>
      <w:r w:rsidRPr="00277194">
        <w:rPr>
          <w:rFonts w:cs="Times New Roman"/>
          <w:bCs/>
          <w:sz w:val="22"/>
          <w:szCs w:val="22"/>
          <w:lang w:val="es-ES" w:bidi="ar-SA"/>
        </w:rPr>
        <w:t>a</w:t>
      </w:r>
      <w:r>
        <w:rPr>
          <w:rFonts w:cs="Times New Roman"/>
          <w:bCs/>
          <w:sz w:val="22"/>
          <w:szCs w:val="22"/>
          <w:lang w:val="es-ES" w:bidi="ar-SA"/>
        </w:rPr>
        <w:t>)</w:t>
      </w:r>
      <w:r w:rsidRPr="00277194">
        <w:rPr>
          <w:rFonts w:cs="Times New Roman"/>
          <w:bCs/>
          <w:sz w:val="22"/>
          <w:szCs w:val="22"/>
          <w:lang w:val="es-ES" w:bidi="ar-SA"/>
        </w:rPr>
        <w:t xml:space="preserve"> Con carácter general, por cada persona menor de </w:t>
      </w:r>
      <w:r w:rsidRPr="009316AE">
        <w:rPr>
          <w:rFonts w:cs="Times New Roman"/>
          <w:bCs/>
          <w:sz w:val="22"/>
          <w:szCs w:val="22"/>
          <w:lang w:val="es-ES" w:bidi="ar-SA"/>
        </w:rPr>
        <w:t>edad acogida o en guarda con finalidad adoptiva la cuantía de la compensación será de 459 euros mensuales.</w:t>
      </w:r>
    </w:p>
    <w:p w14:paraId="43AAAC89" w14:textId="5E208F06" w:rsidR="00277194" w:rsidRPr="009316AE" w:rsidRDefault="00277194" w:rsidP="00277194">
      <w:pPr>
        <w:spacing w:after="240"/>
        <w:ind w:left="284"/>
        <w:jc w:val="both"/>
        <w:rPr>
          <w:rFonts w:cs="Times New Roman"/>
          <w:bCs/>
          <w:sz w:val="22"/>
          <w:szCs w:val="22"/>
          <w:lang w:val="es-ES" w:bidi="ar-SA"/>
        </w:rPr>
      </w:pPr>
      <w:r w:rsidRPr="009316AE">
        <w:rPr>
          <w:rFonts w:cs="Times New Roman"/>
          <w:bCs/>
          <w:sz w:val="22"/>
          <w:szCs w:val="22"/>
          <w:lang w:val="es-ES" w:bidi="ar-SA"/>
        </w:rPr>
        <w:t xml:space="preserve">b) En el caso de que la persona menor de edad acogida </w:t>
      </w:r>
      <w:r w:rsidR="00EC4C39" w:rsidRPr="009316AE">
        <w:rPr>
          <w:rFonts w:cs="Times New Roman"/>
          <w:bCs/>
          <w:sz w:val="22"/>
          <w:szCs w:val="22"/>
          <w:lang w:val="es-ES" w:bidi="ar-SA"/>
        </w:rPr>
        <w:t xml:space="preserve">o en guarda con finalidad adoptiva </w:t>
      </w:r>
      <w:r w:rsidRPr="009316AE">
        <w:rPr>
          <w:rFonts w:cs="Times New Roman"/>
          <w:bCs/>
          <w:sz w:val="22"/>
          <w:szCs w:val="22"/>
          <w:lang w:val="es-ES" w:bidi="ar-SA"/>
        </w:rPr>
        <w:t>tenga necesidades o circunstancias especiales, la cuantía de la compensación será de 685 euros mensuales.</w:t>
      </w:r>
    </w:p>
    <w:p w14:paraId="05A9DDC3" w14:textId="77A564E6" w:rsidR="00277194" w:rsidRPr="009316AE" w:rsidRDefault="00277194" w:rsidP="00277194">
      <w:pPr>
        <w:spacing w:after="240"/>
        <w:ind w:left="284"/>
        <w:jc w:val="both"/>
        <w:rPr>
          <w:rFonts w:cs="Times New Roman"/>
          <w:bCs/>
          <w:sz w:val="22"/>
          <w:szCs w:val="22"/>
          <w:lang w:val="es-ES" w:bidi="ar-SA"/>
        </w:rPr>
      </w:pPr>
      <w:r w:rsidRPr="009316AE">
        <w:rPr>
          <w:rFonts w:cs="Times New Roman"/>
          <w:bCs/>
          <w:sz w:val="22"/>
          <w:szCs w:val="22"/>
          <w:lang w:val="es-ES" w:bidi="ar-SA"/>
        </w:rPr>
        <w:t>c) En los acogimientos de urgencia, será de 650 euros mensuales por persona menor de edad acogida.</w:t>
      </w:r>
    </w:p>
    <w:p w14:paraId="60AD3B15" w14:textId="2278E0E9" w:rsidR="00277194" w:rsidRPr="00277194" w:rsidRDefault="00277194" w:rsidP="00277194">
      <w:pPr>
        <w:spacing w:after="240"/>
        <w:ind w:left="284"/>
        <w:jc w:val="both"/>
        <w:rPr>
          <w:rFonts w:cs="Times New Roman"/>
          <w:bCs/>
          <w:sz w:val="22"/>
          <w:szCs w:val="22"/>
          <w:lang w:val="es-ES" w:bidi="ar-SA"/>
        </w:rPr>
      </w:pPr>
      <w:r w:rsidRPr="009316AE">
        <w:rPr>
          <w:rFonts w:cs="Times New Roman"/>
          <w:bCs/>
          <w:sz w:val="22"/>
          <w:szCs w:val="22"/>
          <w:lang w:val="es-ES" w:bidi="ar-SA"/>
        </w:rPr>
        <w:t xml:space="preserve">d) En la modalidad de acogimiento familiar especializado de especial dedicación, se añadirán a la compensación de 685€ recogida en el apartado b) otra compensación económica </w:t>
      </w:r>
      <w:r w:rsidRPr="00277194">
        <w:rPr>
          <w:rFonts w:cs="Times New Roman"/>
          <w:bCs/>
          <w:sz w:val="22"/>
          <w:szCs w:val="22"/>
          <w:lang w:val="es-ES" w:bidi="ar-SA"/>
        </w:rPr>
        <w:t>de 800 euros.</w:t>
      </w:r>
    </w:p>
    <w:p w14:paraId="70C08C23" w14:textId="3CC11B69" w:rsidR="00277194" w:rsidRPr="00277194" w:rsidRDefault="00277194" w:rsidP="00277194">
      <w:pPr>
        <w:spacing w:after="240"/>
        <w:ind w:left="284"/>
        <w:jc w:val="both"/>
        <w:rPr>
          <w:rFonts w:cs="Times New Roman"/>
          <w:bCs/>
          <w:sz w:val="22"/>
          <w:szCs w:val="22"/>
          <w:lang w:val="es-ES" w:bidi="ar-SA"/>
        </w:rPr>
      </w:pPr>
      <w:r>
        <w:rPr>
          <w:rFonts w:cs="Times New Roman"/>
          <w:bCs/>
          <w:sz w:val="22"/>
          <w:szCs w:val="22"/>
          <w:lang w:val="es-ES" w:bidi="ar-SA"/>
        </w:rPr>
        <w:t>e)</w:t>
      </w:r>
      <w:r w:rsidRPr="00277194">
        <w:rPr>
          <w:rFonts w:cs="Times New Roman"/>
          <w:bCs/>
          <w:sz w:val="22"/>
          <w:szCs w:val="22"/>
          <w:lang w:val="es-ES" w:bidi="ar-SA"/>
        </w:rPr>
        <w:t xml:space="preserve"> En la modalidad de acogimiento familiar especializado de especial preparación, se añadirán a la compensación de 685€ recogida en el apartado b), la cantidad estipulada en el correspondiente contrato derivado de la relación entre la persona acogedora especializada y la entidad que se encargue del apoyo y seguimiento del referido acogimiento familiar de especial preparación.</w:t>
      </w:r>
    </w:p>
    <w:p w14:paraId="25CD100E" w14:textId="77777777" w:rsidR="00277194" w:rsidRPr="00277194" w:rsidRDefault="00277194" w:rsidP="00277194">
      <w:pPr>
        <w:spacing w:after="240"/>
        <w:jc w:val="both"/>
        <w:rPr>
          <w:rFonts w:cs="Times New Roman"/>
          <w:bCs/>
          <w:sz w:val="22"/>
          <w:szCs w:val="22"/>
          <w:lang w:val="es-ES" w:bidi="ar-SA"/>
        </w:rPr>
      </w:pPr>
      <w:r w:rsidRPr="00277194">
        <w:rPr>
          <w:rFonts w:cs="Times New Roman"/>
          <w:bCs/>
          <w:sz w:val="22"/>
          <w:szCs w:val="22"/>
          <w:lang w:val="es-ES" w:bidi="ar-SA"/>
        </w:rPr>
        <w:t>En relación al apartado 1 a), las cuantías disminuirán en un 10 por ciento de forma acumulativa a partir de la segunda persona menor de edad en acogimiento familiar o guarda con finalidad adoptiva.</w:t>
      </w:r>
    </w:p>
    <w:p w14:paraId="46EDADF2" w14:textId="77777777" w:rsidR="00277194" w:rsidRPr="009316AE" w:rsidRDefault="00277194" w:rsidP="00277194">
      <w:pPr>
        <w:spacing w:after="240"/>
        <w:jc w:val="both"/>
        <w:rPr>
          <w:rFonts w:cs="Times New Roman"/>
          <w:bCs/>
          <w:sz w:val="22"/>
          <w:szCs w:val="22"/>
          <w:lang w:val="es-ES" w:bidi="ar-SA"/>
        </w:rPr>
      </w:pPr>
      <w:r w:rsidRPr="00277194">
        <w:rPr>
          <w:rFonts w:cs="Times New Roman"/>
          <w:bCs/>
          <w:sz w:val="22"/>
          <w:szCs w:val="22"/>
          <w:lang w:val="es-ES" w:bidi="ar-SA"/>
        </w:rPr>
        <w:t xml:space="preserve">2. La cuantía de las compensaciones económicas para las situaciones de convivencia una vez finalizada la medida de acogimiento familiar, serán las establecidas en el apartado primero del presente </w:t>
      </w:r>
      <w:r w:rsidRPr="009316AE">
        <w:rPr>
          <w:rFonts w:cs="Times New Roman"/>
          <w:bCs/>
          <w:sz w:val="22"/>
          <w:szCs w:val="22"/>
          <w:lang w:val="es-ES" w:bidi="ar-SA"/>
        </w:rPr>
        <w:t>artículo.</w:t>
      </w:r>
    </w:p>
    <w:p w14:paraId="25E66187" w14:textId="22FA7975" w:rsidR="004C4D1A" w:rsidRPr="009316AE" w:rsidRDefault="00277194" w:rsidP="00277194">
      <w:pPr>
        <w:spacing w:after="240"/>
        <w:jc w:val="both"/>
        <w:rPr>
          <w:rFonts w:cs="Times New Roman"/>
          <w:bCs/>
          <w:sz w:val="22"/>
          <w:szCs w:val="22"/>
          <w:lang w:val="es-ES" w:bidi="ar-SA"/>
        </w:rPr>
      </w:pPr>
      <w:r w:rsidRPr="009316AE">
        <w:rPr>
          <w:rFonts w:cs="Times New Roman"/>
          <w:bCs/>
          <w:sz w:val="22"/>
          <w:szCs w:val="22"/>
          <w:lang w:val="es-ES" w:bidi="ar-SA"/>
        </w:rPr>
        <w:t>3. La cuantía de las compensaciones ordinarias fijadas en el apartado anterior corresponde a meses naturales completos. En el supuesto de que el periodo a computar sea inferior al mes, el importe que se abone será el resultado de dividir la cuantía mensual entre 30 y multiplicar el cociente por el número de días que corresponda</w:t>
      </w:r>
      <w:r w:rsidR="004C4D1A" w:rsidRPr="009316AE">
        <w:rPr>
          <w:rFonts w:cs="Times New Roman"/>
          <w:bCs/>
          <w:sz w:val="22"/>
          <w:szCs w:val="22"/>
          <w:lang w:val="es-ES" w:bidi="ar-SA"/>
        </w:rPr>
        <w:t>.”</w:t>
      </w:r>
    </w:p>
    <w:p w14:paraId="221BC47B" w14:textId="0984AA35" w:rsidR="00EC4C39" w:rsidRPr="009316AE" w:rsidRDefault="00EC4C39" w:rsidP="00277194">
      <w:pPr>
        <w:spacing w:after="240"/>
        <w:jc w:val="both"/>
        <w:rPr>
          <w:rFonts w:cs="Times New Roman"/>
          <w:bCs/>
          <w:sz w:val="22"/>
          <w:szCs w:val="22"/>
          <w:lang w:val="es-ES" w:bidi="ar-SA"/>
        </w:rPr>
      </w:pPr>
      <w:r w:rsidRPr="009316AE">
        <w:rPr>
          <w:rFonts w:cs="Times New Roman"/>
          <w:bCs/>
          <w:sz w:val="22"/>
          <w:szCs w:val="22"/>
          <w:lang w:val="es-ES" w:bidi="ar-SA"/>
        </w:rPr>
        <w:t>4. Las cuantías previstas en el presente artículo podrán actualizarse mediante Decreto Foral del Consejo de Gobierno Foral</w:t>
      </w:r>
      <w:r w:rsidR="00083212" w:rsidRPr="009316AE">
        <w:rPr>
          <w:rFonts w:cs="Times New Roman"/>
          <w:bCs/>
          <w:sz w:val="22"/>
          <w:szCs w:val="22"/>
          <w:lang w:val="es-ES" w:bidi="ar-SA"/>
        </w:rPr>
        <w:t xml:space="preserve"> y siempre que exista disponibilidad presupuestaria.</w:t>
      </w:r>
    </w:p>
    <w:p w14:paraId="607746CF" w14:textId="6BB82E0A" w:rsidR="00F1551C" w:rsidRPr="009316AE" w:rsidRDefault="00F1551C" w:rsidP="00277194">
      <w:pPr>
        <w:spacing w:after="240"/>
        <w:jc w:val="both"/>
        <w:rPr>
          <w:rFonts w:cs="Times New Roman"/>
          <w:bCs/>
          <w:sz w:val="22"/>
          <w:szCs w:val="22"/>
          <w:lang w:val="es-ES" w:bidi="ar-SA"/>
        </w:rPr>
      </w:pPr>
      <w:r w:rsidRPr="009316AE">
        <w:rPr>
          <w:rFonts w:cs="Times New Roman"/>
          <w:b/>
          <w:bCs/>
          <w:sz w:val="22"/>
          <w:szCs w:val="22"/>
          <w:lang w:val="es-ES" w:bidi="ar-SA"/>
        </w:rPr>
        <w:lastRenderedPageBreak/>
        <w:t>Disposición transitoria</w:t>
      </w:r>
      <w:r w:rsidRPr="009316AE">
        <w:rPr>
          <w:rFonts w:cs="Times New Roman"/>
          <w:bCs/>
          <w:sz w:val="22"/>
          <w:szCs w:val="22"/>
          <w:lang w:val="es-ES" w:bidi="ar-SA"/>
        </w:rPr>
        <w:t xml:space="preserve">: Podrán beneficiarse de las medidas de apoyo recogidas en el artículo </w:t>
      </w:r>
      <w:r w:rsidR="005C6F5B" w:rsidRPr="009316AE">
        <w:rPr>
          <w:rFonts w:cs="Times New Roman"/>
          <w:bCs/>
          <w:sz w:val="22"/>
          <w:szCs w:val="22"/>
          <w:lang w:val="es-ES" w:bidi="ar-SA"/>
        </w:rPr>
        <w:t xml:space="preserve">3 las </w:t>
      </w:r>
      <w:bookmarkStart w:id="0" w:name="_GoBack"/>
      <w:r w:rsidR="005C6F5B" w:rsidRPr="009316AE">
        <w:rPr>
          <w:rFonts w:cs="Times New Roman"/>
          <w:bCs/>
          <w:sz w:val="22"/>
          <w:szCs w:val="22"/>
          <w:lang w:val="es-ES" w:bidi="ar-SA"/>
        </w:rPr>
        <w:t xml:space="preserve">personas que a fecha de entrada en vigor </w:t>
      </w:r>
      <w:r w:rsidR="004932F6" w:rsidRPr="009316AE">
        <w:rPr>
          <w:rFonts w:cs="Times New Roman"/>
          <w:bCs/>
          <w:sz w:val="22"/>
          <w:szCs w:val="22"/>
          <w:lang w:val="es-ES" w:bidi="ar-SA"/>
        </w:rPr>
        <w:t>del presente decreto foral</w:t>
      </w:r>
      <w:r w:rsidR="005C6F5B" w:rsidRPr="009316AE">
        <w:rPr>
          <w:rFonts w:cs="Times New Roman"/>
          <w:bCs/>
          <w:sz w:val="22"/>
          <w:szCs w:val="22"/>
          <w:lang w:val="es-ES" w:bidi="ar-SA"/>
        </w:rPr>
        <w:t xml:space="preserve"> se encuentren en el programa de </w:t>
      </w:r>
      <w:bookmarkEnd w:id="0"/>
      <w:r w:rsidR="005C6F5B" w:rsidRPr="009316AE">
        <w:rPr>
          <w:rFonts w:cs="Times New Roman"/>
          <w:bCs/>
          <w:sz w:val="22"/>
          <w:szCs w:val="22"/>
          <w:lang w:val="es-ES" w:bidi="ar-SA"/>
        </w:rPr>
        <w:t xml:space="preserve">seguimiento </w:t>
      </w:r>
      <w:proofErr w:type="spellStart"/>
      <w:r w:rsidR="005C6F5B" w:rsidRPr="009316AE">
        <w:rPr>
          <w:rFonts w:cs="Times New Roman"/>
          <w:bCs/>
          <w:sz w:val="22"/>
          <w:szCs w:val="22"/>
          <w:lang w:val="es-ES" w:bidi="ar-SA"/>
        </w:rPr>
        <w:t>postacogimiento</w:t>
      </w:r>
      <w:proofErr w:type="spellEnd"/>
      <w:r w:rsidR="005C6F5B" w:rsidRPr="009316AE">
        <w:rPr>
          <w:rFonts w:cs="Times New Roman"/>
          <w:bCs/>
          <w:sz w:val="22"/>
          <w:szCs w:val="22"/>
          <w:lang w:val="es-ES" w:bidi="ar-SA"/>
        </w:rPr>
        <w:t xml:space="preserve"> familiar y que cumplan con los requisitos recogidos en dicho artículo. </w:t>
      </w:r>
    </w:p>
    <w:p w14:paraId="12384F7D" w14:textId="77777777" w:rsidR="004C4D1A" w:rsidRPr="00AF390C" w:rsidRDefault="004C4D1A" w:rsidP="004C4D1A">
      <w:pPr>
        <w:spacing w:after="240"/>
        <w:jc w:val="both"/>
        <w:rPr>
          <w:rFonts w:cs="Times New Roman"/>
          <w:sz w:val="22"/>
          <w:szCs w:val="22"/>
          <w:lang w:val="es-ES" w:bidi="ar-SA"/>
        </w:rPr>
      </w:pPr>
      <w:r w:rsidRPr="00AF390C">
        <w:rPr>
          <w:rFonts w:cs="Times New Roman"/>
          <w:b/>
          <w:bCs/>
          <w:sz w:val="22"/>
          <w:szCs w:val="22"/>
          <w:lang w:val="es-ES" w:bidi="ar-SA"/>
        </w:rPr>
        <w:t>Disposición Final.</w:t>
      </w:r>
      <w:r w:rsidRPr="00AF390C">
        <w:rPr>
          <w:rFonts w:cs="Times New Roman"/>
          <w:sz w:val="22"/>
          <w:szCs w:val="22"/>
          <w:lang w:val="es-ES" w:bidi="ar-SA"/>
        </w:rPr>
        <w:t xml:space="preserve"> El presente decreto foral entrará en vigor el día siguiente al de su publicación en el BOTHA.</w:t>
      </w:r>
    </w:p>
    <w:p w14:paraId="154E20EA" w14:textId="77777777" w:rsidR="004C4D1A" w:rsidRPr="00AF390C" w:rsidRDefault="004C4D1A" w:rsidP="004C4D1A">
      <w:pPr>
        <w:jc w:val="both"/>
        <w:rPr>
          <w:rFonts w:cs="Times New Roman"/>
          <w:sz w:val="22"/>
          <w:szCs w:val="22"/>
          <w:lang w:val="es-ES" w:bidi="ar-SA"/>
        </w:rPr>
      </w:pPr>
      <w:r w:rsidRPr="00AF390C">
        <w:rPr>
          <w:rFonts w:cs="Times New Roman"/>
          <w:sz w:val="22"/>
          <w:szCs w:val="22"/>
          <w:lang w:val="es-ES" w:bidi="ar-SA"/>
        </w:rPr>
        <w:t xml:space="preserve">Vitoria-Gasteiz.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2719D" w:rsidRPr="00AF390C" w14:paraId="522896BB" w14:textId="77777777">
        <w:trPr>
          <w:trHeight w:val="1541"/>
        </w:trPr>
        <w:tc>
          <w:tcPr>
            <w:tcW w:w="4605" w:type="dxa"/>
          </w:tcPr>
          <w:p w14:paraId="6783D1C9" w14:textId="06A69742" w:rsidR="0062719D" w:rsidRPr="00AF390C" w:rsidRDefault="004C4D1A" w:rsidP="004C4D1A">
            <w:pPr>
              <w:spacing w:before="1560" w:after="60"/>
              <w:rPr>
                <w:b/>
                <w:sz w:val="22"/>
                <w:lang w:val="es-ES"/>
              </w:rPr>
            </w:pPr>
            <w:r w:rsidRPr="00AF390C">
              <w:rPr>
                <w:b/>
                <w:sz w:val="22"/>
                <w:lang w:val="es-ES"/>
              </w:rPr>
              <w:t>Ramiro González Vicente</w:t>
            </w:r>
          </w:p>
          <w:p w14:paraId="4713FB70" w14:textId="77777777" w:rsidR="0062719D" w:rsidRPr="00AF390C" w:rsidRDefault="0062719D" w:rsidP="004C4D1A">
            <w:pPr>
              <w:spacing w:after="20"/>
              <w:rPr>
                <w:sz w:val="22"/>
                <w:lang w:val="es-ES"/>
              </w:rPr>
            </w:pPr>
            <w:proofErr w:type="spellStart"/>
            <w:r w:rsidRPr="00AF390C">
              <w:rPr>
                <w:sz w:val="22"/>
                <w:lang w:val="es-ES"/>
              </w:rPr>
              <w:t>Diputatu</w:t>
            </w:r>
            <w:proofErr w:type="spellEnd"/>
            <w:r w:rsidRPr="00AF390C">
              <w:rPr>
                <w:sz w:val="22"/>
                <w:lang w:val="es-ES"/>
              </w:rPr>
              <w:t xml:space="preserve"> </w:t>
            </w:r>
            <w:proofErr w:type="spellStart"/>
            <w:r w:rsidRPr="00AF390C">
              <w:rPr>
                <w:sz w:val="22"/>
                <w:lang w:val="es-ES"/>
              </w:rPr>
              <w:t>nagusia</w:t>
            </w:r>
            <w:proofErr w:type="spellEnd"/>
          </w:p>
          <w:p w14:paraId="64A1D559" w14:textId="77777777" w:rsidR="0062719D" w:rsidRPr="00AF390C" w:rsidRDefault="007E32CF" w:rsidP="004C4D1A">
            <w:pPr>
              <w:spacing w:after="20"/>
              <w:rPr>
                <w:sz w:val="22"/>
                <w:lang w:val="es-ES"/>
              </w:rPr>
            </w:pPr>
            <w:r w:rsidRPr="00AF390C">
              <w:rPr>
                <w:sz w:val="22"/>
                <w:lang w:val="es-ES"/>
              </w:rPr>
              <w:t>Diputado g</w:t>
            </w:r>
            <w:r w:rsidR="0062719D" w:rsidRPr="00AF390C">
              <w:rPr>
                <w:sz w:val="22"/>
                <w:lang w:val="es-ES"/>
              </w:rPr>
              <w:t>eneral</w:t>
            </w:r>
          </w:p>
        </w:tc>
        <w:tc>
          <w:tcPr>
            <w:tcW w:w="4605" w:type="dxa"/>
          </w:tcPr>
          <w:p w14:paraId="2F82931F" w14:textId="7FCEA8F8" w:rsidR="0062719D" w:rsidRPr="00AF390C" w:rsidRDefault="004C4D1A" w:rsidP="004C4D1A">
            <w:pPr>
              <w:spacing w:before="1560" w:after="60"/>
              <w:rPr>
                <w:b/>
                <w:sz w:val="22"/>
                <w:lang w:val="es-ES"/>
              </w:rPr>
            </w:pPr>
            <w:r w:rsidRPr="00AF390C">
              <w:rPr>
                <w:b/>
                <w:sz w:val="22"/>
                <w:lang w:val="es-ES"/>
              </w:rPr>
              <w:t>Gorka Urtaran Agirre</w:t>
            </w:r>
          </w:p>
          <w:p w14:paraId="3F52D34B" w14:textId="28424337" w:rsidR="0062719D" w:rsidRPr="00AF390C" w:rsidRDefault="004C4D1A" w:rsidP="004C4D1A">
            <w:pPr>
              <w:spacing w:after="20"/>
              <w:rPr>
                <w:sz w:val="22"/>
                <w:lang w:val="es-ES"/>
              </w:rPr>
            </w:pPr>
            <w:proofErr w:type="spellStart"/>
            <w:r w:rsidRPr="00AF390C">
              <w:rPr>
                <w:sz w:val="22"/>
                <w:lang w:val="es-ES"/>
              </w:rPr>
              <w:t>Gizarte</w:t>
            </w:r>
            <w:proofErr w:type="spellEnd"/>
            <w:r w:rsidRPr="00AF390C">
              <w:rPr>
                <w:sz w:val="22"/>
                <w:lang w:val="es-ES"/>
              </w:rPr>
              <w:t xml:space="preserve"> </w:t>
            </w:r>
            <w:proofErr w:type="spellStart"/>
            <w:r w:rsidRPr="00AF390C">
              <w:rPr>
                <w:sz w:val="22"/>
                <w:lang w:val="es-ES"/>
              </w:rPr>
              <w:t>Politiken</w:t>
            </w:r>
            <w:proofErr w:type="spellEnd"/>
            <w:r w:rsidRPr="00AF390C">
              <w:rPr>
                <w:sz w:val="22"/>
                <w:lang w:val="es-ES"/>
              </w:rPr>
              <w:t xml:space="preserve"> </w:t>
            </w:r>
            <w:proofErr w:type="spellStart"/>
            <w:r w:rsidRPr="00AF390C">
              <w:rPr>
                <w:sz w:val="22"/>
                <w:lang w:val="es-ES"/>
              </w:rPr>
              <w:t>foru</w:t>
            </w:r>
            <w:proofErr w:type="spellEnd"/>
            <w:r w:rsidRPr="00AF390C">
              <w:rPr>
                <w:sz w:val="22"/>
                <w:lang w:val="es-ES"/>
              </w:rPr>
              <w:t xml:space="preserve"> </w:t>
            </w:r>
            <w:proofErr w:type="spellStart"/>
            <w:r w:rsidRPr="00AF390C">
              <w:rPr>
                <w:sz w:val="22"/>
                <w:lang w:val="es-ES"/>
              </w:rPr>
              <w:t>diputatua</w:t>
            </w:r>
            <w:proofErr w:type="spellEnd"/>
          </w:p>
          <w:p w14:paraId="6780C593" w14:textId="5621C5B4" w:rsidR="0062719D" w:rsidRPr="00AF390C" w:rsidRDefault="004C4D1A" w:rsidP="004C4D1A">
            <w:pPr>
              <w:spacing w:after="20"/>
              <w:rPr>
                <w:sz w:val="22"/>
                <w:lang w:val="es-ES"/>
              </w:rPr>
            </w:pPr>
            <w:r w:rsidRPr="00AF390C">
              <w:rPr>
                <w:sz w:val="22"/>
                <w:lang w:val="es-ES"/>
              </w:rPr>
              <w:t>Diputado Foral de Políticas Sociales</w:t>
            </w:r>
          </w:p>
        </w:tc>
      </w:tr>
      <w:tr w:rsidR="0062719D" w:rsidRPr="00AF390C" w14:paraId="6DA0F43E" w14:textId="77777777">
        <w:tc>
          <w:tcPr>
            <w:tcW w:w="4605" w:type="dxa"/>
          </w:tcPr>
          <w:p w14:paraId="7A2B6736" w14:textId="350121C0" w:rsidR="0062719D" w:rsidRPr="00AF390C" w:rsidRDefault="004C4D1A" w:rsidP="004C4D1A">
            <w:pPr>
              <w:spacing w:before="1560" w:after="60"/>
              <w:rPr>
                <w:b/>
                <w:sz w:val="22"/>
                <w:lang w:val="es-ES"/>
              </w:rPr>
            </w:pPr>
            <w:r w:rsidRPr="00AF390C">
              <w:rPr>
                <w:b/>
                <w:sz w:val="22"/>
                <w:lang w:val="es-ES"/>
              </w:rPr>
              <w:t>Miren Saratxaga de Isla</w:t>
            </w:r>
          </w:p>
          <w:p w14:paraId="6E23764E" w14:textId="777DC53B" w:rsidR="0062719D" w:rsidRPr="00AF390C" w:rsidRDefault="004C4D1A" w:rsidP="004C4D1A">
            <w:pPr>
              <w:spacing w:after="20"/>
              <w:rPr>
                <w:sz w:val="22"/>
                <w:lang w:val="es-ES"/>
              </w:rPr>
            </w:pPr>
            <w:r w:rsidRPr="00AF390C">
              <w:rPr>
                <w:sz w:val="22"/>
                <w:lang w:val="es-ES"/>
              </w:rPr>
              <w:t>Directora de Servicios Sociales</w:t>
            </w:r>
          </w:p>
          <w:p w14:paraId="617E798E" w14:textId="0E06CEBE" w:rsidR="0062719D" w:rsidRPr="00AF390C" w:rsidRDefault="004C4D1A" w:rsidP="004C4D1A">
            <w:pPr>
              <w:spacing w:after="20"/>
              <w:rPr>
                <w:sz w:val="22"/>
                <w:lang w:val="es-ES"/>
              </w:rPr>
            </w:pPr>
            <w:proofErr w:type="spellStart"/>
            <w:r w:rsidRPr="00AF390C">
              <w:rPr>
                <w:sz w:val="22"/>
                <w:lang w:val="es-ES"/>
              </w:rPr>
              <w:t>Gizarte</w:t>
            </w:r>
            <w:proofErr w:type="spellEnd"/>
            <w:r w:rsidRPr="00AF390C">
              <w:rPr>
                <w:sz w:val="22"/>
                <w:lang w:val="es-ES"/>
              </w:rPr>
              <w:t xml:space="preserve"> </w:t>
            </w:r>
            <w:proofErr w:type="spellStart"/>
            <w:r w:rsidRPr="00AF390C">
              <w:rPr>
                <w:sz w:val="22"/>
                <w:lang w:val="es-ES"/>
              </w:rPr>
              <w:t>Zerbitzuen</w:t>
            </w:r>
            <w:proofErr w:type="spellEnd"/>
            <w:r w:rsidRPr="00AF390C">
              <w:rPr>
                <w:sz w:val="22"/>
                <w:lang w:val="es-ES"/>
              </w:rPr>
              <w:t xml:space="preserve"> </w:t>
            </w:r>
            <w:proofErr w:type="spellStart"/>
            <w:r w:rsidRPr="00AF390C">
              <w:rPr>
                <w:sz w:val="22"/>
                <w:lang w:val="es-ES"/>
              </w:rPr>
              <w:t>Zuzendaria</w:t>
            </w:r>
            <w:proofErr w:type="spellEnd"/>
          </w:p>
        </w:tc>
        <w:tc>
          <w:tcPr>
            <w:tcW w:w="4605" w:type="dxa"/>
          </w:tcPr>
          <w:p w14:paraId="638E8569" w14:textId="36360CB1" w:rsidR="0062719D" w:rsidRPr="00AF390C" w:rsidRDefault="0062719D" w:rsidP="004C4D1A">
            <w:pPr>
              <w:spacing w:after="20"/>
              <w:rPr>
                <w:sz w:val="22"/>
                <w:lang w:val="es-ES"/>
              </w:rPr>
            </w:pPr>
          </w:p>
        </w:tc>
      </w:tr>
    </w:tbl>
    <w:p w14:paraId="52C6EC54" w14:textId="77777777" w:rsidR="0062719D" w:rsidRPr="00AF390C" w:rsidRDefault="0062719D" w:rsidP="004C4D1A">
      <w:pPr>
        <w:spacing w:after="240"/>
        <w:rPr>
          <w:sz w:val="22"/>
          <w:lang w:val="es-ES"/>
        </w:rPr>
      </w:pPr>
    </w:p>
    <w:sectPr w:rsidR="0062719D" w:rsidRPr="00AF390C">
      <w:headerReference w:type="default" r:id="rId8"/>
      <w:footerReference w:type="default" r:id="rId9"/>
      <w:headerReference w:type="first" r:id="rId10"/>
      <w:footerReference w:type="first" r:id="rId11"/>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FD461" w14:textId="77777777" w:rsidR="008809C5" w:rsidRDefault="008809C5">
      <w:r>
        <w:separator/>
      </w:r>
    </w:p>
  </w:endnote>
  <w:endnote w:type="continuationSeparator" w:id="0">
    <w:p w14:paraId="67DE6B79" w14:textId="77777777" w:rsidR="008809C5" w:rsidRDefault="0088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_sans_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90F8" w14:textId="77777777" w:rsidR="008809C5" w:rsidRDefault="008809C5">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9316AE">
      <w:rPr>
        <w:rStyle w:val="Nmerodepgina"/>
        <w:noProof/>
      </w:rPr>
      <w:t>6</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9316AE">
      <w:rPr>
        <w:rStyle w:val="Nmerodepgina"/>
        <w:noProof/>
      </w:rPr>
      <w:t>6</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9206F" w14:textId="77777777" w:rsidR="008809C5" w:rsidRDefault="008809C5">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9316AE">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9316AE">
      <w:rPr>
        <w:rStyle w:val="Nmerodepgina"/>
        <w:noProof/>
      </w:rPr>
      <w:t>6</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0DB1D" w14:textId="77777777" w:rsidR="008809C5" w:rsidRDefault="008809C5">
      <w:r>
        <w:separator/>
      </w:r>
    </w:p>
  </w:footnote>
  <w:footnote w:type="continuationSeparator" w:id="0">
    <w:p w14:paraId="5B478784" w14:textId="77777777" w:rsidR="008809C5" w:rsidRDefault="0088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8809C5" w14:paraId="00827DB3" w14:textId="77777777">
      <w:trPr>
        <w:cantSplit/>
        <w:trHeight w:val="338"/>
      </w:trPr>
      <w:tc>
        <w:tcPr>
          <w:tcW w:w="3856" w:type="dxa"/>
        </w:tcPr>
        <w:p w14:paraId="0B60AC16" w14:textId="77777777" w:rsidR="008809C5" w:rsidRDefault="008809C5">
          <w:pPr>
            <w:pStyle w:val="Encabezado"/>
          </w:pPr>
        </w:p>
      </w:tc>
      <w:tc>
        <w:tcPr>
          <w:tcW w:w="1361" w:type="dxa"/>
          <w:vMerge w:val="restart"/>
        </w:tcPr>
        <w:p w14:paraId="16B66F68" w14:textId="77777777" w:rsidR="008809C5" w:rsidRDefault="008809C5">
          <w:pPr>
            <w:pStyle w:val="Encabezado"/>
            <w:jc w:val="center"/>
          </w:pPr>
          <w:r>
            <w:rPr>
              <w:noProof/>
              <w:lang w:val="es-ES" w:bidi="ar-SA"/>
            </w:rPr>
            <w:drawing>
              <wp:inline distT="0" distB="0" distL="0" distR="0" wp14:anchorId="4FF61F00" wp14:editId="301012CD">
                <wp:extent cx="434340" cy="434340"/>
                <wp:effectExtent l="0" t="0" r="3810" b="3810"/>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6FDCB116" w14:textId="77777777" w:rsidR="008809C5" w:rsidRDefault="008809C5">
          <w:pPr>
            <w:pStyle w:val="Encabezado"/>
          </w:pPr>
        </w:p>
      </w:tc>
    </w:tr>
    <w:tr w:rsidR="008809C5" w14:paraId="06FAFA49" w14:textId="77777777">
      <w:trPr>
        <w:cantSplit/>
        <w:trHeight w:val="337"/>
      </w:trPr>
      <w:tc>
        <w:tcPr>
          <w:tcW w:w="3856" w:type="dxa"/>
        </w:tcPr>
        <w:p w14:paraId="291CF44D" w14:textId="77777777" w:rsidR="008809C5" w:rsidRDefault="008809C5">
          <w:pPr>
            <w:pStyle w:val="Encabezado"/>
          </w:pPr>
        </w:p>
      </w:tc>
      <w:tc>
        <w:tcPr>
          <w:tcW w:w="1361" w:type="dxa"/>
          <w:vMerge/>
        </w:tcPr>
        <w:p w14:paraId="56D4F142" w14:textId="77777777" w:rsidR="008809C5" w:rsidRDefault="008809C5">
          <w:pPr>
            <w:pStyle w:val="Encabezado"/>
            <w:jc w:val="center"/>
          </w:pPr>
        </w:p>
      </w:tc>
      <w:tc>
        <w:tcPr>
          <w:tcW w:w="3856" w:type="dxa"/>
        </w:tcPr>
        <w:p w14:paraId="42385AAA" w14:textId="77777777" w:rsidR="008809C5" w:rsidRDefault="008809C5">
          <w:pPr>
            <w:pStyle w:val="Encabezado"/>
          </w:pPr>
        </w:p>
      </w:tc>
    </w:tr>
  </w:tbl>
  <w:p w14:paraId="656083C8" w14:textId="77777777" w:rsidR="008809C5" w:rsidRDefault="008809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809C5" w14:paraId="127751AB" w14:textId="77777777">
      <w:tc>
        <w:tcPr>
          <w:tcW w:w="6804" w:type="dxa"/>
        </w:tcPr>
        <w:p w14:paraId="1E8908C7" w14:textId="77777777" w:rsidR="008809C5" w:rsidRDefault="008809C5">
          <w:pPr>
            <w:pStyle w:val="Encabezado"/>
            <w:tabs>
              <w:tab w:val="clear" w:pos="4252"/>
              <w:tab w:val="clear" w:pos="8504"/>
            </w:tabs>
            <w:spacing w:after="1200"/>
            <w:ind w:left="74"/>
            <w:rPr>
              <w:rFonts w:ascii="Arial" w:hAnsi="Arial"/>
              <w:noProof/>
              <w:sz w:val="16"/>
            </w:rPr>
          </w:pPr>
          <w:r>
            <w:rPr>
              <w:rFonts w:ascii="Arial" w:hAnsi="Arial"/>
              <w:noProof/>
              <w:sz w:val="16"/>
              <w:lang w:val="es-ES" w:bidi="ar-SA"/>
            </w:rPr>
            <w:drawing>
              <wp:inline distT="0" distB="0" distL="0" distR="0" wp14:anchorId="73AE071B" wp14:editId="76537F55">
                <wp:extent cx="2103120" cy="716280"/>
                <wp:effectExtent l="0" t="0" r="0" b="7620"/>
                <wp:docPr id="2" name="Imagen 2" descr="H 20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 20 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716280"/>
                        </a:xfrm>
                        <a:prstGeom prst="rect">
                          <a:avLst/>
                        </a:prstGeom>
                        <a:noFill/>
                        <a:ln>
                          <a:noFill/>
                        </a:ln>
                      </pic:spPr>
                    </pic:pic>
                  </a:graphicData>
                </a:graphic>
              </wp:inline>
            </w:drawing>
          </w:r>
        </w:p>
        <w:p w14:paraId="0A228CDE" w14:textId="77777777" w:rsidR="008809C5" w:rsidRDefault="008809C5">
          <w:pPr>
            <w:pStyle w:val="Encabezado"/>
            <w:ind w:left="1064"/>
            <w:rPr>
              <w:rFonts w:ascii="Arial" w:hAnsi="Arial"/>
              <w:noProof/>
              <w:sz w:val="16"/>
            </w:rPr>
          </w:pPr>
        </w:p>
      </w:tc>
      <w:tc>
        <w:tcPr>
          <w:tcW w:w="3402" w:type="dxa"/>
        </w:tcPr>
        <w:p w14:paraId="7371898F" w14:textId="77777777" w:rsidR="008809C5" w:rsidRDefault="008809C5" w:rsidP="006317E6">
          <w:pPr>
            <w:pBdr>
              <w:top w:val="nil"/>
              <w:left w:val="nil"/>
              <w:bottom w:val="nil"/>
              <w:right w:val="nil"/>
              <w:between w:val="nil"/>
            </w:pBdr>
            <w:tabs>
              <w:tab w:val="center" w:pos="4252"/>
              <w:tab w:val="right" w:pos="8504"/>
            </w:tabs>
            <w:spacing w:after="40"/>
            <w:ind w:left="-68"/>
            <w:rPr>
              <w:rFonts w:ascii="Arial" w:eastAsia="Arial" w:hAnsi="Arial"/>
              <w:b/>
              <w:bCs/>
              <w:color w:val="000000"/>
              <w:sz w:val="18"/>
              <w:szCs w:val="18"/>
            </w:rPr>
          </w:pPr>
          <w:r>
            <w:rPr>
              <w:rFonts w:ascii="Arial" w:eastAsia="Arial" w:hAnsi="Arial"/>
              <w:b/>
              <w:bCs/>
              <w:color w:val="000000"/>
              <w:sz w:val="18"/>
              <w:szCs w:val="18"/>
            </w:rPr>
            <w:t xml:space="preserve">Foru </w:t>
          </w:r>
          <w:proofErr w:type="spellStart"/>
          <w:r>
            <w:rPr>
              <w:rFonts w:ascii="Arial" w:eastAsia="Arial" w:hAnsi="Arial"/>
              <w:b/>
              <w:bCs/>
              <w:color w:val="000000"/>
              <w:sz w:val="18"/>
              <w:szCs w:val="18"/>
            </w:rPr>
            <w:t>Gobernu</w:t>
          </w:r>
          <w:proofErr w:type="spellEnd"/>
          <w:r>
            <w:rPr>
              <w:rFonts w:ascii="Arial" w:eastAsia="Arial" w:hAnsi="Arial"/>
              <w:b/>
              <w:bCs/>
              <w:color w:val="000000"/>
              <w:sz w:val="18"/>
              <w:szCs w:val="18"/>
            </w:rPr>
            <w:t xml:space="preserve"> </w:t>
          </w:r>
          <w:proofErr w:type="spellStart"/>
          <w:r>
            <w:rPr>
              <w:rFonts w:ascii="Arial" w:eastAsia="Arial" w:hAnsi="Arial"/>
              <w:b/>
              <w:bCs/>
              <w:color w:val="000000"/>
              <w:sz w:val="18"/>
              <w:szCs w:val="18"/>
            </w:rPr>
            <w:t>Kontseilua</w:t>
          </w:r>
          <w:proofErr w:type="spellEnd"/>
        </w:p>
        <w:p w14:paraId="65B71C99" w14:textId="77777777" w:rsidR="008809C5" w:rsidRDefault="008809C5" w:rsidP="006317E6">
          <w:pPr>
            <w:pBdr>
              <w:top w:val="nil"/>
              <w:left w:val="nil"/>
              <w:bottom w:val="nil"/>
              <w:right w:val="nil"/>
              <w:between w:val="nil"/>
            </w:pBdr>
            <w:tabs>
              <w:tab w:val="center" w:pos="4252"/>
              <w:tab w:val="right" w:pos="8504"/>
            </w:tabs>
            <w:spacing w:after="240"/>
            <w:ind w:left="-68"/>
            <w:rPr>
              <w:rFonts w:ascii="Arial" w:eastAsia="Arial" w:hAnsi="Arial"/>
              <w:b/>
              <w:bCs/>
              <w:color w:val="000000"/>
              <w:sz w:val="18"/>
              <w:szCs w:val="18"/>
            </w:rPr>
          </w:pPr>
          <w:r>
            <w:rPr>
              <w:rFonts w:ascii="Arial" w:eastAsia="Arial" w:hAnsi="Arial"/>
              <w:b/>
              <w:bCs/>
              <w:color w:val="000000"/>
              <w:sz w:val="18"/>
              <w:szCs w:val="18"/>
            </w:rPr>
            <w:t>Consejo de Gobierno Foral</w:t>
          </w:r>
        </w:p>
        <w:p w14:paraId="7CB04C98" w14:textId="77777777" w:rsidR="008809C5" w:rsidRDefault="008809C5">
          <w:pPr>
            <w:pStyle w:val="Encabezado"/>
            <w:tabs>
              <w:tab w:val="clear" w:pos="4252"/>
            </w:tabs>
            <w:ind w:left="-70"/>
            <w:rPr>
              <w:rFonts w:ascii="Arial" w:hAnsi="Arial"/>
              <w:noProof/>
              <w:sz w:val="18"/>
            </w:rPr>
          </w:pPr>
        </w:p>
      </w:tc>
    </w:tr>
  </w:tbl>
  <w:p w14:paraId="0684B6B6" w14:textId="77777777" w:rsidR="008809C5" w:rsidRDefault="008809C5">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65F"/>
    <w:multiLevelType w:val="multilevel"/>
    <w:tmpl w:val="9B5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53E9C"/>
    <w:multiLevelType w:val="hybridMultilevel"/>
    <w:tmpl w:val="551A5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8292966"/>
    <w:multiLevelType w:val="hybridMultilevel"/>
    <w:tmpl w:val="F7763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E0865F5"/>
    <w:multiLevelType w:val="hybridMultilevel"/>
    <w:tmpl w:val="5066B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s-ES_tradnl" w:vendorID="9" w:dllVersion="512" w:checkStyle="1"/>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55"/>
    <w:rsid w:val="00083212"/>
    <w:rsid w:val="00085592"/>
    <w:rsid w:val="000B5EFE"/>
    <w:rsid w:val="00115DC5"/>
    <w:rsid w:val="001A4207"/>
    <w:rsid w:val="001E2D1D"/>
    <w:rsid w:val="00277194"/>
    <w:rsid w:val="003B7055"/>
    <w:rsid w:val="003E6E73"/>
    <w:rsid w:val="00485711"/>
    <w:rsid w:val="004932F6"/>
    <w:rsid w:val="004C4D1A"/>
    <w:rsid w:val="00503ACB"/>
    <w:rsid w:val="005049CE"/>
    <w:rsid w:val="00554565"/>
    <w:rsid w:val="005C3F9A"/>
    <w:rsid w:val="005C6F5B"/>
    <w:rsid w:val="0062719D"/>
    <w:rsid w:val="006317E6"/>
    <w:rsid w:val="0069018A"/>
    <w:rsid w:val="006C35AC"/>
    <w:rsid w:val="006C40BE"/>
    <w:rsid w:val="007A00CF"/>
    <w:rsid w:val="007B649E"/>
    <w:rsid w:val="007E32CF"/>
    <w:rsid w:val="008809C5"/>
    <w:rsid w:val="009316AE"/>
    <w:rsid w:val="009E3D1F"/>
    <w:rsid w:val="00A009AD"/>
    <w:rsid w:val="00A65B6F"/>
    <w:rsid w:val="00A81C65"/>
    <w:rsid w:val="00A85F2D"/>
    <w:rsid w:val="00AA1E38"/>
    <w:rsid w:val="00AF390C"/>
    <w:rsid w:val="00B64D3E"/>
    <w:rsid w:val="00BA3702"/>
    <w:rsid w:val="00CF07C7"/>
    <w:rsid w:val="00D676D6"/>
    <w:rsid w:val="00DD6FEF"/>
    <w:rsid w:val="00DE2FCF"/>
    <w:rsid w:val="00E04B7E"/>
    <w:rsid w:val="00EC4C39"/>
    <w:rsid w:val="00F112D7"/>
    <w:rsid w:val="00F15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8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4C4D1A"/>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D1A"/>
    <w:rPr>
      <w:rFonts w:ascii="Tahoma" w:hAnsi="Tahoma" w:cs="Tahoma"/>
      <w:sz w:val="16"/>
      <w:szCs w:val="16"/>
      <w:lang w:val="es-ES_tradnl" w:bidi="or-IN"/>
    </w:rPr>
  </w:style>
  <w:style w:type="paragraph" w:styleId="Prrafodelista">
    <w:name w:val="List Paragraph"/>
    <w:basedOn w:val="Normal"/>
    <w:uiPriority w:val="34"/>
    <w:qFormat/>
    <w:rsid w:val="005C3F9A"/>
    <w:pPr>
      <w:ind w:left="720"/>
      <w:contextualSpacing/>
    </w:pPr>
  </w:style>
  <w:style w:type="paragraph" w:styleId="NormalWeb">
    <w:name w:val="Normal (Web)"/>
    <w:basedOn w:val="Normal"/>
    <w:uiPriority w:val="99"/>
    <w:semiHidden/>
    <w:unhideWhenUsed/>
    <w:rsid w:val="00E04B7E"/>
    <w:pPr>
      <w:spacing w:before="100" w:beforeAutospacing="1" w:after="100" w:afterAutospacing="1"/>
    </w:pPr>
    <w:rPr>
      <w:rFonts w:cs="Times New Roman"/>
      <w:sz w:val="24"/>
      <w:szCs w:val="24"/>
      <w:lang w:val="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4C4D1A"/>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D1A"/>
    <w:rPr>
      <w:rFonts w:ascii="Tahoma" w:hAnsi="Tahoma" w:cs="Tahoma"/>
      <w:sz w:val="16"/>
      <w:szCs w:val="16"/>
      <w:lang w:val="es-ES_tradnl" w:bidi="or-IN"/>
    </w:rPr>
  </w:style>
  <w:style w:type="paragraph" w:styleId="Prrafodelista">
    <w:name w:val="List Paragraph"/>
    <w:basedOn w:val="Normal"/>
    <w:uiPriority w:val="34"/>
    <w:qFormat/>
    <w:rsid w:val="005C3F9A"/>
    <w:pPr>
      <w:ind w:left="720"/>
      <w:contextualSpacing/>
    </w:pPr>
  </w:style>
  <w:style w:type="paragraph" w:styleId="NormalWeb">
    <w:name w:val="Normal (Web)"/>
    <w:basedOn w:val="Normal"/>
    <w:uiPriority w:val="99"/>
    <w:semiHidden/>
    <w:unhideWhenUsed/>
    <w:rsid w:val="00E04B7E"/>
    <w:pPr>
      <w:spacing w:before="100" w:beforeAutospacing="1" w:after="100" w:afterAutospacing="1"/>
    </w:pPr>
    <w:rPr>
      <w:rFonts w:cs="Times New Roman"/>
      <w:sz w:val="24"/>
      <w:szCs w:val="24"/>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8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nzalez\AppData\Local\Microsoft\Windows\INetCache\IE\Z1Q0001K\Decreto%20Diputado%20general%20(cas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Decreto Diputado general (cast).dotx</Template>
  <TotalTime>0</TotalTime>
  <Pages>6</Pages>
  <Words>2221</Words>
  <Characters>12067</Characters>
  <Application>Microsoft Office Word</Application>
  <DocSecurity>4</DocSecurity>
  <Lines>100</Lines>
  <Paragraphs>28</Paragraphs>
  <ScaleCrop>false</ScaleCrop>
  <HeadingPairs>
    <vt:vector size="2" baseType="variant">
      <vt:variant>
        <vt:lpstr>Título</vt:lpstr>
      </vt:variant>
      <vt:variant>
        <vt:i4>1</vt:i4>
      </vt:variant>
    </vt:vector>
  </HeadingPairs>
  <TitlesOfParts>
    <vt:vector size="1" baseType="lpstr">
      <vt:lpstr>Plantilla de Decreto Foral del Diputado General</vt:lpstr>
    </vt:vector>
  </TitlesOfParts>
  <Company>DFA-AFA</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Diputado General</dc:title>
  <dc:creator>González Díez, Arrate</dc:creator>
  <cp:lastModifiedBy>IFBS</cp:lastModifiedBy>
  <cp:revision>2</cp:revision>
  <cp:lastPrinted>2008-09-22T09:37:00Z</cp:lastPrinted>
  <dcterms:created xsi:type="dcterms:W3CDTF">2026-06-08T07:27:00Z</dcterms:created>
  <dcterms:modified xsi:type="dcterms:W3CDTF">2026-06-08T07:27:00Z</dcterms:modified>
</cp:coreProperties>
</file>